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44"/>
          <w:szCs w:val="44"/>
          <w:highlight w:val="none"/>
        </w:rPr>
      </w:pPr>
      <w:r>
        <w:rPr>
          <w:rFonts w:hint="eastAsia"/>
          <w:b/>
          <w:sz w:val="44"/>
          <w:szCs w:val="44"/>
          <w:highlight w:val="none"/>
        </w:rPr>
        <w:t>南京信息工程大学</w:t>
      </w:r>
      <w:r>
        <w:rPr>
          <w:rFonts w:hint="eastAsia"/>
          <w:b/>
          <w:sz w:val="44"/>
          <w:szCs w:val="44"/>
          <w:highlight w:val="none"/>
          <w:lang w:val="en-US" w:eastAsia="zh-CN"/>
        </w:rPr>
        <w:t>进口设备外贸代理服务</w:t>
      </w:r>
      <w:r>
        <w:rPr>
          <w:rFonts w:hint="eastAsia"/>
          <w:b/>
          <w:sz w:val="44"/>
          <w:szCs w:val="44"/>
          <w:highlight w:val="none"/>
        </w:rPr>
        <w:t>项目</w:t>
      </w:r>
      <w:r>
        <w:rPr>
          <w:rFonts w:hint="eastAsia"/>
          <w:b/>
          <w:sz w:val="44"/>
          <w:szCs w:val="44"/>
          <w:highlight w:val="none"/>
          <w:lang w:val="en-US" w:eastAsia="zh-CN"/>
        </w:rPr>
        <w:t>公开招标</w:t>
      </w:r>
      <w:r>
        <w:rPr>
          <w:rFonts w:hint="eastAsia"/>
          <w:b/>
          <w:sz w:val="44"/>
          <w:szCs w:val="44"/>
          <w:highlight w:val="none"/>
        </w:rPr>
        <w:t>文件</w:t>
      </w:r>
    </w:p>
    <w:p>
      <w:pPr>
        <w:pStyle w:val="4"/>
        <w:rPr>
          <w:highlight w:val="none"/>
          <w:lang w:val="en-US"/>
        </w:rPr>
      </w:pPr>
    </w:p>
    <w:p>
      <w:pPr>
        <w:rPr>
          <w:highlight w:val="none"/>
        </w:rPr>
      </w:pPr>
    </w:p>
    <w:p>
      <w:pPr>
        <w:adjustRightInd w:val="0"/>
        <w:snapToGrid w:val="0"/>
        <w:spacing w:line="360" w:lineRule="auto"/>
        <w:jc w:val="center"/>
        <w:rPr>
          <w:rFonts w:ascii="宋体" w:cs="仿宋"/>
          <w:sz w:val="28"/>
          <w:szCs w:val="28"/>
          <w:highlight w:val="none"/>
        </w:rPr>
      </w:pPr>
      <w:r>
        <w:rPr>
          <w:rFonts w:hint="eastAsia" w:ascii="宋体" w:hAnsi="宋体" w:cs="仿宋"/>
          <w:sz w:val="28"/>
          <w:szCs w:val="28"/>
          <w:highlight w:val="none"/>
        </w:rPr>
        <w:t>（招标编号：</w:t>
      </w:r>
      <w:r>
        <w:rPr>
          <w:rFonts w:hint="eastAsia" w:ascii="宋体" w:hAnsi="宋体" w:cs="仿宋"/>
          <w:sz w:val="28"/>
          <w:szCs w:val="28"/>
          <w:highlight w:val="none"/>
          <w:u w:val="single"/>
          <w:lang w:val="en-US" w:eastAsia="zh-CN"/>
        </w:rPr>
        <w:t>SBC202</w:t>
      </w:r>
      <w:r>
        <w:rPr>
          <w:rFonts w:hint="eastAsia" w:ascii="宋体" w:hAnsi="宋体" w:cs="仿宋"/>
          <w:sz w:val="28"/>
          <w:szCs w:val="28"/>
          <w:highlight w:val="none"/>
          <w:u w:val="single"/>
        </w:rPr>
        <w:t>0</w:t>
      </w:r>
      <w:r>
        <w:rPr>
          <w:rFonts w:hint="eastAsia" w:ascii="宋体" w:hAnsi="宋体" w:cs="仿宋"/>
          <w:sz w:val="28"/>
          <w:szCs w:val="28"/>
          <w:highlight w:val="none"/>
          <w:u w:val="single"/>
          <w:lang w:val="en-US" w:eastAsia="zh-CN"/>
        </w:rPr>
        <w:t>105</w:t>
      </w:r>
      <w:r>
        <w:rPr>
          <w:rFonts w:hint="eastAsia" w:ascii="宋体" w:hAnsi="宋体" w:cs="仿宋"/>
          <w:sz w:val="28"/>
          <w:szCs w:val="28"/>
          <w:highlight w:val="none"/>
        </w:rPr>
        <w:t>）</w:t>
      </w:r>
    </w:p>
    <w:p>
      <w:pPr>
        <w:adjustRightInd w:val="0"/>
        <w:snapToGrid w:val="0"/>
        <w:spacing w:line="360" w:lineRule="auto"/>
        <w:jc w:val="center"/>
        <w:rPr>
          <w:rFonts w:ascii="宋体" w:hAnsi="宋体" w:cs="仿宋"/>
          <w:sz w:val="28"/>
          <w:szCs w:val="28"/>
          <w:highlight w:val="none"/>
        </w:rPr>
      </w:pPr>
      <w:r>
        <w:rPr>
          <w:rFonts w:ascii="宋体" w:hAnsi="宋体" w:cs="仿宋"/>
          <w:sz w:val="28"/>
          <w:szCs w:val="28"/>
          <w:highlight w:val="none"/>
        </w:rPr>
        <w:t>(20</w:t>
      </w:r>
      <w:r>
        <w:rPr>
          <w:rFonts w:hint="eastAsia" w:ascii="宋体" w:hAnsi="宋体" w:cs="仿宋"/>
          <w:sz w:val="28"/>
          <w:szCs w:val="28"/>
          <w:highlight w:val="none"/>
        </w:rPr>
        <w:t>20年</w:t>
      </w:r>
      <w:r>
        <w:rPr>
          <w:rFonts w:hint="eastAsia" w:ascii="宋体" w:hAnsi="宋体" w:cs="仿宋"/>
          <w:sz w:val="28"/>
          <w:szCs w:val="28"/>
          <w:highlight w:val="none"/>
          <w:lang w:val="en-US" w:eastAsia="zh-CN"/>
        </w:rPr>
        <w:t>11</w:t>
      </w:r>
      <w:r>
        <w:rPr>
          <w:rFonts w:hint="eastAsia" w:ascii="宋体" w:hAnsi="宋体" w:cs="仿宋"/>
          <w:sz w:val="28"/>
          <w:szCs w:val="28"/>
          <w:highlight w:val="none"/>
        </w:rPr>
        <w:t>月</w:t>
      </w:r>
      <w:r>
        <w:rPr>
          <w:rFonts w:hint="eastAsia" w:ascii="宋体" w:hAnsi="宋体" w:cs="仿宋"/>
          <w:sz w:val="28"/>
          <w:szCs w:val="28"/>
          <w:highlight w:val="none"/>
          <w:lang w:val="en-US" w:eastAsia="zh-CN"/>
        </w:rPr>
        <w:t>13</w:t>
      </w:r>
      <w:r>
        <w:rPr>
          <w:rFonts w:hint="eastAsia" w:ascii="宋体" w:hAnsi="宋体" w:cs="仿宋"/>
          <w:sz w:val="28"/>
          <w:szCs w:val="28"/>
          <w:highlight w:val="none"/>
        </w:rPr>
        <w:t>日1</w:t>
      </w:r>
      <w:r>
        <w:rPr>
          <w:rFonts w:hint="eastAsia" w:ascii="宋体" w:hAnsi="宋体" w:cs="仿宋"/>
          <w:sz w:val="28"/>
          <w:szCs w:val="28"/>
          <w:highlight w:val="none"/>
          <w:lang w:val="en-US" w:eastAsia="zh-CN"/>
        </w:rPr>
        <w:t>5</w:t>
      </w:r>
      <w:r>
        <w:rPr>
          <w:rFonts w:hint="eastAsia" w:ascii="宋体" w:hAnsi="宋体" w:cs="仿宋"/>
          <w:sz w:val="28"/>
          <w:szCs w:val="28"/>
          <w:highlight w:val="none"/>
        </w:rPr>
        <w:t>：</w:t>
      </w:r>
      <w:r>
        <w:rPr>
          <w:rFonts w:ascii="宋体" w:cs="仿宋"/>
          <w:sz w:val="28"/>
          <w:szCs w:val="28"/>
          <w:highlight w:val="none"/>
        </w:rPr>
        <w:t>00</w:t>
      </w:r>
      <w:r>
        <w:rPr>
          <w:rFonts w:hint="eastAsia" w:ascii="宋体" w:hAnsi="宋体" w:cs="仿宋"/>
          <w:sz w:val="28"/>
          <w:szCs w:val="28"/>
          <w:highlight w:val="none"/>
        </w:rPr>
        <w:t>定标发标版</w:t>
      </w:r>
      <w:r>
        <w:rPr>
          <w:rFonts w:ascii="宋体" w:hAnsi="宋体" w:cs="仿宋"/>
          <w:sz w:val="28"/>
          <w:szCs w:val="28"/>
          <w:highlight w:val="none"/>
        </w:rPr>
        <w:t>)</w:t>
      </w:r>
    </w:p>
    <w:p>
      <w:pPr>
        <w:spacing w:line="360" w:lineRule="auto"/>
        <w:ind w:firstLine="570"/>
        <w:jc w:val="left"/>
        <w:rPr>
          <w:rFonts w:ascii="宋体" w:hAnsi="宋体"/>
          <w:sz w:val="28"/>
          <w:szCs w:val="28"/>
          <w:highlight w:val="none"/>
        </w:rPr>
      </w:pPr>
    </w:p>
    <w:p>
      <w:pPr>
        <w:spacing w:line="360" w:lineRule="auto"/>
        <w:ind w:firstLine="570"/>
        <w:jc w:val="left"/>
        <w:rPr>
          <w:rFonts w:hint="eastAsia" w:ascii="宋体" w:hAnsi="宋体" w:cs="Times New Roman"/>
          <w:sz w:val="28"/>
          <w:szCs w:val="28"/>
          <w:highlight w:val="none"/>
        </w:rPr>
      </w:pPr>
      <w:r>
        <w:rPr>
          <w:rFonts w:hint="eastAsia" w:ascii="宋体" w:hAnsi="宋体" w:cs="Times New Roman"/>
          <w:sz w:val="28"/>
          <w:szCs w:val="28"/>
          <w:highlight w:val="none"/>
        </w:rPr>
        <w:t>为</w:t>
      </w:r>
      <w:r>
        <w:rPr>
          <w:rFonts w:hint="eastAsia" w:ascii="宋体" w:hAnsi="宋体" w:cs="Times New Roman"/>
          <w:sz w:val="28"/>
          <w:szCs w:val="28"/>
          <w:highlight w:val="none"/>
          <w:lang w:val="en-US" w:eastAsia="zh-CN"/>
        </w:rPr>
        <w:t>更好地做好教学科研的保障工作，快速、合法地引进先进设备，尽可能地节省教学科研经费</w:t>
      </w:r>
      <w:r>
        <w:rPr>
          <w:rFonts w:hint="eastAsia" w:ascii="宋体" w:hAnsi="宋体" w:cs="Times New Roman"/>
          <w:sz w:val="28"/>
          <w:szCs w:val="28"/>
          <w:highlight w:val="none"/>
        </w:rPr>
        <w:t>，</w:t>
      </w:r>
      <w:r>
        <w:rPr>
          <w:rFonts w:hint="eastAsia" w:ascii="宋体" w:hAnsi="宋体" w:cs="Times New Roman"/>
          <w:sz w:val="28"/>
          <w:szCs w:val="28"/>
          <w:highlight w:val="none"/>
          <w:lang w:val="en-US" w:eastAsia="zh-CN"/>
        </w:rPr>
        <w:t>通过公开招标的方式确定我校的外贸代理商。</w:t>
      </w:r>
      <w:r>
        <w:rPr>
          <w:rFonts w:hint="eastAsia" w:ascii="宋体" w:hAnsi="宋体" w:cs="Times New Roman"/>
          <w:sz w:val="28"/>
          <w:szCs w:val="28"/>
          <w:highlight w:val="none"/>
        </w:rPr>
        <w:t>现将有关情况说明如下：</w:t>
      </w:r>
    </w:p>
    <w:p>
      <w:pPr>
        <w:spacing w:beforeLines="100" w:afterLines="100" w:line="360" w:lineRule="auto"/>
        <w:ind w:firstLine="548" w:firstLineChars="196"/>
        <w:jc w:val="center"/>
        <w:rPr>
          <w:rFonts w:ascii="黑体" w:hAnsi="黑体" w:eastAsia="黑体" w:cs="宋体"/>
          <w:sz w:val="28"/>
          <w:szCs w:val="28"/>
          <w:highlight w:val="none"/>
        </w:rPr>
      </w:pPr>
      <w:r>
        <w:rPr>
          <w:rFonts w:ascii="黑体" w:hAnsi="黑体" w:eastAsia="黑体" w:cs="宋体"/>
          <w:sz w:val="28"/>
          <w:szCs w:val="28"/>
          <w:highlight w:val="none"/>
        </w:rPr>
        <w:t>一、招标项目名称及简要说明</w:t>
      </w:r>
    </w:p>
    <w:p>
      <w:pPr>
        <w:spacing w:line="360" w:lineRule="auto"/>
        <w:ind w:firstLine="570"/>
        <w:jc w:val="left"/>
        <w:rPr>
          <w:rFonts w:ascii="宋体" w:hAnsi="宋体"/>
          <w:sz w:val="28"/>
          <w:szCs w:val="28"/>
          <w:highlight w:val="none"/>
        </w:rPr>
      </w:pPr>
      <w:r>
        <w:rPr>
          <w:rFonts w:hint="eastAsia" w:ascii="宋体" w:hAnsi="宋体"/>
          <w:sz w:val="28"/>
          <w:szCs w:val="28"/>
          <w:highlight w:val="none"/>
        </w:rPr>
        <w:t>1.项目名称：南京信息工</w:t>
      </w:r>
      <w:r>
        <w:rPr>
          <w:rFonts w:hint="eastAsia" w:ascii="宋体" w:hAnsi="宋体" w:cs="Times New Roman"/>
          <w:sz w:val="28"/>
          <w:szCs w:val="28"/>
          <w:highlight w:val="none"/>
        </w:rPr>
        <w:t>程大学</w:t>
      </w:r>
      <w:r>
        <w:rPr>
          <w:rFonts w:hint="eastAsia" w:ascii="宋体" w:hAnsi="宋体" w:cs="Times New Roman"/>
          <w:sz w:val="28"/>
          <w:szCs w:val="28"/>
          <w:highlight w:val="none"/>
          <w:lang w:val="en-US" w:eastAsia="zh-CN"/>
        </w:rPr>
        <w:t>进口设备外贸代理服务</w:t>
      </w:r>
      <w:r>
        <w:rPr>
          <w:rFonts w:hint="eastAsia" w:ascii="宋体" w:hAnsi="宋体" w:cs="Times New Roman"/>
          <w:sz w:val="28"/>
          <w:szCs w:val="28"/>
          <w:highlight w:val="none"/>
        </w:rPr>
        <w:t>项目</w:t>
      </w:r>
      <w:r>
        <w:rPr>
          <w:rFonts w:hint="eastAsia" w:ascii="宋体" w:hAnsi="宋体"/>
          <w:sz w:val="28"/>
          <w:szCs w:val="28"/>
          <w:highlight w:val="none"/>
        </w:rPr>
        <w:t>。</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2.项目说明：</w:t>
      </w:r>
    </w:p>
    <w:p>
      <w:pPr>
        <w:spacing w:line="360" w:lineRule="auto"/>
        <w:ind w:firstLine="560" w:firstLineChars="200"/>
        <w:rPr>
          <w:rFonts w:ascii="宋体" w:hAnsi="宋体" w:cs="仿宋"/>
          <w:sz w:val="28"/>
          <w:szCs w:val="28"/>
          <w:highlight w:val="none"/>
        </w:rPr>
      </w:pPr>
      <w:r>
        <w:rPr>
          <w:rFonts w:hint="eastAsia" w:ascii="宋体" w:hAnsi="宋体" w:cs="仿宋"/>
          <w:sz w:val="28"/>
          <w:szCs w:val="28"/>
          <w:highlight w:val="none"/>
        </w:rPr>
        <w:t>（1）本次招标项目必须由中标单位自行完成，严禁转包和擅自分包。否则我校有权单方面终止本合同的执行，由此所造成的一切后果和经济损失均由中标人自行负责和承担。</w:t>
      </w:r>
    </w:p>
    <w:p>
      <w:pPr>
        <w:spacing w:line="360" w:lineRule="auto"/>
        <w:ind w:firstLine="560" w:firstLineChars="200"/>
        <w:rPr>
          <w:rFonts w:ascii="宋体" w:hAnsi="宋体" w:cs="仿宋"/>
          <w:sz w:val="28"/>
          <w:szCs w:val="28"/>
          <w:highlight w:val="none"/>
        </w:rPr>
      </w:pPr>
      <w:r>
        <w:rPr>
          <w:rFonts w:hint="eastAsia" w:ascii="宋体" w:hAnsi="宋体" w:cs="仿宋"/>
          <w:sz w:val="28"/>
          <w:szCs w:val="28"/>
          <w:highlight w:val="none"/>
        </w:rPr>
        <w:t>（2）本项目</w:t>
      </w:r>
      <w:r>
        <w:rPr>
          <w:rFonts w:hint="eastAsia" w:ascii="宋体" w:hAnsi="宋体" w:cs="仿宋"/>
          <w:sz w:val="28"/>
          <w:szCs w:val="28"/>
          <w:highlight w:val="none"/>
          <w:lang w:val="en-US" w:eastAsia="zh-CN"/>
        </w:rPr>
        <w:t>服务期限：2021年1月-2023年12月</w:t>
      </w:r>
      <w:r>
        <w:rPr>
          <w:rFonts w:hint="eastAsia" w:ascii="宋体" w:hAnsi="宋体" w:cs="仿宋"/>
          <w:sz w:val="28"/>
          <w:szCs w:val="28"/>
          <w:highlight w:val="none"/>
        </w:rPr>
        <w:t>。</w:t>
      </w:r>
    </w:p>
    <w:p>
      <w:pPr>
        <w:spacing w:line="360" w:lineRule="auto"/>
        <w:ind w:firstLine="560" w:firstLineChars="200"/>
        <w:rPr>
          <w:rFonts w:hint="eastAsia" w:ascii="宋体" w:hAnsi="宋体" w:cs="仿宋"/>
          <w:sz w:val="28"/>
          <w:szCs w:val="28"/>
          <w:highlight w:val="none"/>
          <w:lang w:val="en-US" w:eastAsia="zh-CN"/>
        </w:rPr>
      </w:pPr>
      <w:r>
        <w:rPr>
          <w:rFonts w:hint="eastAsia" w:ascii="宋体" w:hAnsi="宋体" w:cs="仿宋"/>
          <w:sz w:val="28"/>
          <w:szCs w:val="28"/>
          <w:highlight w:val="none"/>
        </w:rPr>
        <w:t>（</w:t>
      </w:r>
      <w:r>
        <w:rPr>
          <w:rFonts w:hint="eastAsia" w:ascii="宋体" w:hAnsi="宋体" w:cs="仿宋"/>
          <w:sz w:val="28"/>
          <w:szCs w:val="28"/>
          <w:highlight w:val="none"/>
          <w:lang w:val="en-US" w:eastAsia="zh-CN"/>
        </w:rPr>
        <w:t>3</w:t>
      </w:r>
      <w:r>
        <w:rPr>
          <w:rFonts w:hint="eastAsia" w:ascii="宋体" w:hAnsi="宋体" w:cs="仿宋"/>
          <w:sz w:val="28"/>
          <w:szCs w:val="28"/>
          <w:highlight w:val="none"/>
        </w:rPr>
        <w:t>）</w:t>
      </w:r>
      <w:r>
        <w:rPr>
          <w:rFonts w:hint="eastAsia" w:ascii="宋体" w:hAnsi="宋体" w:cs="仿宋"/>
          <w:sz w:val="28"/>
          <w:szCs w:val="28"/>
          <w:highlight w:val="none"/>
          <w:lang w:val="en-US" w:eastAsia="zh-CN"/>
        </w:rPr>
        <w:t>通过本次公开招标选取3家外贸代理商中标入围。</w:t>
      </w:r>
    </w:p>
    <w:p>
      <w:pPr>
        <w:spacing w:line="360" w:lineRule="auto"/>
        <w:ind w:firstLine="560" w:firstLineChars="200"/>
        <w:rPr>
          <w:rFonts w:ascii="宋体" w:hAnsi="宋体"/>
          <w:sz w:val="28"/>
          <w:szCs w:val="28"/>
          <w:highlight w:val="none"/>
        </w:rPr>
      </w:pPr>
      <w:r>
        <w:rPr>
          <w:rFonts w:ascii="宋体" w:hAnsi="宋体"/>
          <w:sz w:val="28"/>
          <w:szCs w:val="28"/>
          <w:highlight w:val="none"/>
        </w:rPr>
        <w:t>3.</w:t>
      </w:r>
      <w:bookmarkStart w:id="0" w:name="_Hlk9865971"/>
      <w:r>
        <w:rPr>
          <w:rFonts w:hint="eastAsia" w:ascii="宋体" w:hAnsi="宋体"/>
          <w:sz w:val="28"/>
          <w:szCs w:val="28"/>
          <w:highlight w:val="none"/>
        </w:rPr>
        <w:t>本次招标采取公开招标方式</w:t>
      </w:r>
      <w:r>
        <w:rPr>
          <w:rFonts w:hint="eastAsia" w:ascii="宋体" w:hAnsi="宋体" w:cs="仿宋"/>
          <w:sz w:val="28"/>
          <w:szCs w:val="28"/>
          <w:highlight w:val="none"/>
        </w:rPr>
        <w:t>，不承诺最低价（最高价）中标。中标公示信息将在</w:t>
      </w:r>
      <w:r>
        <w:rPr>
          <w:highlight w:val="none"/>
        </w:rPr>
        <w:fldChar w:fldCharType="begin"/>
      </w:r>
      <w:r>
        <w:rPr>
          <w:highlight w:val="none"/>
        </w:rPr>
        <w:instrText xml:space="preserve"> HYPERLINK "https://bulletin.nuist.edu.cn/779/list.htm" </w:instrText>
      </w:r>
      <w:r>
        <w:rPr>
          <w:highlight w:val="none"/>
        </w:rPr>
        <w:fldChar w:fldCharType="separate"/>
      </w:r>
      <w:r>
        <w:rPr>
          <w:rFonts w:ascii="宋体" w:hAnsi="宋体" w:cs="仿宋"/>
          <w:sz w:val="28"/>
          <w:szCs w:val="28"/>
          <w:highlight w:val="none"/>
        </w:rPr>
        <w:t>https://bulletin.nuist.edu.cn/779/list.htm</w:t>
      </w:r>
      <w:r>
        <w:rPr>
          <w:rFonts w:ascii="宋体" w:hAnsi="宋体" w:cs="仿宋"/>
          <w:sz w:val="28"/>
          <w:szCs w:val="28"/>
          <w:highlight w:val="none"/>
        </w:rPr>
        <w:fldChar w:fldCharType="end"/>
      </w:r>
      <w:r>
        <w:rPr>
          <w:rFonts w:hint="eastAsia" w:ascii="宋体" w:hAnsi="宋体" w:cs="仿宋"/>
          <w:sz w:val="28"/>
          <w:szCs w:val="28"/>
          <w:highlight w:val="none"/>
        </w:rPr>
        <w:t>和</w:t>
      </w:r>
      <w:r>
        <w:rPr>
          <w:highlight w:val="none"/>
        </w:rPr>
        <w:fldChar w:fldCharType="begin"/>
      </w:r>
      <w:r>
        <w:rPr>
          <w:highlight w:val="none"/>
        </w:rPr>
        <w:instrText xml:space="preserve"> HYPERLINK "http://zbc.nuist.edu.cn" </w:instrText>
      </w:r>
      <w:r>
        <w:rPr>
          <w:highlight w:val="none"/>
        </w:rPr>
        <w:fldChar w:fldCharType="separate"/>
      </w:r>
      <w:r>
        <w:rPr>
          <w:rFonts w:ascii="宋体" w:hAnsi="宋体" w:cs="仿宋"/>
          <w:sz w:val="28"/>
          <w:szCs w:val="28"/>
          <w:highlight w:val="none"/>
        </w:rPr>
        <w:t>zbc.nuist.edu.cn</w:t>
      </w:r>
      <w:r>
        <w:rPr>
          <w:rFonts w:ascii="宋体" w:hAnsi="宋体" w:cs="仿宋"/>
          <w:sz w:val="28"/>
          <w:szCs w:val="28"/>
          <w:highlight w:val="none"/>
        </w:rPr>
        <w:fldChar w:fldCharType="end"/>
      </w:r>
      <w:r>
        <w:rPr>
          <w:rFonts w:hint="eastAsia" w:ascii="宋体" w:hAnsi="宋体"/>
          <w:sz w:val="28"/>
          <w:szCs w:val="28"/>
          <w:highlight w:val="none"/>
        </w:rPr>
        <w:t>网页上公开发布</w:t>
      </w:r>
      <w:r>
        <w:rPr>
          <w:rFonts w:ascii="宋体"/>
          <w:sz w:val="28"/>
          <w:szCs w:val="28"/>
          <w:highlight w:val="none"/>
        </w:rPr>
        <w:t>,</w:t>
      </w:r>
      <w:r>
        <w:rPr>
          <w:rFonts w:hint="eastAsia" w:ascii="宋体" w:hAnsi="宋体"/>
          <w:sz w:val="28"/>
          <w:szCs w:val="28"/>
          <w:highlight w:val="none"/>
        </w:rPr>
        <w:t>接受监督。</w:t>
      </w:r>
    </w:p>
    <w:bookmarkEnd w:id="0"/>
    <w:p>
      <w:pPr>
        <w:adjustRightInd w:val="0"/>
        <w:snapToGrid w:val="0"/>
        <w:spacing w:line="360" w:lineRule="auto"/>
        <w:ind w:firstLine="570"/>
        <w:jc w:val="left"/>
        <w:rPr>
          <w:rFonts w:ascii="宋体" w:cs="宋体"/>
          <w:sz w:val="28"/>
          <w:szCs w:val="28"/>
          <w:highlight w:val="none"/>
        </w:rPr>
      </w:pPr>
      <w:r>
        <w:rPr>
          <w:rFonts w:ascii="宋体" w:hAnsi="宋体"/>
          <w:sz w:val="28"/>
          <w:szCs w:val="28"/>
          <w:highlight w:val="none"/>
        </w:rPr>
        <w:t>4.</w:t>
      </w:r>
      <w:bookmarkStart w:id="1" w:name="_Hlk9866054"/>
      <w:r>
        <w:rPr>
          <w:rFonts w:hint="eastAsia" w:ascii="宋体" w:hAnsi="宋体"/>
          <w:sz w:val="28"/>
          <w:szCs w:val="28"/>
          <w:highlight w:val="none"/>
        </w:rPr>
        <w:t>本</w:t>
      </w:r>
      <w:r>
        <w:rPr>
          <w:rFonts w:hint="eastAsia" w:ascii="宋体" w:hAnsi="宋体"/>
          <w:sz w:val="28"/>
          <w:szCs w:val="28"/>
          <w:highlight w:val="none"/>
          <w:lang w:val="en-US" w:eastAsia="zh-CN"/>
        </w:rPr>
        <w:t>招标</w:t>
      </w:r>
      <w:r>
        <w:rPr>
          <w:rFonts w:hint="eastAsia" w:ascii="宋体" w:hAnsi="宋体"/>
          <w:sz w:val="28"/>
          <w:szCs w:val="28"/>
          <w:highlight w:val="none"/>
        </w:rPr>
        <w:t>文件由我校项目使用单位、项目归口管理部门和招标办联合起草,经学校相关职能部门会审通过形成正式招标文件。同时打印2</w:t>
      </w:r>
      <w:r>
        <w:rPr>
          <w:rFonts w:ascii="宋体" w:hAnsi="宋体"/>
          <w:sz w:val="28"/>
          <w:szCs w:val="28"/>
          <w:highlight w:val="none"/>
        </w:rPr>
        <w:t>份纸质的正式招标文件，由学校招标办工作人员和负责人同时签字</w:t>
      </w:r>
      <w:r>
        <w:rPr>
          <w:rFonts w:hint="eastAsia" w:ascii="宋体" w:hAnsi="宋体"/>
          <w:sz w:val="28"/>
          <w:szCs w:val="28"/>
          <w:highlight w:val="none"/>
        </w:rPr>
        <w:t>并加盖学校招标办骑缝章后，分别交学校招标办和项目使用单位各</w:t>
      </w:r>
      <w:r>
        <w:rPr>
          <w:rFonts w:ascii="宋体" w:hAnsi="宋体"/>
          <w:sz w:val="28"/>
          <w:szCs w:val="28"/>
          <w:highlight w:val="none"/>
        </w:rPr>
        <w:t>1份，</w:t>
      </w:r>
      <w:r>
        <w:rPr>
          <w:rFonts w:hint="eastAsia" w:ascii="宋体" w:hAnsi="宋体"/>
          <w:sz w:val="28"/>
          <w:szCs w:val="28"/>
          <w:highlight w:val="none"/>
        </w:rPr>
        <w:t>作为相关部门存档、合同签订、项目考核验收，以及处理纠纷的依据。</w:t>
      </w:r>
    </w:p>
    <w:bookmarkEnd w:id="1"/>
    <w:p>
      <w:pPr>
        <w:spacing w:line="360" w:lineRule="auto"/>
        <w:ind w:firstLine="570"/>
        <w:jc w:val="left"/>
        <w:rPr>
          <w:rFonts w:ascii="宋体" w:hAnsi="宋体"/>
          <w:sz w:val="28"/>
          <w:szCs w:val="28"/>
          <w:highlight w:val="none"/>
        </w:rPr>
      </w:pPr>
      <w:r>
        <w:rPr>
          <w:rFonts w:ascii="宋体" w:hAnsi="宋体"/>
          <w:sz w:val="28"/>
          <w:szCs w:val="28"/>
          <w:highlight w:val="none"/>
        </w:rPr>
        <w:t>5.</w:t>
      </w:r>
      <w:r>
        <w:rPr>
          <w:rFonts w:hint="eastAsia" w:ascii="宋体" w:hAnsi="宋体"/>
          <w:sz w:val="28"/>
          <w:szCs w:val="28"/>
          <w:highlight w:val="none"/>
        </w:rPr>
        <w:t>正式的答疑回复文件也按上述方式处理留存。</w:t>
      </w:r>
    </w:p>
    <w:p>
      <w:pPr>
        <w:pStyle w:val="45"/>
        <w:adjustRightInd w:val="0"/>
        <w:snapToGrid w:val="0"/>
        <w:spacing w:before="0" w:beforeAutospacing="0" w:after="0" w:afterAutospacing="0" w:line="360" w:lineRule="auto"/>
        <w:ind w:firstLine="560" w:firstLineChars="200"/>
        <w:rPr>
          <w:rFonts w:cs="Times New Roman"/>
          <w:color w:val="auto"/>
          <w:kern w:val="2"/>
          <w:sz w:val="28"/>
          <w:szCs w:val="28"/>
          <w:highlight w:val="none"/>
        </w:rPr>
      </w:pPr>
      <w:r>
        <w:rPr>
          <w:rFonts w:cs="Times New Roman"/>
          <w:color w:val="auto"/>
          <w:kern w:val="2"/>
          <w:sz w:val="28"/>
          <w:szCs w:val="28"/>
          <w:highlight w:val="none"/>
        </w:rPr>
        <w:t>6.</w:t>
      </w:r>
      <w:r>
        <w:rPr>
          <w:rFonts w:hint="eastAsia" w:cs="Times New Roman"/>
          <w:color w:val="auto"/>
          <w:kern w:val="2"/>
          <w:sz w:val="28"/>
          <w:szCs w:val="28"/>
          <w:highlight w:val="none"/>
        </w:rPr>
        <w:t>投标有效期：自开标之日起90天内投标有效。</w:t>
      </w:r>
    </w:p>
    <w:p>
      <w:pPr>
        <w:pStyle w:val="45"/>
        <w:adjustRightInd w:val="0"/>
        <w:snapToGrid w:val="0"/>
        <w:spacing w:before="0" w:beforeAutospacing="0" w:after="0" w:afterAutospacing="0" w:line="360" w:lineRule="auto"/>
        <w:ind w:firstLine="560" w:firstLineChars="200"/>
        <w:rPr>
          <w:highlight w:val="none"/>
        </w:rPr>
      </w:pPr>
      <w:r>
        <w:rPr>
          <w:rFonts w:hint="eastAsia" w:cs="Times New Roman"/>
          <w:color w:val="auto"/>
          <w:kern w:val="2"/>
          <w:sz w:val="28"/>
          <w:szCs w:val="28"/>
          <w:highlight w:val="none"/>
        </w:rPr>
        <w:t>7.</w:t>
      </w:r>
      <w:r>
        <w:rPr>
          <w:rFonts w:hint="eastAsia" w:cs="Times New Roman"/>
          <w:color w:val="auto"/>
          <w:sz w:val="28"/>
          <w:szCs w:val="28"/>
          <w:highlight w:val="none"/>
        </w:rPr>
        <w:t>招标过程接受学校纪检监察部门监督检查。</w:t>
      </w:r>
    </w:p>
    <w:p>
      <w:pPr>
        <w:spacing w:beforeLines="100" w:afterLines="100" w:line="360" w:lineRule="auto"/>
        <w:ind w:firstLine="548" w:firstLineChars="196"/>
        <w:jc w:val="center"/>
        <w:rPr>
          <w:rFonts w:hint="eastAsia" w:ascii="黑体" w:hAnsi="黑体" w:eastAsia="黑体" w:cs="宋体"/>
          <w:sz w:val="28"/>
          <w:szCs w:val="28"/>
          <w:highlight w:val="none"/>
        </w:rPr>
      </w:pPr>
      <w:r>
        <w:rPr>
          <w:rFonts w:hint="eastAsia" w:ascii="黑体" w:hAnsi="黑体" w:eastAsia="黑体" w:cs="宋体"/>
          <w:sz w:val="28"/>
          <w:szCs w:val="28"/>
          <w:highlight w:val="none"/>
        </w:rPr>
        <w:t>二、投标单位资质要求</w:t>
      </w:r>
    </w:p>
    <w:p>
      <w:pPr>
        <w:pStyle w:val="37"/>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1.</w:t>
      </w:r>
      <w:r>
        <w:rPr>
          <w:rFonts w:hint="eastAsia" w:ascii="宋体" w:hAnsi="宋体" w:eastAsia="宋体" w:cs="宋体"/>
          <w:b/>
          <w:bCs/>
          <w:sz w:val="24"/>
          <w:szCs w:val="24"/>
          <w:highlight w:val="none"/>
        </w:rPr>
        <w:t>投标人必须符合以下能力、信誉和资质要求：</w:t>
      </w:r>
    </w:p>
    <w:p>
      <w:pPr>
        <w:pStyle w:val="37"/>
        <w:spacing w:line="360" w:lineRule="auto"/>
        <w:ind w:left="0" w:leftChars="0" w:firstLine="560" w:firstLineChars="200"/>
        <w:rPr>
          <w:rFonts w:hint="eastAsia" w:ascii="宋体" w:hAnsi="宋体" w:eastAsia="宋体" w:cs="Times New Roman"/>
          <w:kern w:val="2"/>
          <w:sz w:val="28"/>
          <w:szCs w:val="28"/>
          <w:highlight w:val="none"/>
          <w:lang w:val="en-US" w:eastAsia="zh-CN" w:bidi="ar-SA"/>
        </w:rPr>
      </w:pPr>
      <w:r>
        <w:rPr>
          <w:rFonts w:hint="eastAsia" w:ascii="宋体" w:hAnsi="宋体" w:eastAsia="宋体" w:cs="Times New Roman"/>
          <w:kern w:val="2"/>
          <w:sz w:val="28"/>
          <w:szCs w:val="28"/>
          <w:highlight w:val="none"/>
          <w:lang w:val="en-US" w:eastAsia="zh-CN" w:bidi="ar-SA"/>
        </w:rPr>
        <w:t>1)具有独立承担民事责任的能力，提供法人或其他组织的营业执照等证明文件，复印件加盖公章；</w:t>
      </w:r>
    </w:p>
    <w:p>
      <w:pPr>
        <w:pStyle w:val="37"/>
        <w:spacing w:line="360" w:lineRule="auto"/>
        <w:ind w:left="0" w:leftChars="0" w:firstLine="560" w:firstLineChars="200"/>
        <w:rPr>
          <w:rFonts w:hint="eastAsia" w:ascii="宋体" w:hAnsi="宋体" w:eastAsia="宋体" w:cs="Times New Roman"/>
          <w:kern w:val="2"/>
          <w:sz w:val="28"/>
          <w:szCs w:val="28"/>
          <w:highlight w:val="none"/>
          <w:lang w:val="en-US" w:eastAsia="zh-CN" w:bidi="ar-SA"/>
        </w:rPr>
      </w:pPr>
      <w:r>
        <w:rPr>
          <w:rFonts w:hint="eastAsia" w:ascii="宋体" w:hAnsi="宋体" w:eastAsia="宋体" w:cs="Times New Roman"/>
          <w:kern w:val="2"/>
          <w:sz w:val="28"/>
          <w:szCs w:val="28"/>
          <w:highlight w:val="none"/>
          <w:lang w:val="en-US" w:eastAsia="zh-CN" w:bidi="ar-SA"/>
        </w:rPr>
        <w:t>2)法人代表授权书（原件）及法定代表人、授权代表身份证复印件（如果是法定代表人直接参与投标的可以不提供授权书）；</w:t>
      </w:r>
    </w:p>
    <w:p>
      <w:pPr>
        <w:pStyle w:val="37"/>
        <w:spacing w:line="360" w:lineRule="auto"/>
        <w:ind w:left="0" w:leftChars="0" w:firstLine="560" w:firstLineChars="200"/>
        <w:rPr>
          <w:rFonts w:hint="eastAsia" w:ascii="宋体" w:hAnsi="宋体" w:eastAsia="宋体" w:cs="Times New Roman"/>
          <w:kern w:val="2"/>
          <w:sz w:val="28"/>
          <w:szCs w:val="28"/>
          <w:highlight w:val="none"/>
          <w:lang w:val="en-US" w:eastAsia="zh-CN" w:bidi="ar-SA"/>
        </w:rPr>
      </w:pPr>
      <w:r>
        <w:rPr>
          <w:rFonts w:hint="eastAsia" w:ascii="宋体" w:hAnsi="宋体" w:cs="Times New Roman"/>
          <w:kern w:val="2"/>
          <w:sz w:val="28"/>
          <w:szCs w:val="28"/>
          <w:highlight w:val="none"/>
          <w:lang w:val="en-US" w:eastAsia="zh-CN" w:bidi="ar-SA"/>
        </w:rPr>
        <w:t>3</w:t>
      </w:r>
      <w:r>
        <w:rPr>
          <w:rFonts w:hint="eastAsia" w:ascii="宋体" w:hAnsi="宋体" w:eastAsia="宋体" w:cs="Times New Roman"/>
          <w:kern w:val="2"/>
          <w:sz w:val="28"/>
          <w:szCs w:val="28"/>
          <w:highlight w:val="none"/>
          <w:lang w:val="en-US" w:eastAsia="zh-CN" w:bidi="ar-SA"/>
        </w:rPr>
        <w:t>)具有良好的商业信誉和健全的财务会计制度，提供距开标时间六个月内任意一月份的财务状况报告（至少包括资产负债表和利润表）（法人或者其他组织成立未满三个月的可以不提供），或其银行出具的资信证书（复印件）（开标前六个月内），或其上一年度经审计的财务报告复印件加盖公章；</w:t>
      </w:r>
    </w:p>
    <w:p>
      <w:pPr>
        <w:pStyle w:val="37"/>
        <w:spacing w:line="360" w:lineRule="auto"/>
        <w:ind w:left="0" w:leftChars="0" w:firstLine="560" w:firstLineChars="200"/>
        <w:rPr>
          <w:rFonts w:hint="eastAsia" w:ascii="宋体" w:hAnsi="宋体" w:eastAsia="宋体" w:cs="Times New Roman"/>
          <w:kern w:val="2"/>
          <w:sz w:val="28"/>
          <w:szCs w:val="28"/>
          <w:highlight w:val="none"/>
          <w:lang w:val="en-US" w:eastAsia="zh-CN" w:bidi="ar-SA"/>
        </w:rPr>
      </w:pPr>
      <w:r>
        <w:rPr>
          <w:rFonts w:hint="eastAsia" w:ascii="宋体" w:hAnsi="宋体" w:cs="Times New Roman"/>
          <w:kern w:val="2"/>
          <w:sz w:val="28"/>
          <w:szCs w:val="28"/>
          <w:highlight w:val="none"/>
          <w:lang w:val="en-US" w:eastAsia="zh-CN" w:bidi="ar-SA"/>
        </w:rPr>
        <w:t>4</w:t>
      </w:r>
      <w:r>
        <w:rPr>
          <w:rFonts w:hint="eastAsia" w:ascii="宋体" w:hAnsi="宋体" w:eastAsia="宋体" w:cs="Times New Roman"/>
          <w:kern w:val="2"/>
          <w:sz w:val="28"/>
          <w:szCs w:val="28"/>
          <w:highlight w:val="none"/>
          <w:lang w:val="en-US" w:eastAsia="zh-CN" w:bidi="ar-SA"/>
        </w:rPr>
        <w:t>)具有履行合同所必需的设备和专业技术能力（根据项目需求提供履行合同所必需的设备和专业技术能力的证明材料或相关加盖公章的承诺函，承诺函自行编写）；</w:t>
      </w:r>
    </w:p>
    <w:p>
      <w:pPr>
        <w:pStyle w:val="37"/>
        <w:spacing w:line="360" w:lineRule="auto"/>
        <w:ind w:left="0" w:leftChars="0" w:firstLine="560" w:firstLineChars="200"/>
        <w:rPr>
          <w:rFonts w:hint="eastAsia" w:ascii="宋体" w:hAnsi="宋体" w:eastAsia="宋体" w:cs="Times New Roman"/>
          <w:kern w:val="2"/>
          <w:sz w:val="28"/>
          <w:szCs w:val="28"/>
          <w:highlight w:val="none"/>
          <w:lang w:val="en-US" w:eastAsia="zh-CN" w:bidi="ar-SA"/>
        </w:rPr>
      </w:pPr>
      <w:r>
        <w:rPr>
          <w:rFonts w:hint="eastAsia" w:ascii="宋体" w:hAnsi="宋体" w:cs="Times New Roman"/>
          <w:kern w:val="2"/>
          <w:sz w:val="28"/>
          <w:szCs w:val="28"/>
          <w:highlight w:val="none"/>
          <w:lang w:val="en-US" w:eastAsia="zh-CN" w:bidi="ar-SA"/>
        </w:rPr>
        <w:t>5</w:t>
      </w:r>
      <w:r>
        <w:rPr>
          <w:rFonts w:hint="eastAsia" w:ascii="宋体" w:hAnsi="宋体" w:eastAsia="宋体" w:cs="Times New Roman"/>
          <w:kern w:val="2"/>
          <w:sz w:val="28"/>
          <w:szCs w:val="28"/>
          <w:highlight w:val="none"/>
          <w:lang w:val="en-US" w:eastAsia="zh-CN" w:bidi="ar-SA"/>
        </w:rPr>
        <w:t>)参加政府采购活动近三年内（成立时间不足三年的、自成立时间起），在经营活动中没有重大违法记录（提供承诺书，格式自拟，重大违法记录是指供应商因违法经营受到刑事处罚或责令停产停业、吊销许可证或者执照、较大数额等行政处罚）；</w:t>
      </w:r>
    </w:p>
    <w:p>
      <w:pPr>
        <w:pStyle w:val="37"/>
        <w:spacing w:line="360" w:lineRule="auto"/>
        <w:ind w:left="0" w:leftChars="0" w:firstLine="560" w:firstLineChars="200"/>
        <w:rPr>
          <w:rFonts w:hint="eastAsia" w:ascii="宋体" w:hAnsi="宋体" w:eastAsia="宋体" w:cs="Times New Roman"/>
          <w:kern w:val="2"/>
          <w:sz w:val="28"/>
          <w:szCs w:val="28"/>
          <w:highlight w:val="none"/>
          <w:lang w:val="en-US" w:eastAsia="zh-CN" w:bidi="ar-SA"/>
        </w:rPr>
      </w:pPr>
      <w:r>
        <w:rPr>
          <w:rFonts w:hint="eastAsia" w:ascii="宋体" w:hAnsi="宋体" w:cs="Times New Roman"/>
          <w:kern w:val="2"/>
          <w:sz w:val="28"/>
          <w:szCs w:val="28"/>
          <w:highlight w:val="none"/>
          <w:lang w:val="en-US" w:eastAsia="zh-CN" w:bidi="ar-SA"/>
        </w:rPr>
        <w:t>6</w:t>
      </w:r>
      <w:r>
        <w:rPr>
          <w:rFonts w:hint="eastAsia" w:ascii="宋体" w:hAnsi="宋体" w:eastAsia="宋体" w:cs="Times New Roman"/>
          <w:kern w:val="2"/>
          <w:sz w:val="28"/>
          <w:szCs w:val="28"/>
          <w:highlight w:val="none"/>
          <w:lang w:val="en-US" w:eastAsia="zh-CN" w:bidi="ar-SA"/>
        </w:rPr>
        <w:t>)有依法缴纳税收的良好记录，提供距开标时间六个月内任意一月份的纳税凭据复印件加盖公章（依法免税的应提供相应文件说明）；</w:t>
      </w:r>
    </w:p>
    <w:p>
      <w:pPr>
        <w:pStyle w:val="37"/>
        <w:spacing w:line="360" w:lineRule="auto"/>
        <w:ind w:left="0" w:leftChars="0" w:firstLine="560" w:firstLineChars="200"/>
        <w:rPr>
          <w:rFonts w:hint="eastAsia" w:ascii="宋体" w:hAnsi="宋体" w:eastAsia="宋体" w:cs="Times New Roman"/>
          <w:kern w:val="2"/>
          <w:sz w:val="28"/>
          <w:szCs w:val="28"/>
          <w:highlight w:val="none"/>
          <w:lang w:val="en-US" w:eastAsia="zh-CN" w:bidi="ar-SA"/>
        </w:rPr>
      </w:pPr>
      <w:r>
        <w:rPr>
          <w:rFonts w:hint="eastAsia" w:ascii="宋体" w:hAnsi="宋体" w:cs="Times New Roman"/>
          <w:kern w:val="2"/>
          <w:sz w:val="28"/>
          <w:szCs w:val="28"/>
          <w:highlight w:val="none"/>
          <w:lang w:val="en-US" w:eastAsia="zh-CN" w:bidi="ar-SA"/>
        </w:rPr>
        <w:t>7</w:t>
      </w:r>
      <w:bookmarkStart w:id="9" w:name="_GoBack"/>
      <w:bookmarkEnd w:id="9"/>
      <w:r>
        <w:rPr>
          <w:rFonts w:hint="eastAsia" w:ascii="宋体" w:hAnsi="宋体" w:eastAsia="宋体" w:cs="Times New Roman"/>
          <w:kern w:val="2"/>
          <w:sz w:val="28"/>
          <w:szCs w:val="28"/>
          <w:highlight w:val="none"/>
          <w:lang w:val="en-US" w:eastAsia="zh-CN" w:bidi="ar-SA"/>
        </w:rPr>
        <w:t>)有依法缴纳社会保障资金的良好记录，提供距开标时间六个月内任意一月份的依法缴纳社会保障资金的凭据复印件加盖公章；</w:t>
      </w:r>
    </w:p>
    <w:p>
      <w:pPr>
        <w:pStyle w:val="37"/>
        <w:spacing w:line="360" w:lineRule="auto"/>
        <w:ind w:left="0" w:leftChars="0" w:firstLine="560" w:firstLineChars="200"/>
        <w:rPr>
          <w:rFonts w:hint="eastAsia" w:ascii="宋体" w:hAnsi="宋体" w:eastAsia="宋体" w:cs="Times New Roman"/>
          <w:kern w:val="2"/>
          <w:sz w:val="28"/>
          <w:szCs w:val="28"/>
          <w:highlight w:val="none"/>
          <w:lang w:val="en-US" w:eastAsia="zh-CN" w:bidi="ar-SA"/>
        </w:rPr>
      </w:pPr>
      <w:r>
        <w:rPr>
          <w:rFonts w:hint="eastAsia" w:ascii="宋体" w:hAnsi="宋体" w:eastAsia="宋体" w:cs="Times New Roman"/>
          <w:kern w:val="2"/>
          <w:sz w:val="28"/>
          <w:szCs w:val="28"/>
          <w:highlight w:val="none"/>
          <w:lang w:val="en-US" w:eastAsia="zh-CN" w:bidi="ar-SA"/>
        </w:rPr>
        <w:t>2.本项目的特定资格要求：具有中华人民共和国海关报关单位注册登记证书、对外贸易经营者备案登记表。</w:t>
      </w:r>
    </w:p>
    <w:p>
      <w:pPr>
        <w:pStyle w:val="37"/>
        <w:spacing w:line="360" w:lineRule="auto"/>
        <w:ind w:left="0" w:leftChars="0" w:firstLine="560" w:firstLineChars="200"/>
        <w:rPr>
          <w:rFonts w:hint="eastAsia" w:ascii="宋体" w:hAnsi="宋体" w:eastAsia="宋体" w:cs="Times New Roman"/>
          <w:kern w:val="2"/>
          <w:sz w:val="28"/>
          <w:szCs w:val="28"/>
          <w:highlight w:val="none"/>
          <w:lang w:val="en-US" w:eastAsia="zh-CN" w:bidi="ar-SA"/>
        </w:rPr>
      </w:pPr>
      <w:r>
        <w:rPr>
          <w:rFonts w:hint="eastAsia" w:ascii="宋体" w:hAnsi="宋体" w:eastAsia="宋体" w:cs="Times New Roman"/>
          <w:kern w:val="2"/>
          <w:sz w:val="28"/>
          <w:szCs w:val="28"/>
          <w:highlight w:val="none"/>
          <w:lang w:val="en-US" w:eastAsia="zh-CN" w:bidi="ar-SA"/>
        </w:rPr>
        <w:t>3.拒绝下述供应商参加本次采购活动的情形：</w:t>
      </w:r>
    </w:p>
    <w:p>
      <w:pPr>
        <w:pStyle w:val="37"/>
        <w:spacing w:line="360" w:lineRule="auto"/>
        <w:ind w:left="0" w:leftChars="0" w:firstLine="560" w:firstLineChars="200"/>
        <w:rPr>
          <w:rFonts w:hint="eastAsia" w:ascii="宋体" w:hAnsi="宋体" w:eastAsia="宋体" w:cs="Times New Roman"/>
          <w:kern w:val="2"/>
          <w:sz w:val="28"/>
          <w:szCs w:val="28"/>
          <w:highlight w:val="none"/>
          <w:lang w:val="en-US" w:eastAsia="zh-CN" w:bidi="ar-SA"/>
        </w:rPr>
      </w:pPr>
      <w:r>
        <w:rPr>
          <w:rFonts w:hint="eastAsia" w:ascii="宋体" w:hAnsi="宋体" w:eastAsia="宋体" w:cs="Times New Roman"/>
          <w:kern w:val="2"/>
          <w:sz w:val="28"/>
          <w:szCs w:val="28"/>
          <w:highlight w:val="none"/>
          <w:lang w:val="en-US" w:eastAsia="zh-CN" w:bidi="ar-SA"/>
        </w:rPr>
        <w:t>（1）供应商单位负责人为同一人或者存在直接控股、管理关系的不同供应商，不得参加同一合同项下的政府采购活动。</w:t>
      </w:r>
    </w:p>
    <w:p>
      <w:pPr>
        <w:pStyle w:val="37"/>
        <w:spacing w:line="360" w:lineRule="auto"/>
        <w:ind w:left="0" w:leftChars="0" w:firstLine="560" w:firstLineChars="200"/>
        <w:rPr>
          <w:rFonts w:hint="eastAsia" w:ascii="宋体" w:hAnsi="宋体" w:eastAsia="宋体" w:cs="Times New Roman"/>
          <w:kern w:val="2"/>
          <w:sz w:val="28"/>
          <w:szCs w:val="28"/>
          <w:highlight w:val="none"/>
          <w:lang w:val="en-US" w:eastAsia="zh-CN" w:bidi="ar-SA"/>
        </w:rPr>
      </w:pPr>
      <w:r>
        <w:rPr>
          <w:rFonts w:hint="eastAsia" w:ascii="宋体" w:hAnsi="宋体" w:eastAsia="宋体" w:cs="Times New Roman"/>
          <w:kern w:val="2"/>
          <w:sz w:val="28"/>
          <w:szCs w:val="28"/>
          <w:highlight w:val="none"/>
          <w:lang w:val="en-US" w:eastAsia="zh-CN" w:bidi="ar-SA"/>
        </w:rPr>
        <w:t>（2）凡为采购项目提供整体设计、规范编制或者项目管理、监理、检测等服务的供应商，不得再参加本项目的采购活动。</w:t>
      </w:r>
    </w:p>
    <w:p>
      <w:pPr>
        <w:pStyle w:val="37"/>
        <w:spacing w:line="360" w:lineRule="auto"/>
        <w:ind w:left="0" w:leftChars="0" w:firstLine="560" w:firstLineChars="200"/>
        <w:rPr>
          <w:rFonts w:hint="eastAsia" w:ascii="宋体" w:hAnsi="宋体" w:eastAsia="宋体" w:cs="Times New Roman"/>
          <w:kern w:val="2"/>
          <w:sz w:val="28"/>
          <w:szCs w:val="28"/>
          <w:highlight w:val="none"/>
          <w:lang w:val="en-US" w:eastAsia="zh-CN" w:bidi="ar-SA"/>
        </w:rPr>
      </w:pPr>
      <w:r>
        <w:rPr>
          <w:rFonts w:hint="eastAsia" w:ascii="宋体" w:hAnsi="宋体" w:eastAsia="宋体" w:cs="Times New Roman"/>
          <w:kern w:val="2"/>
          <w:sz w:val="28"/>
          <w:szCs w:val="28"/>
          <w:highlight w:val="none"/>
          <w:lang w:val="en-US" w:eastAsia="zh-CN" w:bidi="ar-SA"/>
        </w:rPr>
        <w:t>（3）供应商被“信用中国”网站（www.creditchina.gov.cn）、“中国政府采购网”(www.ccgp.gov.cn)列入失信被执行人、重大税收违法案件当事人名单、政府采购严重违法失信行为记录名单。联合体成员存在不良信用记录的，视同联合体存在不良信用记录。</w:t>
      </w:r>
    </w:p>
    <w:p>
      <w:pPr>
        <w:pStyle w:val="37"/>
        <w:spacing w:line="360" w:lineRule="auto"/>
        <w:ind w:left="0" w:leftChars="0" w:firstLine="560" w:firstLineChars="200"/>
        <w:rPr>
          <w:rFonts w:hint="eastAsia" w:ascii="宋体" w:hAnsi="宋体" w:eastAsia="宋体" w:cs="Times New Roman"/>
          <w:kern w:val="2"/>
          <w:sz w:val="28"/>
          <w:szCs w:val="28"/>
          <w:highlight w:val="none"/>
          <w:lang w:val="en-US" w:eastAsia="zh-CN" w:bidi="ar-SA"/>
        </w:rPr>
      </w:pPr>
      <w:r>
        <w:rPr>
          <w:rFonts w:hint="eastAsia" w:ascii="宋体" w:hAnsi="宋体" w:eastAsia="宋体" w:cs="Times New Roman"/>
          <w:kern w:val="2"/>
          <w:sz w:val="28"/>
          <w:szCs w:val="28"/>
          <w:highlight w:val="none"/>
          <w:lang w:val="en-US" w:eastAsia="zh-CN" w:bidi="ar-SA"/>
        </w:rPr>
        <w:t>4.本项目不接受联合体投标；</w:t>
      </w:r>
    </w:p>
    <w:p>
      <w:pPr>
        <w:pStyle w:val="37"/>
        <w:spacing w:line="360" w:lineRule="auto"/>
        <w:ind w:left="0" w:leftChars="0" w:firstLine="480" w:firstLineChars="200"/>
        <w:rPr>
          <w:rFonts w:hint="eastAsia" w:ascii="宋体" w:hAnsi="宋体" w:eastAsia="宋体" w:cs="宋体"/>
          <w:sz w:val="24"/>
          <w:szCs w:val="24"/>
          <w:highlight w:val="none"/>
        </w:rPr>
      </w:pPr>
    </w:p>
    <w:p>
      <w:pPr>
        <w:spacing w:beforeLines="100"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三、项目要求</w:t>
      </w:r>
    </w:p>
    <w:p>
      <w:pPr>
        <w:spacing w:line="360" w:lineRule="auto"/>
        <w:ind w:firstLine="562" w:firstLineChars="200"/>
        <w:rPr>
          <w:rFonts w:hint="eastAsia" w:ascii="宋体" w:hAnsi="宋体" w:eastAsia="宋体" w:cs="Times New Roman"/>
          <w:b/>
          <w:bCs/>
          <w:kern w:val="2"/>
          <w:sz w:val="28"/>
          <w:szCs w:val="28"/>
          <w:highlight w:val="none"/>
          <w:lang w:val="en-US" w:eastAsia="zh-CN" w:bidi="ar-SA"/>
        </w:rPr>
      </w:pPr>
      <w:r>
        <w:rPr>
          <w:rFonts w:hint="eastAsia" w:ascii="宋体" w:hAnsi="宋体" w:eastAsia="宋体" w:cs="Times New Roman"/>
          <w:b/>
          <w:bCs/>
          <w:kern w:val="2"/>
          <w:sz w:val="28"/>
          <w:szCs w:val="28"/>
          <w:highlight w:val="none"/>
          <w:lang w:val="en-US" w:eastAsia="zh-CN" w:bidi="ar-SA"/>
        </w:rPr>
        <w:t>1.外贸代理商主要服务内容</w:t>
      </w:r>
    </w:p>
    <w:p>
      <w:pPr>
        <w:pStyle w:val="37"/>
        <w:spacing w:line="360" w:lineRule="auto"/>
        <w:ind w:left="0" w:leftChars="0" w:firstLine="560" w:firstLineChars="200"/>
        <w:rPr>
          <w:rFonts w:hint="eastAsia" w:ascii="宋体" w:hAnsi="宋体" w:eastAsia="宋体" w:cs="Times New Roman"/>
          <w:kern w:val="2"/>
          <w:sz w:val="28"/>
          <w:szCs w:val="28"/>
          <w:highlight w:val="none"/>
          <w:lang w:val="en-US" w:eastAsia="zh-CN" w:bidi="ar-SA"/>
        </w:rPr>
      </w:pPr>
      <w:r>
        <w:rPr>
          <w:rFonts w:hint="eastAsia" w:ascii="宋体" w:hAnsi="宋体" w:eastAsia="宋体" w:cs="Times New Roman"/>
          <w:kern w:val="2"/>
          <w:sz w:val="28"/>
          <w:szCs w:val="28"/>
          <w:highlight w:val="none"/>
          <w:lang w:val="en-US" w:eastAsia="zh-CN" w:bidi="ar-SA"/>
        </w:rPr>
        <w:t>1.1外贸代理服务主要指进口免税的仪器设备从签订外贸合同到清关到货的全部进口过程，货物目的地点基本集中在南京信息工程大学</w:t>
      </w:r>
      <w:r>
        <w:rPr>
          <w:rFonts w:hint="eastAsia" w:ascii="宋体" w:hAnsi="宋体" w:cs="Times New Roman"/>
          <w:kern w:val="2"/>
          <w:sz w:val="28"/>
          <w:szCs w:val="28"/>
          <w:highlight w:val="none"/>
          <w:lang w:val="en-US" w:eastAsia="zh-CN" w:bidi="ar-SA"/>
        </w:rPr>
        <w:t>南京江北新区</w:t>
      </w:r>
      <w:r>
        <w:rPr>
          <w:rFonts w:hint="eastAsia" w:ascii="宋体" w:hAnsi="宋体" w:eastAsia="宋体" w:cs="Times New Roman"/>
          <w:kern w:val="2"/>
          <w:sz w:val="28"/>
          <w:szCs w:val="28"/>
          <w:highlight w:val="none"/>
          <w:lang w:val="en-US" w:eastAsia="zh-CN" w:bidi="ar-SA"/>
        </w:rPr>
        <w:t>校区内。</w:t>
      </w:r>
    </w:p>
    <w:p>
      <w:pPr>
        <w:pStyle w:val="37"/>
        <w:spacing w:line="360" w:lineRule="auto"/>
        <w:ind w:left="0" w:leftChars="0" w:firstLine="560" w:firstLineChars="200"/>
        <w:rPr>
          <w:rFonts w:hint="eastAsia" w:ascii="宋体" w:hAnsi="宋体" w:eastAsia="宋体" w:cs="Times New Roman"/>
          <w:kern w:val="2"/>
          <w:sz w:val="28"/>
          <w:szCs w:val="28"/>
          <w:highlight w:val="none"/>
          <w:lang w:val="en-US" w:eastAsia="zh-CN" w:bidi="ar-SA"/>
        </w:rPr>
      </w:pPr>
      <w:r>
        <w:rPr>
          <w:rFonts w:hint="eastAsia" w:ascii="宋体" w:hAnsi="宋体" w:eastAsia="宋体" w:cs="Times New Roman"/>
          <w:kern w:val="2"/>
          <w:sz w:val="28"/>
          <w:szCs w:val="28"/>
          <w:highlight w:val="none"/>
          <w:lang w:val="en-US" w:eastAsia="zh-CN" w:bidi="ar-SA"/>
        </w:rPr>
        <w:t>1.2代表学校与外方签定外贸合同，对外开立信用证，付汇，核销，报关，商检，提货，运输等与进口有关的手续，并协助学校办理机电产品进口证明，大型特定产品、配额产品的审批及可免税货物的免税手续；配合协调学校与海关之间的相关事宜。</w:t>
      </w:r>
    </w:p>
    <w:p>
      <w:pPr>
        <w:pStyle w:val="37"/>
        <w:spacing w:line="360" w:lineRule="auto"/>
        <w:ind w:left="0" w:leftChars="0" w:firstLine="560" w:firstLineChars="200"/>
        <w:rPr>
          <w:rFonts w:hint="eastAsia" w:ascii="宋体" w:hAnsi="宋体" w:eastAsia="宋体" w:cs="Times New Roman"/>
          <w:kern w:val="2"/>
          <w:sz w:val="28"/>
          <w:szCs w:val="28"/>
          <w:highlight w:val="none"/>
          <w:lang w:val="en-US" w:eastAsia="zh-CN" w:bidi="ar-SA"/>
        </w:rPr>
      </w:pPr>
      <w:r>
        <w:rPr>
          <w:rFonts w:hint="eastAsia" w:ascii="宋体" w:hAnsi="宋体" w:eastAsia="宋体" w:cs="Times New Roman"/>
          <w:kern w:val="2"/>
          <w:sz w:val="28"/>
          <w:szCs w:val="28"/>
          <w:highlight w:val="none"/>
          <w:lang w:val="en-US" w:eastAsia="zh-CN" w:bidi="ar-SA"/>
        </w:rPr>
        <w:t>1.3保证所提供货物是从中国海关合法渠道进口，严格按合同规定的时间、数量、品种和规格供货，如有违反此项条款约定，学校将有权取消其外贸代理资质，并保留追究其相应法律责任的权利。</w:t>
      </w:r>
    </w:p>
    <w:p>
      <w:pPr>
        <w:pStyle w:val="37"/>
        <w:spacing w:line="360" w:lineRule="auto"/>
        <w:ind w:left="0" w:leftChars="0" w:firstLine="560" w:firstLineChars="200"/>
        <w:rPr>
          <w:rFonts w:hint="eastAsia" w:ascii="宋体" w:hAnsi="宋体" w:eastAsia="宋体" w:cs="Times New Roman"/>
          <w:kern w:val="2"/>
          <w:sz w:val="28"/>
          <w:szCs w:val="28"/>
          <w:highlight w:val="none"/>
          <w:lang w:val="en-US" w:eastAsia="zh-CN" w:bidi="ar-SA"/>
        </w:rPr>
      </w:pPr>
      <w:r>
        <w:rPr>
          <w:rFonts w:hint="eastAsia" w:ascii="宋体" w:hAnsi="宋体" w:eastAsia="宋体" w:cs="Times New Roman"/>
          <w:kern w:val="2"/>
          <w:sz w:val="28"/>
          <w:szCs w:val="28"/>
          <w:highlight w:val="none"/>
          <w:lang w:val="en-US" w:eastAsia="zh-CN" w:bidi="ar-SA"/>
        </w:rPr>
        <w:t>1.4将进口货物及时送往直接用户手中，配合协调供应商与直接用户的有关事宜，催促供应商及时供货，直接用户及时验收、结算。</w:t>
      </w:r>
    </w:p>
    <w:p>
      <w:pPr>
        <w:pStyle w:val="37"/>
        <w:spacing w:line="360" w:lineRule="auto"/>
        <w:ind w:left="0" w:leftChars="0" w:firstLine="560" w:firstLineChars="200"/>
        <w:rPr>
          <w:rFonts w:hint="eastAsia" w:ascii="宋体" w:hAnsi="宋体" w:eastAsia="宋体" w:cs="Times New Roman"/>
          <w:kern w:val="2"/>
          <w:sz w:val="28"/>
          <w:szCs w:val="28"/>
          <w:highlight w:val="none"/>
          <w:lang w:val="en-US" w:eastAsia="zh-CN" w:bidi="ar-SA"/>
        </w:rPr>
      </w:pPr>
      <w:r>
        <w:rPr>
          <w:rFonts w:hint="eastAsia" w:ascii="宋体" w:hAnsi="宋体" w:eastAsia="宋体" w:cs="Times New Roman"/>
          <w:kern w:val="2"/>
          <w:sz w:val="28"/>
          <w:szCs w:val="28"/>
          <w:highlight w:val="none"/>
          <w:lang w:val="en-US" w:eastAsia="zh-CN" w:bidi="ar-SA"/>
        </w:rPr>
        <w:t>1.5在货物出现问题时负责代理学校办理</w:t>
      </w:r>
      <w:r>
        <w:rPr>
          <w:rFonts w:hint="eastAsia" w:ascii="宋体" w:hAnsi="宋体" w:cs="Times New Roman"/>
          <w:kern w:val="2"/>
          <w:sz w:val="28"/>
          <w:szCs w:val="28"/>
          <w:highlight w:val="none"/>
          <w:lang w:val="en-US" w:eastAsia="zh-CN" w:bidi="ar-SA"/>
        </w:rPr>
        <w:t>货物更换、</w:t>
      </w:r>
      <w:r>
        <w:rPr>
          <w:rFonts w:hint="eastAsia" w:ascii="宋体" w:hAnsi="宋体" w:eastAsia="宋体" w:cs="Times New Roman"/>
          <w:kern w:val="2"/>
          <w:sz w:val="28"/>
          <w:szCs w:val="28"/>
          <w:highlight w:val="none"/>
          <w:lang w:val="en-US" w:eastAsia="zh-CN" w:bidi="ar-SA"/>
        </w:rPr>
        <w:t>返修、索赔等手续。</w:t>
      </w:r>
    </w:p>
    <w:p>
      <w:pPr>
        <w:pStyle w:val="37"/>
        <w:spacing w:line="360" w:lineRule="auto"/>
        <w:ind w:left="0" w:leftChars="0" w:firstLine="560" w:firstLineChars="200"/>
        <w:rPr>
          <w:rFonts w:hint="eastAsia" w:ascii="宋体" w:hAnsi="宋体" w:eastAsia="宋体" w:cs="Times New Roman"/>
          <w:kern w:val="2"/>
          <w:sz w:val="28"/>
          <w:szCs w:val="28"/>
          <w:highlight w:val="none"/>
          <w:lang w:val="en-US" w:eastAsia="zh-CN" w:bidi="ar-SA"/>
        </w:rPr>
      </w:pPr>
      <w:r>
        <w:rPr>
          <w:rFonts w:hint="eastAsia" w:ascii="宋体" w:hAnsi="宋体" w:eastAsia="宋体" w:cs="Times New Roman"/>
          <w:kern w:val="2"/>
          <w:sz w:val="28"/>
          <w:szCs w:val="28"/>
          <w:highlight w:val="none"/>
          <w:lang w:val="en-US" w:eastAsia="zh-CN" w:bidi="ar-SA"/>
        </w:rPr>
        <w:t>1.6在海关监管期内接受海关、税务</w:t>
      </w:r>
      <w:r>
        <w:rPr>
          <w:rFonts w:hint="eastAsia" w:ascii="宋体" w:hAnsi="宋体" w:cs="Times New Roman"/>
          <w:kern w:val="2"/>
          <w:sz w:val="28"/>
          <w:szCs w:val="28"/>
          <w:highlight w:val="none"/>
          <w:lang w:val="en-US" w:eastAsia="zh-CN" w:bidi="ar-SA"/>
        </w:rPr>
        <w:t>等相关部门</w:t>
      </w:r>
      <w:r>
        <w:rPr>
          <w:rFonts w:hint="eastAsia" w:ascii="宋体" w:hAnsi="宋体" w:eastAsia="宋体" w:cs="Times New Roman"/>
          <w:kern w:val="2"/>
          <w:sz w:val="28"/>
          <w:szCs w:val="28"/>
          <w:highlight w:val="none"/>
          <w:lang w:val="en-US" w:eastAsia="zh-CN" w:bidi="ar-SA"/>
        </w:rPr>
        <w:t>的检查，并负责及时向有关部门提供报表。</w:t>
      </w:r>
    </w:p>
    <w:p>
      <w:pPr>
        <w:pStyle w:val="37"/>
        <w:spacing w:line="360" w:lineRule="auto"/>
        <w:ind w:left="0" w:leftChars="0" w:firstLine="562" w:firstLineChars="200"/>
        <w:rPr>
          <w:rFonts w:hint="eastAsia" w:ascii="宋体" w:hAnsi="宋体" w:eastAsia="宋体" w:cs="Times New Roman"/>
          <w:b/>
          <w:bCs/>
          <w:kern w:val="2"/>
          <w:sz w:val="28"/>
          <w:szCs w:val="28"/>
          <w:highlight w:val="none"/>
          <w:lang w:val="en-US" w:eastAsia="zh-CN" w:bidi="ar-SA"/>
        </w:rPr>
      </w:pPr>
      <w:r>
        <w:rPr>
          <w:rFonts w:hint="eastAsia" w:ascii="宋体" w:hAnsi="宋体" w:eastAsia="宋体" w:cs="Times New Roman"/>
          <w:b/>
          <w:bCs/>
          <w:kern w:val="2"/>
          <w:sz w:val="28"/>
          <w:szCs w:val="28"/>
          <w:highlight w:val="none"/>
          <w:lang w:val="en-US" w:eastAsia="zh-CN" w:bidi="ar-SA"/>
        </w:rPr>
        <w:t>2.外贸代理商在办理进口手续过程中的具体要求</w:t>
      </w:r>
    </w:p>
    <w:p>
      <w:pPr>
        <w:pStyle w:val="37"/>
        <w:spacing w:line="360" w:lineRule="auto"/>
        <w:ind w:left="0" w:leftChars="0" w:firstLine="560" w:firstLineChars="200"/>
        <w:rPr>
          <w:rFonts w:hint="eastAsia" w:ascii="宋体" w:hAnsi="宋体" w:eastAsia="宋体" w:cs="Times New Roman"/>
          <w:kern w:val="2"/>
          <w:sz w:val="28"/>
          <w:szCs w:val="28"/>
          <w:highlight w:val="none"/>
          <w:lang w:val="en-US" w:eastAsia="zh-CN" w:bidi="ar-SA"/>
        </w:rPr>
      </w:pPr>
      <w:r>
        <w:rPr>
          <w:rFonts w:hint="eastAsia" w:ascii="宋体" w:hAnsi="宋体" w:eastAsia="宋体" w:cs="Times New Roman"/>
          <w:kern w:val="2"/>
          <w:sz w:val="28"/>
          <w:szCs w:val="28"/>
          <w:highlight w:val="none"/>
          <w:lang w:val="en-US" w:eastAsia="zh-CN" w:bidi="ar-SA"/>
        </w:rPr>
        <w:t>2.1必须安排固定的专业人员为我校提供外贸服务，在投标文件中须注明负责我校外贸工作的项目经理姓名、从业年限和业绩。</w:t>
      </w:r>
    </w:p>
    <w:p>
      <w:pPr>
        <w:pStyle w:val="37"/>
        <w:spacing w:line="360" w:lineRule="auto"/>
        <w:ind w:left="0" w:leftChars="0" w:firstLine="560" w:firstLineChars="200"/>
        <w:rPr>
          <w:rFonts w:hint="eastAsia" w:ascii="宋体" w:hAnsi="宋体" w:eastAsia="宋体" w:cs="Times New Roman"/>
          <w:kern w:val="2"/>
          <w:sz w:val="28"/>
          <w:szCs w:val="28"/>
          <w:highlight w:val="none"/>
          <w:lang w:val="en-US" w:eastAsia="zh-CN" w:bidi="ar-SA"/>
        </w:rPr>
      </w:pPr>
      <w:r>
        <w:rPr>
          <w:rFonts w:hint="eastAsia" w:ascii="宋体" w:hAnsi="宋体" w:eastAsia="宋体" w:cs="Times New Roman"/>
          <w:kern w:val="2"/>
          <w:sz w:val="28"/>
          <w:szCs w:val="28"/>
          <w:highlight w:val="none"/>
          <w:lang w:val="en-US" w:eastAsia="zh-CN" w:bidi="ar-SA"/>
        </w:rPr>
        <w:t>2.2在学校发出“南京信息工程大学进口货物委托代理合同”后的3个工作日内须与供应商进行沟通，商定外贸合同事宜，10个工作日内完成外贸合同的签订，否则视为无能力履行外贸代理事宜，学校将有权取消外贸代理商该项目的外贸代理资格（特殊情况需及时向采购人书面说明，待采购人同意后方可延长外贸合同签订时间）。</w:t>
      </w:r>
    </w:p>
    <w:p>
      <w:pPr>
        <w:pStyle w:val="37"/>
        <w:spacing w:line="360" w:lineRule="auto"/>
        <w:ind w:left="0" w:leftChars="0" w:firstLine="560" w:firstLineChars="200"/>
        <w:rPr>
          <w:rFonts w:hint="eastAsia" w:ascii="宋体" w:hAnsi="宋体" w:eastAsia="宋体" w:cs="Times New Roman"/>
          <w:kern w:val="2"/>
          <w:sz w:val="28"/>
          <w:szCs w:val="28"/>
          <w:highlight w:val="none"/>
          <w:lang w:val="en-US" w:eastAsia="zh-CN" w:bidi="ar-SA"/>
        </w:rPr>
      </w:pPr>
      <w:r>
        <w:rPr>
          <w:rFonts w:hint="eastAsia" w:ascii="宋体" w:hAnsi="宋体" w:eastAsia="宋体" w:cs="Times New Roman"/>
          <w:kern w:val="2"/>
          <w:sz w:val="28"/>
          <w:szCs w:val="28"/>
          <w:highlight w:val="none"/>
          <w:lang w:val="en-US" w:eastAsia="zh-CN" w:bidi="ar-SA"/>
        </w:rPr>
        <w:t>2.3代理我校对外支付货款。外贸代理商在收到我校预付款后应在5个工作日内开出信用证或汇出货款。包干方式结算，我校不负责汇差。外贸代理商同时应保留每笔购汇水单。特殊情况甲乙双方另行协商付款方式。</w:t>
      </w:r>
    </w:p>
    <w:p>
      <w:pPr>
        <w:pStyle w:val="37"/>
        <w:spacing w:line="360" w:lineRule="auto"/>
        <w:ind w:left="0" w:leftChars="0" w:firstLine="560" w:firstLineChars="200"/>
        <w:rPr>
          <w:rFonts w:hint="eastAsia" w:ascii="宋体" w:hAnsi="宋体" w:eastAsia="宋体" w:cs="Times New Roman"/>
          <w:kern w:val="2"/>
          <w:sz w:val="28"/>
          <w:szCs w:val="28"/>
          <w:highlight w:val="none"/>
          <w:lang w:val="en-US" w:eastAsia="zh-CN" w:bidi="ar-SA"/>
        </w:rPr>
      </w:pPr>
      <w:r>
        <w:rPr>
          <w:rFonts w:hint="eastAsia" w:ascii="宋体" w:hAnsi="宋体" w:eastAsia="宋体" w:cs="Times New Roman"/>
          <w:kern w:val="2"/>
          <w:sz w:val="28"/>
          <w:szCs w:val="28"/>
          <w:highlight w:val="none"/>
          <w:lang w:val="en-US" w:eastAsia="zh-CN" w:bidi="ar-SA"/>
        </w:rPr>
        <w:t>2.4及时办理进口货物的批文、免税证明、机电产品进口许可证等相关材料。因办理免税不及时导致供货延期由外贸公司负责。</w:t>
      </w:r>
    </w:p>
    <w:p>
      <w:pPr>
        <w:pStyle w:val="37"/>
        <w:spacing w:line="360" w:lineRule="auto"/>
        <w:ind w:left="0" w:leftChars="0" w:firstLine="560" w:firstLineChars="200"/>
        <w:rPr>
          <w:rFonts w:hint="eastAsia" w:ascii="宋体" w:hAnsi="宋体" w:eastAsia="宋体" w:cs="Times New Roman"/>
          <w:kern w:val="2"/>
          <w:sz w:val="28"/>
          <w:szCs w:val="28"/>
          <w:highlight w:val="none"/>
          <w:lang w:val="en-US" w:eastAsia="zh-CN" w:bidi="ar-SA"/>
        </w:rPr>
      </w:pPr>
      <w:r>
        <w:rPr>
          <w:rFonts w:hint="eastAsia" w:ascii="宋体" w:hAnsi="宋体" w:eastAsia="宋体" w:cs="Times New Roman"/>
          <w:kern w:val="2"/>
          <w:sz w:val="28"/>
          <w:szCs w:val="28"/>
          <w:highlight w:val="none"/>
          <w:lang w:val="en-US" w:eastAsia="zh-CN" w:bidi="ar-SA"/>
        </w:rPr>
        <w:t>2.5到货验收合格后，代理商应在十日内根据用户要求开具外贸代理发票完成财务结算；如因各种理由不及时办理结算手续的，学校有权取消其外贸代理资质。</w:t>
      </w:r>
    </w:p>
    <w:p>
      <w:pPr>
        <w:pStyle w:val="37"/>
        <w:spacing w:line="360" w:lineRule="auto"/>
        <w:ind w:left="0" w:leftChars="0" w:firstLine="560" w:firstLineChars="200"/>
        <w:rPr>
          <w:rFonts w:hint="eastAsia" w:ascii="宋体" w:hAnsi="宋体" w:eastAsia="宋体" w:cs="Times New Roman"/>
          <w:kern w:val="2"/>
          <w:sz w:val="28"/>
          <w:szCs w:val="28"/>
          <w:highlight w:val="none"/>
          <w:lang w:val="en-US" w:eastAsia="zh-CN" w:bidi="ar-SA"/>
        </w:rPr>
      </w:pPr>
      <w:r>
        <w:rPr>
          <w:rFonts w:hint="eastAsia" w:ascii="宋体" w:hAnsi="宋体" w:eastAsia="宋体" w:cs="Times New Roman"/>
          <w:kern w:val="2"/>
          <w:sz w:val="28"/>
          <w:szCs w:val="28"/>
          <w:highlight w:val="none"/>
          <w:lang w:val="en-US" w:eastAsia="zh-CN" w:bidi="ar-SA"/>
        </w:rPr>
        <w:t>2.6学校每年有少部分境外单位赠送的设备需要进口，外贸代理商需无偿帮助办理免税手续和提供报关委托书，不收取代理费；</w:t>
      </w:r>
    </w:p>
    <w:p>
      <w:pPr>
        <w:pStyle w:val="37"/>
        <w:spacing w:line="360" w:lineRule="auto"/>
        <w:ind w:left="0" w:leftChars="0" w:firstLine="560" w:firstLineChars="200"/>
        <w:rPr>
          <w:rFonts w:hint="eastAsia" w:ascii="宋体" w:hAnsi="宋体" w:eastAsia="宋体" w:cs="Times New Roman"/>
          <w:kern w:val="2"/>
          <w:sz w:val="28"/>
          <w:szCs w:val="28"/>
          <w:highlight w:val="none"/>
          <w:lang w:val="en-US" w:eastAsia="zh-CN" w:bidi="ar-SA"/>
        </w:rPr>
      </w:pPr>
      <w:r>
        <w:rPr>
          <w:rFonts w:hint="eastAsia" w:ascii="宋体" w:hAnsi="宋体" w:eastAsia="宋体" w:cs="Times New Roman"/>
          <w:kern w:val="2"/>
          <w:sz w:val="28"/>
          <w:szCs w:val="28"/>
          <w:highlight w:val="none"/>
          <w:lang w:val="en-US" w:eastAsia="zh-CN" w:bidi="ar-SA"/>
        </w:rPr>
        <w:t>2.7对一万美元内的合同，外贸代理商要有垫付能力，不得因此耽误供货。</w:t>
      </w:r>
    </w:p>
    <w:p>
      <w:pPr>
        <w:pStyle w:val="37"/>
        <w:spacing w:line="360" w:lineRule="auto"/>
        <w:ind w:left="0" w:leftChars="0" w:firstLine="562" w:firstLineChars="200"/>
        <w:rPr>
          <w:rFonts w:hint="eastAsia" w:ascii="宋体" w:hAnsi="宋体" w:eastAsia="宋体" w:cs="Times New Roman"/>
          <w:b/>
          <w:bCs/>
          <w:kern w:val="2"/>
          <w:sz w:val="28"/>
          <w:szCs w:val="28"/>
          <w:highlight w:val="none"/>
          <w:lang w:val="en-US" w:eastAsia="zh-CN" w:bidi="ar-SA"/>
        </w:rPr>
      </w:pPr>
      <w:r>
        <w:rPr>
          <w:rFonts w:hint="eastAsia" w:ascii="宋体" w:hAnsi="宋体" w:eastAsia="宋体" w:cs="Times New Roman"/>
          <w:b/>
          <w:bCs/>
          <w:kern w:val="2"/>
          <w:sz w:val="28"/>
          <w:szCs w:val="28"/>
          <w:highlight w:val="none"/>
          <w:lang w:val="en-US" w:eastAsia="zh-CN" w:bidi="ar-SA"/>
        </w:rPr>
        <w:t>3.其它说明</w:t>
      </w:r>
    </w:p>
    <w:p>
      <w:pPr>
        <w:pStyle w:val="37"/>
        <w:spacing w:line="360" w:lineRule="auto"/>
        <w:ind w:left="0" w:leftChars="0" w:firstLine="560" w:firstLineChars="200"/>
        <w:rPr>
          <w:rFonts w:hint="default" w:ascii="宋体" w:hAnsi="宋体" w:eastAsia="宋体" w:cs="Times New Roman"/>
          <w:kern w:val="2"/>
          <w:sz w:val="28"/>
          <w:szCs w:val="28"/>
          <w:highlight w:val="none"/>
          <w:lang w:val="en-US" w:eastAsia="zh-CN" w:bidi="ar-SA"/>
        </w:rPr>
      </w:pPr>
      <w:r>
        <w:rPr>
          <w:rFonts w:hint="eastAsia" w:ascii="宋体" w:hAnsi="宋体" w:eastAsia="宋体" w:cs="Times New Roman"/>
          <w:kern w:val="2"/>
          <w:sz w:val="28"/>
          <w:szCs w:val="28"/>
          <w:highlight w:val="none"/>
          <w:lang w:val="en-US" w:eastAsia="zh-CN" w:bidi="ar-SA"/>
        </w:rPr>
        <w:t>3.1代理服务费按签订外贸委托代理合同当日中国银行外汇牌价的卖出价为基础包干方式结算，不随国家外汇汇率浮动而变化。包干总价包括开证与付汇手续费、国内运杂费、报关费、海关监管费、动植检、卫检等外贸代理业务相关服务费。</w:t>
      </w:r>
      <w:r>
        <w:rPr>
          <w:rFonts w:hint="eastAsia" w:ascii="宋体" w:hAnsi="宋体" w:cs="Times New Roman"/>
          <w:kern w:val="2"/>
          <w:sz w:val="28"/>
          <w:szCs w:val="28"/>
          <w:highlight w:val="none"/>
          <w:lang w:val="en-US" w:eastAsia="zh-CN" w:bidi="ar-SA"/>
        </w:rPr>
        <w:t>代理服务费包含在进口设备采购中标金额内。</w:t>
      </w:r>
    </w:p>
    <w:p>
      <w:pPr>
        <w:pStyle w:val="37"/>
        <w:spacing w:line="360" w:lineRule="auto"/>
        <w:ind w:left="0" w:leftChars="0" w:firstLine="560" w:firstLineChars="200"/>
        <w:rPr>
          <w:rFonts w:hint="eastAsia" w:ascii="宋体" w:hAnsi="宋体" w:eastAsia="宋体" w:cs="Times New Roman"/>
          <w:kern w:val="2"/>
          <w:sz w:val="28"/>
          <w:szCs w:val="28"/>
          <w:highlight w:val="none"/>
          <w:lang w:val="en-US" w:eastAsia="zh-CN" w:bidi="ar-SA"/>
        </w:rPr>
      </w:pPr>
      <w:r>
        <w:rPr>
          <w:rFonts w:hint="eastAsia" w:ascii="宋体" w:hAnsi="宋体" w:eastAsia="宋体" w:cs="Times New Roman"/>
          <w:kern w:val="2"/>
          <w:sz w:val="28"/>
          <w:szCs w:val="28"/>
          <w:highlight w:val="none"/>
          <w:lang w:val="en-US" w:eastAsia="zh-CN" w:bidi="ar-SA"/>
        </w:rPr>
        <w:t>3.</w:t>
      </w:r>
      <w:r>
        <w:rPr>
          <w:rFonts w:hint="eastAsia" w:ascii="宋体" w:hAnsi="宋体" w:cs="Times New Roman"/>
          <w:kern w:val="2"/>
          <w:sz w:val="28"/>
          <w:szCs w:val="28"/>
          <w:highlight w:val="none"/>
          <w:lang w:val="en-US" w:eastAsia="zh-CN" w:bidi="ar-SA"/>
        </w:rPr>
        <w:t>2</w:t>
      </w:r>
      <w:r>
        <w:rPr>
          <w:rFonts w:hint="eastAsia" w:ascii="宋体" w:hAnsi="宋体" w:eastAsia="宋体" w:cs="Times New Roman"/>
          <w:kern w:val="2"/>
          <w:sz w:val="28"/>
          <w:szCs w:val="28"/>
          <w:highlight w:val="none"/>
          <w:lang w:val="en-US" w:eastAsia="zh-CN" w:bidi="ar-SA"/>
        </w:rPr>
        <w:t>付款原则按下列条件进行：</w:t>
      </w:r>
    </w:p>
    <w:p>
      <w:pPr>
        <w:pStyle w:val="37"/>
        <w:spacing w:line="360" w:lineRule="auto"/>
        <w:ind w:left="0" w:leftChars="0" w:firstLine="560" w:firstLineChars="200"/>
        <w:rPr>
          <w:rFonts w:hint="eastAsia" w:ascii="宋体" w:hAnsi="宋体" w:eastAsia="宋体" w:cs="Times New Roman"/>
          <w:kern w:val="2"/>
          <w:sz w:val="28"/>
          <w:szCs w:val="28"/>
          <w:highlight w:val="none"/>
          <w:lang w:val="en-US" w:eastAsia="zh-CN" w:bidi="ar-SA"/>
        </w:rPr>
      </w:pPr>
      <w:r>
        <w:rPr>
          <w:rFonts w:hint="eastAsia" w:ascii="宋体" w:hAnsi="宋体" w:eastAsia="宋体" w:cs="Times New Roman"/>
          <w:kern w:val="2"/>
          <w:sz w:val="28"/>
          <w:szCs w:val="28"/>
          <w:highlight w:val="none"/>
          <w:lang w:val="en-US" w:eastAsia="zh-CN" w:bidi="ar-SA"/>
        </w:rPr>
        <w:t>（1）委托方原则上要求以信用证方式对外付款，合同签订后委托方预付全款至代理方，代理方收到款后五个工作日内开出信用证。电汇方式委托方应在实际付汇前将全部货款付至代理方。</w:t>
      </w:r>
    </w:p>
    <w:p>
      <w:pPr>
        <w:pStyle w:val="37"/>
        <w:spacing w:line="360" w:lineRule="auto"/>
        <w:ind w:left="0" w:leftChars="0" w:firstLine="560" w:firstLineChars="200"/>
        <w:rPr>
          <w:rFonts w:hint="eastAsia" w:ascii="宋体" w:hAnsi="宋体" w:eastAsia="宋体" w:cs="Times New Roman"/>
          <w:kern w:val="2"/>
          <w:sz w:val="28"/>
          <w:szCs w:val="28"/>
          <w:highlight w:val="none"/>
          <w:lang w:val="en-US" w:eastAsia="zh-CN" w:bidi="ar-SA"/>
        </w:rPr>
      </w:pPr>
      <w:r>
        <w:rPr>
          <w:rFonts w:hint="eastAsia" w:ascii="宋体" w:hAnsi="宋体" w:eastAsia="宋体" w:cs="Times New Roman"/>
          <w:kern w:val="2"/>
          <w:sz w:val="28"/>
          <w:szCs w:val="28"/>
          <w:highlight w:val="none"/>
          <w:lang w:val="en-US" w:eastAsia="zh-CN" w:bidi="ar-SA"/>
        </w:rPr>
        <w:t>（2）代理方在收到货款后</w:t>
      </w:r>
      <w:r>
        <w:rPr>
          <w:rFonts w:hint="eastAsia" w:ascii="宋体" w:hAnsi="宋体" w:cs="Times New Roman"/>
          <w:kern w:val="2"/>
          <w:sz w:val="28"/>
          <w:szCs w:val="28"/>
          <w:highlight w:val="none"/>
          <w:lang w:val="en-US" w:eastAsia="zh-CN" w:bidi="ar-SA"/>
        </w:rPr>
        <w:t>开立全额信用证，</w:t>
      </w:r>
      <w:r>
        <w:rPr>
          <w:rFonts w:hint="eastAsia" w:ascii="宋体" w:hAnsi="宋体" w:eastAsia="宋体" w:cs="Times New Roman"/>
          <w:kern w:val="2"/>
          <w:sz w:val="28"/>
          <w:szCs w:val="28"/>
          <w:highlight w:val="none"/>
          <w:lang w:val="en-US" w:eastAsia="zh-CN" w:bidi="ar-SA"/>
        </w:rPr>
        <w:t>90%凭装运单据支付、10%凭</w:t>
      </w:r>
      <w:r>
        <w:rPr>
          <w:rFonts w:hint="eastAsia" w:ascii="宋体" w:hAnsi="宋体" w:cs="Times New Roman"/>
          <w:kern w:val="2"/>
          <w:sz w:val="28"/>
          <w:szCs w:val="28"/>
          <w:highlight w:val="none"/>
          <w:lang w:val="en-US" w:eastAsia="zh-CN" w:bidi="ar-SA"/>
        </w:rPr>
        <w:t>委托方签章的验收合格证明</w:t>
      </w:r>
      <w:r>
        <w:rPr>
          <w:rFonts w:hint="eastAsia" w:ascii="宋体" w:hAnsi="宋体" w:eastAsia="宋体" w:cs="Times New Roman"/>
          <w:kern w:val="2"/>
          <w:sz w:val="28"/>
          <w:szCs w:val="28"/>
          <w:highlight w:val="none"/>
          <w:lang w:val="en-US" w:eastAsia="zh-CN" w:bidi="ar-SA"/>
        </w:rPr>
        <w:t>支付，委托方提供的技术协议另有规定的按供货合同规定的执行。</w:t>
      </w:r>
    </w:p>
    <w:p>
      <w:pPr>
        <w:pStyle w:val="37"/>
        <w:spacing w:line="360" w:lineRule="auto"/>
        <w:ind w:left="0" w:leftChars="0" w:firstLine="560" w:firstLineChars="200"/>
        <w:rPr>
          <w:rFonts w:hint="eastAsia" w:ascii="宋体" w:hAnsi="宋体" w:eastAsia="宋体" w:cs="Times New Roman"/>
          <w:kern w:val="2"/>
          <w:sz w:val="28"/>
          <w:szCs w:val="28"/>
          <w:highlight w:val="none"/>
          <w:lang w:val="en-US" w:eastAsia="zh-CN" w:bidi="ar-SA"/>
        </w:rPr>
      </w:pPr>
      <w:r>
        <w:rPr>
          <w:rFonts w:hint="eastAsia" w:ascii="宋体" w:hAnsi="宋体" w:eastAsia="宋体" w:cs="Times New Roman"/>
          <w:kern w:val="2"/>
          <w:sz w:val="28"/>
          <w:szCs w:val="28"/>
          <w:highlight w:val="none"/>
          <w:lang w:val="en-US" w:eastAsia="zh-CN" w:bidi="ar-SA"/>
        </w:rPr>
        <w:t>（3）具体以每项业务“进口代理合同”的约定为准。</w:t>
      </w:r>
    </w:p>
    <w:p>
      <w:pPr>
        <w:pStyle w:val="37"/>
        <w:spacing w:line="360" w:lineRule="auto"/>
        <w:ind w:left="0" w:leftChars="0" w:firstLine="560" w:firstLineChars="200"/>
        <w:rPr>
          <w:rFonts w:hint="eastAsia" w:ascii="宋体" w:hAnsi="宋体" w:eastAsia="宋体" w:cs="Times New Roman"/>
          <w:kern w:val="2"/>
          <w:sz w:val="28"/>
          <w:szCs w:val="28"/>
          <w:highlight w:val="none"/>
          <w:lang w:val="en-US" w:eastAsia="zh-CN" w:bidi="ar-SA"/>
        </w:rPr>
      </w:pPr>
      <w:r>
        <w:rPr>
          <w:rFonts w:hint="eastAsia" w:ascii="宋体" w:hAnsi="宋体" w:eastAsia="宋体" w:cs="Times New Roman"/>
          <w:kern w:val="2"/>
          <w:sz w:val="28"/>
          <w:szCs w:val="28"/>
          <w:highlight w:val="none"/>
          <w:lang w:val="en-US" w:eastAsia="zh-CN" w:bidi="ar-SA"/>
        </w:rPr>
        <w:t>3.</w:t>
      </w:r>
      <w:r>
        <w:rPr>
          <w:rFonts w:hint="eastAsia" w:ascii="宋体" w:hAnsi="宋体" w:cs="Times New Roman"/>
          <w:kern w:val="2"/>
          <w:sz w:val="28"/>
          <w:szCs w:val="28"/>
          <w:highlight w:val="none"/>
          <w:lang w:val="en-US" w:eastAsia="zh-CN" w:bidi="ar-SA"/>
        </w:rPr>
        <w:t>3</w:t>
      </w:r>
      <w:r>
        <w:rPr>
          <w:rFonts w:hint="eastAsia" w:ascii="宋体" w:hAnsi="宋体" w:eastAsia="宋体" w:cs="Times New Roman"/>
          <w:kern w:val="2"/>
          <w:sz w:val="28"/>
          <w:szCs w:val="28"/>
          <w:highlight w:val="none"/>
          <w:lang w:val="en-US" w:eastAsia="zh-CN" w:bidi="ar-SA"/>
        </w:rPr>
        <w:t>中标单位若发生违法违纪、消极怠工等现象，学校有权终止代理服务合作协议。</w:t>
      </w:r>
    </w:p>
    <w:p>
      <w:pPr>
        <w:spacing w:beforeLines="100" w:afterLines="100" w:line="360" w:lineRule="auto"/>
        <w:ind w:firstLine="548" w:firstLineChars="196"/>
        <w:jc w:val="center"/>
        <w:rPr>
          <w:rFonts w:hint="eastAsia" w:ascii="黑体" w:hAnsi="黑体" w:eastAsia="黑体" w:cs="宋体"/>
          <w:sz w:val="28"/>
          <w:szCs w:val="28"/>
          <w:highlight w:val="none"/>
          <w:lang w:val="en-US" w:eastAsia="zh-CN"/>
        </w:rPr>
      </w:pPr>
      <w:r>
        <w:rPr>
          <w:rFonts w:hint="eastAsia" w:ascii="黑体" w:hAnsi="黑体" w:eastAsia="黑体" w:cs="宋体"/>
          <w:sz w:val="28"/>
          <w:szCs w:val="28"/>
          <w:highlight w:val="none"/>
          <w:lang w:val="en-US" w:eastAsia="zh-CN"/>
        </w:rPr>
        <w:t>四、对投标文件的要求</w:t>
      </w:r>
    </w:p>
    <w:p>
      <w:pPr>
        <w:spacing w:line="360" w:lineRule="auto"/>
        <w:ind w:firstLine="548" w:firstLineChars="196"/>
        <w:rPr>
          <w:rFonts w:ascii="宋体" w:hAns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投标人根据招标公告向我校提出报名后，</w:t>
      </w:r>
      <w:r>
        <w:rPr>
          <w:rFonts w:hint="eastAsia" w:ascii="宋体" w:hAnsi="宋体" w:cs="宋体"/>
          <w:sz w:val="28"/>
          <w:szCs w:val="28"/>
          <w:highlight w:val="none"/>
          <w:lang w:val="en-US" w:eastAsia="zh-CN"/>
        </w:rPr>
        <w:t>自行下载</w:t>
      </w:r>
      <w:r>
        <w:rPr>
          <w:rFonts w:hint="eastAsia" w:ascii="宋体" w:hAnsi="宋体" w:cs="宋体"/>
          <w:sz w:val="28"/>
          <w:szCs w:val="28"/>
          <w:highlight w:val="none"/>
        </w:rPr>
        <w:t>招标文件，并按招标文件的要求认真编制投标文件。</w:t>
      </w:r>
    </w:p>
    <w:p>
      <w:pPr>
        <w:spacing w:line="360" w:lineRule="auto"/>
        <w:ind w:firstLine="548" w:firstLineChars="196"/>
        <w:rPr>
          <w:rFonts w:hint="eastAsia" w:ascii="宋体" w:hAnsi="宋体" w:cs="宋体"/>
          <w:sz w:val="28"/>
          <w:szCs w:val="28"/>
          <w:highlight w:val="none"/>
        </w:rPr>
      </w:pPr>
      <w:r>
        <w:rPr>
          <w:rFonts w:hint="eastAsia" w:ascii="宋体" w:hAnsi="宋体" w:cs="宋体"/>
          <w:sz w:val="28"/>
          <w:szCs w:val="28"/>
          <w:highlight w:val="none"/>
        </w:rPr>
        <w:t>2.投标人的投标文件一式</w:t>
      </w:r>
      <w:r>
        <w:rPr>
          <w:rFonts w:hint="eastAsia" w:ascii="宋体" w:hAnsi="宋体" w:cs="宋体"/>
          <w:b/>
          <w:bCs/>
          <w:sz w:val="28"/>
          <w:szCs w:val="28"/>
          <w:highlight w:val="none"/>
        </w:rPr>
        <w:t>伍份</w:t>
      </w:r>
      <w:r>
        <w:rPr>
          <w:rFonts w:hint="eastAsia" w:ascii="宋体" w:hAnsi="宋体" w:cs="宋体"/>
          <w:sz w:val="28"/>
          <w:szCs w:val="28"/>
          <w:highlight w:val="none"/>
        </w:rPr>
        <w:t>（正本一份、副本肆份），所有投标文件均应密封后递交。每套投标文件须清楚标明“正本”、“副本”。如果它们之间内容有差异，以正本为准。</w:t>
      </w:r>
    </w:p>
    <w:p>
      <w:pPr>
        <w:spacing w:line="360" w:lineRule="auto"/>
        <w:ind w:firstLine="548" w:firstLineChars="196"/>
        <w:rPr>
          <w:rFonts w:hint="eastAsia" w:ascii="宋体" w:hAnsi="宋体" w:cs="宋体"/>
          <w:sz w:val="28"/>
          <w:szCs w:val="28"/>
          <w:highlight w:val="none"/>
        </w:rPr>
      </w:pPr>
      <w:r>
        <w:rPr>
          <w:rFonts w:hint="eastAsia" w:ascii="宋体" w:hAnsi="宋体" w:cs="宋体"/>
          <w:sz w:val="28"/>
          <w:szCs w:val="28"/>
          <w:highlight w:val="none"/>
        </w:rPr>
        <w:t>3.投标文件用档案袋密封，档案袋封面标明“正本”或“副本”字样，并注明招标编号、投标项目名称、投标人名称及投标人代表姓名、手机号码（务必留手机号码，不得留座机号码，以便联系）。</w:t>
      </w:r>
    </w:p>
    <w:p>
      <w:pPr>
        <w:spacing w:line="360" w:lineRule="auto"/>
        <w:ind w:firstLine="548" w:firstLineChars="196"/>
        <w:rPr>
          <w:rFonts w:hint="eastAsia" w:ascii="宋体" w:hAnsi="宋体" w:cs="宋体"/>
          <w:sz w:val="28"/>
          <w:szCs w:val="28"/>
          <w:highlight w:val="none"/>
        </w:rPr>
      </w:pPr>
      <w:r>
        <w:rPr>
          <w:rFonts w:hint="eastAsia" w:ascii="宋体" w:hAnsi="宋体" w:cs="宋体"/>
          <w:sz w:val="28"/>
          <w:szCs w:val="28"/>
          <w:highlight w:val="none"/>
        </w:rPr>
        <w:t>4.投标文件正本和所有副本均需打印或用不褪色墨水书写，并由投标人的法定代表人或授权代表签字并在招标文件中注明须加盖公章的地方加盖公章，如为授权代表签字的应附“法定代表人授权委托书”，正本必须为原件，但投标人的相关证明文件可采用复印件，采用复印件的，招标办、评标委员会认为需要时，投标人应提供原件供核对。</w:t>
      </w:r>
    </w:p>
    <w:p>
      <w:pPr>
        <w:spacing w:line="360" w:lineRule="auto"/>
        <w:ind w:firstLine="548" w:firstLineChars="196"/>
        <w:rPr>
          <w:rFonts w:hint="eastAsia" w:ascii="宋体" w:hAnsi="宋体" w:cs="宋体"/>
          <w:sz w:val="28"/>
          <w:szCs w:val="28"/>
          <w:highlight w:val="none"/>
        </w:rPr>
      </w:pPr>
      <w:r>
        <w:rPr>
          <w:rFonts w:hint="eastAsia" w:ascii="宋体" w:hAnsi="宋体" w:cs="宋体"/>
          <w:sz w:val="28"/>
          <w:szCs w:val="28"/>
          <w:highlight w:val="none"/>
          <w:lang w:val="en-US" w:eastAsia="zh-CN"/>
        </w:rPr>
        <w:t>5.</w:t>
      </w:r>
      <w:r>
        <w:rPr>
          <w:rFonts w:hint="eastAsia" w:ascii="宋体" w:hAnsi="宋体" w:cs="宋体"/>
          <w:sz w:val="28"/>
          <w:szCs w:val="28"/>
          <w:highlight w:val="none"/>
        </w:rPr>
        <w:t>投标文件不应有涂改、增删之处，如必须修改时，修改处必须有投标人法定代表人或授权代表签字。</w:t>
      </w:r>
    </w:p>
    <w:p>
      <w:pPr>
        <w:spacing w:line="360" w:lineRule="auto"/>
        <w:ind w:firstLine="548" w:firstLineChars="196"/>
        <w:rPr>
          <w:rFonts w:hint="eastAsia" w:ascii="宋体" w:hAnsi="宋体" w:cs="宋体"/>
          <w:sz w:val="28"/>
          <w:szCs w:val="28"/>
          <w:highlight w:val="none"/>
        </w:rPr>
      </w:pPr>
      <w:r>
        <w:rPr>
          <w:rFonts w:hint="eastAsia" w:ascii="宋体" w:hAnsi="宋体" w:cs="宋体"/>
          <w:sz w:val="28"/>
          <w:szCs w:val="28"/>
          <w:highlight w:val="none"/>
          <w:lang w:val="en-US" w:eastAsia="zh-CN"/>
        </w:rPr>
        <w:t>6.</w:t>
      </w:r>
      <w:r>
        <w:rPr>
          <w:rFonts w:hint="eastAsia" w:ascii="宋体" w:hAnsi="宋体" w:cs="宋体"/>
          <w:sz w:val="28"/>
          <w:szCs w:val="28"/>
          <w:highlight w:val="none"/>
        </w:rPr>
        <w:t>投标文件提倡按照A4幅面打印或复印并进行装订，如有资料超过A4幅面折叠成A4幅面；投标文件装订提倡采用胶装的形式。</w:t>
      </w:r>
    </w:p>
    <w:p>
      <w:pPr>
        <w:spacing w:line="360" w:lineRule="auto"/>
        <w:ind w:firstLine="548" w:firstLineChars="196"/>
        <w:rPr>
          <w:rFonts w:hint="eastAsia" w:ascii="宋体" w:hAnsi="宋体" w:cs="宋体"/>
          <w:sz w:val="28"/>
          <w:szCs w:val="28"/>
          <w:highlight w:val="none"/>
        </w:rPr>
      </w:pPr>
      <w:r>
        <w:rPr>
          <w:rFonts w:hint="eastAsia" w:ascii="宋体" w:hAnsi="宋体" w:cs="宋体"/>
          <w:sz w:val="28"/>
          <w:szCs w:val="28"/>
          <w:highlight w:val="none"/>
          <w:lang w:val="en-US" w:eastAsia="zh-CN"/>
        </w:rPr>
        <w:t>7.</w:t>
      </w:r>
      <w:r>
        <w:rPr>
          <w:rFonts w:hint="eastAsia" w:ascii="宋体" w:hAnsi="宋体" w:cs="宋体"/>
          <w:sz w:val="28"/>
          <w:szCs w:val="28"/>
          <w:highlight w:val="none"/>
        </w:rPr>
        <w:t>《开标一览表》一式两份，一份装订在投标文件中，一份单独封装，并标明“开标一览表”字样，随投标文件一并递交，以便唱标时使用。</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lang w:val="en-US" w:eastAsia="zh-CN"/>
        </w:rPr>
        <w:t>8</w:t>
      </w:r>
      <w:r>
        <w:rPr>
          <w:rFonts w:ascii="宋体" w:hAnsi="宋体" w:cs="宋体"/>
          <w:sz w:val="28"/>
          <w:szCs w:val="28"/>
          <w:highlight w:val="none"/>
        </w:rPr>
        <w:t>.</w:t>
      </w:r>
      <w:r>
        <w:rPr>
          <w:rFonts w:hint="eastAsia" w:ascii="宋体" w:hAnsi="宋体" w:cs="宋体"/>
          <w:sz w:val="28"/>
          <w:szCs w:val="28"/>
          <w:highlight w:val="none"/>
        </w:rPr>
        <w:t>投标文件应包含以下内容（所有材料必须加盖投标单位公章）：</w:t>
      </w:r>
    </w:p>
    <w:p>
      <w:pPr>
        <w:spacing w:line="360" w:lineRule="auto"/>
        <w:ind w:firstLine="548" w:firstLineChars="196"/>
        <w:rPr>
          <w:rFonts w:hint="eastAsia" w:ascii="宋体" w:hAns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）经投标单位法人或委托代理人代表签字并加盖单位公章的投标函（格式见附件）；</w:t>
      </w:r>
    </w:p>
    <w:p>
      <w:pPr>
        <w:spacing w:line="360" w:lineRule="auto"/>
        <w:ind w:firstLine="548" w:firstLineChars="196"/>
        <w:rPr>
          <w:rFonts w:hint="eastAsia" w:ascii="宋体" w:hAnsi="宋体" w:cs="宋体"/>
          <w:sz w:val="28"/>
          <w:szCs w:val="28"/>
          <w:highlight w:val="none"/>
        </w:rPr>
      </w:pPr>
      <w:r>
        <w:rPr>
          <w:rFonts w:hint="eastAsia" w:ascii="宋体" w:hAnsi="宋体" w:cs="宋体"/>
          <w:sz w:val="28"/>
          <w:szCs w:val="28"/>
          <w:highlight w:val="none"/>
        </w:rPr>
        <w:t>（</w:t>
      </w:r>
      <w:r>
        <w:rPr>
          <w:rFonts w:hint="eastAsia" w:ascii="宋体" w:hAnsi="宋体" w:cs="宋体"/>
          <w:sz w:val="28"/>
          <w:szCs w:val="28"/>
          <w:highlight w:val="none"/>
          <w:lang w:val="en-US" w:eastAsia="zh-CN"/>
        </w:rPr>
        <w:t>2</w:t>
      </w:r>
      <w:r>
        <w:rPr>
          <w:rFonts w:hint="eastAsia" w:ascii="宋体" w:hAnsi="宋体" w:cs="宋体"/>
          <w:sz w:val="28"/>
          <w:szCs w:val="28"/>
          <w:highlight w:val="none"/>
        </w:rPr>
        <w:t>）开标一览表（格式见附件）</w:t>
      </w:r>
    </w:p>
    <w:p>
      <w:pPr>
        <w:spacing w:line="360" w:lineRule="auto"/>
        <w:ind w:firstLine="548" w:firstLineChars="196"/>
        <w:rPr>
          <w:rFonts w:hint="eastAsia" w:ascii="宋体" w:hAnsi="宋体" w:eastAsia="宋体" w:cs="宋体"/>
          <w:sz w:val="28"/>
          <w:szCs w:val="28"/>
          <w:highlight w:val="none"/>
          <w:lang w:eastAsia="zh-CN"/>
        </w:rPr>
      </w:pPr>
      <w:r>
        <w:rPr>
          <w:rFonts w:hint="eastAsia" w:ascii="宋体" w:hAnsi="宋体" w:cs="宋体"/>
          <w:sz w:val="28"/>
          <w:szCs w:val="28"/>
          <w:highlight w:val="none"/>
        </w:rPr>
        <w:t>（</w:t>
      </w:r>
      <w:r>
        <w:rPr>
          <w:rFonts w:hint="eastAsia" w:ascii="宋体" w:hAnsi="宋体" w:cs="宋体"/>
          <w:sz w:val="28"/>
          <w:szCs w:val="28"/>
          <w:highlight w:val="none"/>
          <w:lang w:val="en-US" w:eastAsia="zh-CN"/>
        </w:rPr>
        <w:t>3</w:t>
      </w:r>
      <w:r>
        <w:rPr>
          <w:rFonts w:hint="eastAsia" w:ascii="宋体" w:hAnsi="宋体" w:cs="宋体"/>
          <w:sz w:val="28"/>
          <w:szCs w:val="28"/>
          <w:highlight w:val="none"/>
        </w:rPr>
        <w:t>）法定代表人授权委托书及委托代理人的身份证明文件的复印件</w:t>
      </w:r>
      <w:r>
        <w:rPr>
          <w:rFonts w:hint="eastAsia" w:ascii="宋体" w:hAnsi="宋体" w:cs="宋体"/>
          <w:sz w:val="28"/>
          <w:szCs w:val="28"/>
          <w:highlight w:val="none"/>
          <w:lang w:eastAsia="zh-CN"/>
        </w:rPr>
        <w:t>；</w:t>
      </w:r>
    </w:p>
    <w:p>
      <w:pPr>
        <w:spacing w:line="360" w:lineRule="auto"/>
        <w:ind w:firstLine="548" w:firstLineChars="196"/>
        <w:rPr>
          <w:rFonts w:hint="eastAsia" w:ascii="宋体" w:hAnsi="宋体" w:cs="宋体"/>
          <w:sz w:val="28"/>
          <w:szCs w:val="28"/>
          <w:highlight w:val="none"/>
        </w:rPr>
      </w:pPr>
      <w:r>
        <w:rPr>
          <w:rFonts w:hint="eastAsia" w:ascii="宋体" w:hAnsi="宋体" w:cs="宋体"/>
          <w:sz w:val="28"/>
          <w:szCs w:val="28"/>
          <w:highlight w:val="none"/>
        </w:rPr>
        <w:t>（</w:t>
      </w:r>
      <w:r>
        <w:rPr>
          <w:rFonts w:hint="eastAsia" w:ascii="宋体" w:hAnsi="宋体" w:cs="宋体"/>
          <w:sz w:val="28"/>
          <w:szCs w:val="28"/>
          <w:highlight w:val="none"/>
          <w:lang w:val="en-US" w:eastAsia="zh-CN"/>
        </w:rPr>
        <w:t>4</w:t>
      </w:r>
      <w:r>
        <w:rPr>
          <w:rFonts w:hint="eastAsia" w:ascii="宋体" w:hAnsi="宋体" w:cs="宋体"/>
          <w:sz w:val="28"/>
          <w:szCs w:val="28"/>
          <w:highlight w:val="none"/>
        </w:rPr>
        <w:t>）投标人相关资质证明文件复印件</w:t>
      </w:r>
      <w:r>
        <w:rPr>
          <w:rFonts w:hint="eastAsia" w:ascii="宋体" w:hAnsi="宋体" w:cs="宋体"/>
          <w:sz w:val="28"/>
          <w:szCs w:val="28"/>
          <w:highlight w:val="none"/>
          <w:lang w:eastAsia="zh-CN"/>
        </w:rPr>
        <w:t>（</w:t>
      </w:r>
      <w:r>
        <w:rPr>
          <w:rFonts w:hint="eastAsia" w:ascii="宋体" w:hAnsi="宋体" w:cs="宋体"/>
          <w:sz w:val="28"/>
          <w:szCs w:val="28"/>
          <w:highlight w:val="none"/>
        </w:rPr>
        <w:t>如：营业执照、生产许可证、资质证书等）</w:t>
      </w:r>
      <w:r>
        <w:rPr>
          <w:rFonts w:hint="eastAsia" w:ascii="宋体" w:hAnsi="宋体" w:cs="宋体"/>
          <w:sz w:val="28"/>
          <w:szCs w:val="28"/>
          <w:highlight w:val="none"/>
          <w:lang w:eastAsia="zh-CN"/>
        </w:rPr>
        <w:t>；</w:t>
      </w:r>
    </w:p>
    <w:p>
      <w:pPr>
        <w:spacing w:line="360" w:lineRule="auto"/>
        <w:ind w:firstLine="548" w:firstLineChars="196"/>
        <w:rPr>
          <w:rFonts w:hint="eastAsia" w:ascii="宋体" w:hAnsi="宋体" w:cs="宋体"/>
          <w:sz w:val="28"/>
          <w:szCs w:val="28"/>
          <w:highlight w:val="none"/>
        </w:rPr>
      </w:pPr>
      <w:r>
        <w:rPr>
          <w:rFonts w:hint="eastAsia" w:ascii="宋体" w:hAnsi="宋体" w:cs="宋体"/>
          <w:sz w:val="28"/>
          <w:szCs w:val="28"/>
          <w:highlight w:val="none"/>
        </w:rPr>
        <w:t>（</w:t>
      </w:r>
      <w:r>
        <w:rPr>
          <w:rFonts w:hint="eastAsia" w:ascii="宋体" w:hAnsi="宋体" w:cs="宋体"/>
          <w:sz w:val="28"/>
          <w:szCs w:val="28"/>
          <w:highlight w:val="none"/>
          <w:lang w:val="en-US" w:eastAsia="zh-CN"/>
        </w:rPr>
        <w:t>5</w:t>
      </w:r>
      <w:r>
        <w:rPr>
          <w:rFonts w:hint="eastAsia" w:ascii="宋体" w:hAnsi="宋体" w:cs="宋体"/>
          <w:sz w:val="28"/>
          <w:szCs w:val="28"/>
          <w:highlight w:val="none"/>
        </w:rPr>
        <w:t>）300元报名资料费银行转账回单（复印件）；</w:t>
      </w:r>
    </w:p>
    <w:p>
      <w:pPr>
        <w:spacing w:line="360" w:lineRule="auto"/>
        <w:ind w:firstLine="548" w:firstLineChars="196"/>
        <w:rPr>
          <w:rFonts w:hint="eastAsia" w:ascii="宋体" w:hAnsi="宋体" w:cs="宋体"/>
          <w:sz w:val="28"/>
          <w:szCs w:val="28"/>
          <w:highlight w:val="none"/>
        </w:rPr>
      </w:pP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6</w:t>
      </w:r>
      <w:r>
        <w:rPr>
          <w:rFonts w:hint="eastAsia" w:ascii="宋体" w:hAnsi="宋体" w:cs="宋体"/>
          <w:sz w:val="28"/>
          <w:szCs w:val="28"/>
          <w:highlight w:val="none"/>
          <w:lang w:eastAsia="zh-CN"/>
        </w:rPr>
        <w:t>）</w:t>
      </w:r>
      <w:r>
        <w:rPr>
          <w:rFonts w:hint="eastAsia" w:ascii="宋体" w:hAnsi="宋体" w:cs="宋体"/>
          <w:sz w:val="28"/>
          <w:szCs w:val="28"/>
          <w:highlight w:val="none"/>
        </w:rPr>
        <w:t>招标文件规定或投标人对照评标办法的得分因素认为应提交的其他资料和文件。</w:t>
      </w:r>
    </w:p>
    <w:p>
      <w:pPr>
        <w:numPr>
          <w:ilvl w:val="0"/>
          <w:numId w:val="1"/>
        </w:numPr>
        <w:spacing w:line="360" w:lineRule="auto"/>
        <w:ind w:firstLine="548" w:firstLineChars="196"/>
        <w:rPr>
          <w:rFonts w:hint="eastAsia" w:ascii="宋体" w:hAnsi="宋体" w:cs="宋体"/>
          <w:sz w:val="28"/>
          <w:szCs w:val="28"/>
          <w:highlight w:val="none"/>
        </w:rPr>
      </w:pPr>
      <w:r>
        <w:rPr>
          <w:rFonts w:hint="eastAsia" w:ascii="宋体" w:hAnsi="宋体" w:cs="宋体"/>
          <w:sz w:val="28"/>
          <w:szCs w:val="28"/>
          <w:highlight w:val="none"/>
          <w:lang w:val="en-US" w:eastAsia="zh-CN"/>
        </w:rPr>
        <w:t>根据</w:t>
      </w:r>
      <w:r>
        <w:rPr>
          <w:rFonts w:hint="eastAsia" w:ascii="宋体" w:hAnsi="宋体" w:cs="宋体"/>
          <w:sz w:val="28"/>
          <w:szCs w:val="28"/>
          <w:highlight w:val="none"/>
        </w:rPr>
        <w:t>采购人</w:t>
      </w:r>
      <w:r>
        <w:rPr>
          <w:rFonts w:hint="eastAsia" w:ascii="宋体" w:hAnsi="宋体" w:cs="宋体"/>
          <w:sz w:val="28"/>
          <w:szCs w:val="28"/>
          <w:highlight w:val="none"/>
          <w:lang w:val="en-US" w:eastAsia="zh-CN"/>
        </w:rPr>
        <w:t>要求</w:t>
      </w:r>
      <w:r>
        <w:rPr>
          <w:rFonts w:hint="eastAsia" w:ascii="宋体" w:hAnsi="宋体" w:cs="宋体"/>
          <w:sz w:val="28"/>
          <w:szCs w:val="28"/>
          <w:highlight w:val="none"/>
        </w:rPr>
        <w:t>提供（如有</w:t>
      </w:r>
      <w:r>
        <w:rPr>
          <w:rFonts w:hint="eastAsia" w:ascii="宋体" w:hAnsi="宋体" w:cs="宋体"/>
          <w:sz w:val="28"/>
          <w:szCs w:val="28"/>
          <w:highlight w:val="none"/>
          <w:lang w:eastAsia="zh-CN"/>
        </w:rPr>
        <w:t>，</w:t>
      </w:r>
      <w:r>
        <w:rPr>
          <w:rFonts w:hint="eastAsia" w:ascii="宋体" w:hAnsi="宋体" w:cs="宋体"/>
          <w:sz w:val="28"/>
          <w:szCs w:val="28"/>
          <w:highlight w:val="none"/>
        </w:rPr>
        <w:t>自拟并自行添加）；</w:t>
      </w:r>
    </w:p>
    <w:p>
      <w:pPr>
        <w:numPr>
          <w:ilvl w:val="0"/>
          <w:numId w:val="1"/>
        </w:numPr>
        <w:spacing w:line="360" w:lineRule="auto"/>
        <w:ind w:left="0" w:leftChars="0" w:firstLine="548" w:firstLineChars="196"/>
        <w:rPr>
          <w:rFonts w:hint="eastAsia" w:ascii="宋体" w:hAnsi="宋体" w:cs="宋体"/>
          <w:sz w:val="28"/>
          <w:szCs w:val="28"/>
          <w:highlight w:val="none"/>
        </w:rPr>
      </w:pPr>
      <w:r>
        <w:rPr>
          <w:rFonts w:hint="eastAsia" w:ascii="宋体" w:hAnsi="宋体" w:cs="宋体"/>
          <w:sz w:val="28"/>
          <w:szCs w:val="28"/>
          <w:highlight w:val="none"/>
        </w:rPr>
        <w:t>其它（投标人认为有必要提供的声明和文件，如有，自行拟定并添加）。</w:t>
      </w:r>
    </w:p>
    <w:p>
      <w:pPr>
        <w:numPr>
          <w:ilvl w:val="0"/>
          <w:numId w:val="1"/>
        </w:numPr>
        <w:spacing w:line="360" w:lineRule="auto"/>
        <w:ind w:left="0" w:leftChars="0" w:firstLine="548" w:firstLineChars="196"/>
        <w:rPr>
          <w:rFonts w:hint="eastAsia" w:ascii="宋体" w:hAnsi="宋体" w:cs="宋体"/>
          <w:sz w:val="28"/>
          <w:szCs w:val="28"/>
          <w:highlight w:val="none"/>
        </w:rPr>
      </w:pPr>
      <w:r>
        <w:rPr>
          <w:rFonts w:hint="eastAsia" w:ascii="宋体" w:hAnsi="宋体" w:cs="宋体"/>
          <w:sz w:val="28"/>
          <w:szCs w:val="28"/>
          <w:highlight w:val="none"/>
        </w:rPr>
        <w:t>对所提供投标资料真实性的声明，如有失信，自愿接受我校的相关处罚（法人代表或授权委托人签名并加盖单位公章的原件）；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lang w:val="en-US" w:eastAsia="zh-CN"/>
        </w:rPr>
        <w:t>9</w:t>
      </w:r>
      <w:r>
        <w:rPr>
          <w:rFonts w:hint="eastAsia" w:ascii="宋体" w:hAnsi="宋体" w:cs="宋体"/>
          <w:sz w:val="28"/>
          <w:szCs w:val="28"/>
          <w:highlight w:val="none"/>
        </w:rPr>
        <w:t>.投标人在投标文件中应承诺对如下内容已完全理解，如不承诺，视为认可：</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）在参与我校相关项目的招投标活动中，遵纪守法，诚信经营，公平竞争；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）不向项目主管单位、招标主管单位、采购人、评标专家等相关人员行贿或提供好处等；不与招标采购项目的主管单位、招标管理部门、采购人、评审专家或其他投标人串通，干扰学校招标采购市场秩序；</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）不向学校提供虚假资质文件或采用各种虚假应标方式进行投标竞争；不采取“围标、陪标”等商业欺诈手段参与投标；不发生其他有悖于招标采购“公开、公平、公正和诚信”原则的行为；</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）不采取不正当手段诋毁、排挤其他投标人；</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5</w:t>
      </w:r>
      <w:r>
        <w:rPr>
          <w:rFonts w:hint="eastAsia" w:ascii="宋体" w:hAnsi="宋体" w:cs="宋体"/>
          <w:sz w:val="28"/>
          <w:szCs w:val="28"/>
          <w:highlight w:val="none"/>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6</w:t>
      </w:r>
      <w:r>
        <w:rPr>
          <w:rFonts w:hint="eastAsia" w:ascii="宋体" w:hAnsi="宋体" w:cs="宋体"/>
          <w:sz w:val="28"/>
          <w:szCs w:val="28"/>
          <w:highlight w:val="none"/>
        </w:rPr>
        <w:t>）本项目的中标单位由本校评标专家组按规定程序确定（采用“评定分离”制的项目除外）；</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7</w:t>
      </w:r>
      <w:r>
        <w:rPr>
          <w:rFonts w:hint="eastAsia" w:ascii="宋体" w:hAnsi="宋体" w:cs="宋体"/>
          <w:sz w:val="28"/>
          <w:szCs w:val="28"/>
          <w:highlight w:val="none"/>
        </w:rPr>
        <w:t>）未能中标单位，本校对其原因不作解释；</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8</w:t>
      </w:r>
      <w:r>
        <w:rPr>
          <w:rFonts w:hint="eastAsia" w:ascii="宋体" w:hAnsi="宋体" w:cs="宋体"/>
          <w:sz w:val="28"/>
          <w:szCs w:val="28"/>
          <w:highlight w:val="none"/>
        </w:rPr>
        <w:t>）投标单位对本文件其他内容已充分理解，并承诺一经中标即严格按合同执行，合同附件与合同有同等法律效力。</w:t>
      </w:r>
    </w:p>
    <w:p>
      <w:pPr>
        <w:spacing w:before="240" w:beforeLines="100" w:after="240" w:afterLines="100" w:line="360" w:lineRule="auto"/>
        <w:ind w:firstLine="548" w:firstLineChars="196"/>
        <w:jc w:val="center"/>
        <w:rPr>
          <w:rFonts w:ascii="黑体" w:hAnsi="黑体" w:eastAsia="黑体" w:cs="宋体"/>
          <w:sz w:val="28"/>
          <w:szCs w:val="28"/>
          <w:highlight w:val="none"/>
        </w:rPr>
      </w:pPr>
      <w:bookmarkStart w:id="2" w:name="_Hlk9866206"/>
      <w:r>
        <w:rPr>
          <w:rFonts w:hint="eastAsia" w:ascii="黑体" w:hAnsi="黑体" w:eastAsia="黑体" w:cs="宋体"/>
          <w:sz w:val="28"/>
          <w:szCs w:val="28"/>
          <w:highlight w:val="none"/>
          <w:lang w:val="en-US" w:eastAsia="zh-CN"/>
        </w:rPr>
        <w:t>五</w:t>
      </w:r>
      <w:r>
        <w:rPr>
          <w:rFonts w:hint="eastAsia" w:ascii="黑体" w:hAnsi="黑体" w:eastAsia="黑体" w:cs="宋体"/>
          <w:sz w:val="28"/>
          <w:szCs w:val="28"/>
          <w:highlight w:val="none"/>
        </w:rPr>
        <w:t>、开标程序</w:t>
      </w:r>
    </w:p>
    <w:bookmarkEnd w:id="2"/>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招标文件给出评标办法（见附件</w:t>
      </w:r>
      <w:r>
        <w:rPr>
          <w:rFonts w:hint="eastAsia" w:ascii="宋体" w:hAnsi="宋体" w:cs="宋体"/>
          <w:sz w:val="28"/>
          <w:szCs w:val="28"/>
          <w:highlight w:val="none"/>
          <w:lang w:val="en-US" w:eastAsia="zh-CN"/>
        </w:rPr>
        <w:t>4</w:t>
      </w:r>
      <w:r>
        <w:rPr>
          <w:rFonts w:hint="eastAsia" w:ascii="宋体" w:hAnsi="宋体" w:cs="宋体"/>
          <w:sz w:val="28"/>
          <w:szCs w:val="28"/>
          <w:highlight w:val="none"/>
        </w:rPr>
        <w:t>）</w:t>
      </w:r>
      <w:r>
        <w:rPr>
          <w:rFonts w:ascii="宋体" w:cs="宋体"/>
          <w:sz w:val="28"/>
          <w:szCs w:val="28"/>
          <w:highlight w:val="none"/>
        </w:rPr>
        <w:t>,</w:t>
      </w:r>
      <w:r>
        <w:rPr>
          <w:rFonts w:hint="eastAsia" w:ascii="宋体" w:hAnsi="宋体" w:cs="宋体"/>
          <w:sz w:val="28"/>
          <w:szCs w:val="28"/>
          <w:highlight w:val="none"/>
        </w:rPr>
        <w:t>供投标人和评标专家组参考。</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在开标前工作日的半天，由校相关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由招标办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招标办工作人员在投标人的见证下唱标。投标人或投标人代表在唱标结果上签名确认。如投标人均未参加唱标，则由招标办工作人员和评标专家组组长、采购人代表共同签名确认。重要项目另请纪检监察部门代表签字。</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pPr>
        <w:spacing w:line="360" w:lineRule="auto"/>
        <w:ind w:firstLine="560" w:firstLineChars="200"/>
        <w:rPr>
          <w:rFonts w:ascii="宋体" w:cs="宋体"/>
          <w:sz w:val="28"/>
          <w:szCs w:val="28"/>
          <w:highlight w:val="none"/>
        </w:rPr>
      </w:pPr>
      <w:r>
        <w:rPr>
          <w:rFonts w:hint="eastAsia" w:ascii="宋体" w:hAnsi="宋体" w:cs="宋体"/>
          <w:sz w:val="28"/>
          <w:szCs w:val="28"/>
          <w:highlight w:val="none"/>
        </w:rPr>
        <w:t>备注：评标统计规则：各评委先对各家单位综合得分情况进行排序，再将各评委排序累加，数字最小者为第一名，余类推，如有并列，再计算总分加以区别。</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投标报价有算术错误的，评标专家组按以下原则对投标报价进行修正，修正的价格经投标人书面确认后具有约束力。投标人不接受修正价格的，其投标作无效标处理。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）投标文件中的大写金额与小写金额不一致的，以大写金额为准；正本和副本不一致的，以正本为准。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）总价金额与依据单价计算出的结果不一致的，以单价金额为准修正总价，但单价金额小数点有明显错误的除外。</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招标办根据评标专家组综合排序，在学校网站和招标办网站对拟中标单位进行公示。公示结束，无异议，确定中标单位。</w:t>
      </w:r>
    </w:p>
    <w:p>
      <w:pPr>
        <w:spacing w:before="240" w:beforeLines="100" w:after="240"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lang w:val="en-US" w:eastAsia="zh-CN"/>
        </w:rPr>
        <w:t>六</w:t>
      </w:r>
      <w:r>
        <w:rPr>
          <w:rFonts w:hint="eastAsia" w:ascii="黑体" w:hAnsi="黑体" w:eastAsia="黑体" w:cs="宋体"/>
          <w:sz w:val="28"/>
          <w:szCs w:val="28"/>
          <w:highlight w:val="none"/>
        </w:rPr>
        <w:t>、无效投标</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投标文件出现下列情形的，将作为无效投标文件，不得进入评标：</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投标文件未按照招标文件的要求予以密封的；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投标文件中应盖投标单位公章未盖章的（含投标函、承诺函），或投标文件中投标单位法定代表人（或委托代理人）应盖章签字未盖章签字的，或投标文件正（副）本整本均未见法定代表人或委托代理人签字的；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投标文件少项漏项，或关键内容字迹模糊、无法辨认的；</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lang w:val="en-US" w:eastAsia="zh-CN"/>
        </w:rPr>
        <w:t>4</w:t>
      </w:r>
      <w:r>
        <w:rPr>
          <w:rFonts w:ascii="宋体" w:hAnsi="宋体" w:cs="宋体"/>
          <w:sz w:val="28"/>
          <w:szCs w:val="28"/>
          <w:highlight w:val="none"/>
        </w:rPr>
        <w:t>.</w:t>
      </w:r>
      <w:r>
        <w:rPr>
          <w:rFonts w:hint="eastAsia" w:ascii="宋体" w:hAnsi="宋体" w:cs="宋体"/>
          <w:sz w:val="28"/>
          <w:szCs w:val="28"/>
          <w:highlight w:val="none"/>
        </w:rPr>
        <w:t>投标单位提供的服务未能响应招标文件要求的，或服务不能满足招标要求的，或不符合招标文件规定的其他实质性要求的，或投标文件附有招标人不能接受的条件的；</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lang w:val="en-US" w:eastAsia="zh-CN"/>
        </w:rPr>
        <w:t>5</w:t>
      </w:r>
      <w:r>
        <w:rPr>
          <w:rFonts w:ascii="宋体" w:hAnsi="宋体" w:cs="宋体"/>
          <w:sz w:val="28"/>
          <w:szCs w:val="28"/>
          <w:highlight w:val="none"/>
        </w:rPr>
        <w:t>.</w:t>
      </w:r>
      <w:r>
        <w:rPr>
          <w:rFonts w:hint="eastAsia" w:ascii="宋体" w:hAnsi="宋体" w:cs="宋体"/>
          <w:sz w:val="28"/>
          <w:szCs w:val="28"/>
          <w:highlight w:val="none"/>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pPr>
        <w:spacing w:line="360" w:lineRule="auto"/>
        <w:ind w:firstLine="548" w:firstLineChars="196"/>
        <w:rPr>
          <w:rFonts w:ascii="宋体" w:hAnsi="宋体" w:cs="宋体"/>
          <w:b/>
          <w:sz w:val="28"/>
          <w:szCs w:val="28"/>
          <w:highlight w:val="none"/>
        </w:rPr>
      </w:pPr>
      <w:r>
        <w:rPr>
          <w:rFonts w:hint="eastAsia" w:ascii="宋体" w:hAnsi="宋体" w:cs="宋体"/>
          <w:sz w:val="28"/>
          <w:szCs w:val="28"/>
          <w:highlight w:val="none"/>
          <w:lang w:val="en-US" w:eastAsia="zh-CN"/>
        </w:rPr>
        <w:t>6</w:t>
      </w:r>
      <w:r>
        <w:rPr>
          <w:rFonts w:ascii="宋体" w:hAnsi="宋体" w:cs="宋体"/>
          <w:sz w:val="28"/>
          <w:szCs w:val="28"/>
          <w:highlight w:val="none"/>
        </w:rPr>
        <w:t>.</w:t>
      </w:r>
      <w:r>
        <w:rPr>
          <w:rFonts w:hint="eastAsia" w:ascii="宋体" w:hAnsi="宋体" w:cs="宋体"/>
          <w:sz w:val="28"/>
          <w:szCs w:val="28"/>
          <w:highlight w:val="none"/>
        </w:rPr>
        <w:t>无</w:t>
      </w:r>
      <w:r>
        <w:rPr>
          <w:rFonts w:ascii="宋体" w:hAnsi="宋体" w:cs="宋体"/>
          <w:sz w:val="28"/>
          <w:szCs w:val="28"/>
          <w:highlight w:val="none"/>
        </w:rPr>
        <w:t>300</w:t>
      </w:r>
      <w:r>
        <w:rPr>
          <w:rFonts w:hint="eastAsia" w:ascii="宋体" w:hAnsi="宋体" w:cs="宋体"/>
          <w:sz w:val="28"/>
          <w:szCs w:val="28"/>
          <w:highlight w:val="none"/>
        </w:rPr>
        <w:t>元报名资料费银行转账回单复印件的，或报名资料费银行转账回单中无</w:t>
      </w:r>
      <w:r>
        <w:rPr>
          <w:rFonts w:hint="eastAsia" w:ascii="宋体" w:hAnsi="宋体" w:cs="宋体"/>
          <w:b/>
          <w:sz w:val="28"/>
          <w:szCs w:val="28"/>
          <w:highlight w:val="none"/>
        </w:rPr>
        <w:t>“SBC2020</w:t>
      </w:r>
      <w:r>
        <w:rPr>
          <w:rFonts w:hint="eastAsia" w:ascii="宋体" w:hAnsi="宋体" w:cs="宋体"/>
          <w:b/>
          <w:sz w:val="28"/>
          <w:szCs w:val="28"/>
          <w:highlight w:val="none"/>
          <w:lang w:val="en-US" w:eastAsia="zh-CN"/>
        </w:rPr>
        <w:t>105</w:t>
      </w:r>
      <w:r>
        <w:rPr>
          <w:rFonts w:hint="eastAsia" w:ascii="宋体" w:hAnsi="宋体" w:cs="宋体"/>
          <w:b/>
          <w:sz w:val="28"/>
          <w:szCs w:val="28"/>
          <w:highlight w:val="none"/>
        </w:rPr>
        <w:t>资料费”</w:t>
      </w:r>
      <w:r>
        <w:rPr>
          <w:rFonts w:hint="eastAsia" w:ascii="宋体" w:hAnsi="宋体" w:cs="宋体"/>
          <w:sz w:val="28"/>
          <w:szCs w:val="28"/>
          <w:highlight w:val="none"/>
        </w:rPr>
        <w:t>字样的；</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lang w:val="en-US" w:eastAsia="zh-CN"/>
        </w:rPr>
        <w:t>7</w:t>
      </w:r>
      <w:r>
        <w:rPr>
          <w:rFonts w:ascii="宋体" w:hAnsi="宋体" w:cs="宋体"/>
          <w:sz w:val="28"/>
          <w:szCs w:val="28"/>
          <w:highlight w:val="none"/>
        </w:rPr>
        <w:t>.</w:t>
      </w:r>
      <w:r>
        <w:rPr>
          <w:rFonts w:hint="eastAsia" w:ascii="宋体" w:hAnsi="宋体" w:cs="宋体"/>
          <w:sz w:val="28"/>
          <w:szCs w:val="28"/>
          <w:highlight w:val="none"/>
        </w:rPr>
        <w:t>招标文件中虽没明确，但经评标专家组讨论通过的符合无效投标情形的其他条件。</w:t>
      </w:r>
    </w:p>
    <w:p>
      <w:pPr>
        <w:spacing w:before="240" w:beforeLines="100" w:after="240"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lang w:val="en-US" w:eastAsia="zh-CN"/>
        </w:rPr>
        <w:t>七</w:t>
      </w:r>
      <w:r>
        <w:rPr>
          <w:rFonts w:hint="eastAsia" w:ascii="黑体" w:hAnsi="黑体" w:eastAsia="黑体" w:cs="宋体"/>
          <w:sz w:val="28"/>
          <w:szCs w:val="28"/>
          <w:highlight w:val="none"/>
        </w:rPr>
        <w:t>、评标办法</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本着“质量第一、价格合理、服务优异、保障有力”的原则，由采购人、项目归口管理部门和招标办从报价、</w:t>
      </w:r>
      <w:r>
        <w:rPr>
          <w:rFonts w:hint="eastAsia" w:ascii="宋体" w:hAnsi="宋体" w:cs="宋体"/>
          <w:sz w:val="28"/>
          <w:szCs w:val="28"/>
          <w:highlight w:val="none"/>
          <w:lang w:val="en-US" w:eastAsia="zh-CN"/>
        </w:rPr>
        <w:t>方案</w:t>
      </w:r>
      <w:r>
        <w:rPr>
          <w:rFonts w:hint="eastAsia" w:ascii="宋体" w:hAnsi="宋体" w:cs="宋体"/>
          <w:sz w:val="28"/>
          <w:szCs w:val="28"/>
          <w:highlight w:val="none"/>
        </w:rPr>
        <w:t>、</w:t>
      </w:r>
      <w:r>
        <w:rPr>
          <w:rFonts w:hint="eastAsia" w:ascii="宋体" w:hAnsi="宋体" w:cs="宋体"/>
          <w:sz w:val="28"/>
          <w:szCs w:val="28"/>
          <w:highlight w:val="none"/>
          <w:lang w:val="en-US" w:eastAsia="zh-CN"/>
        </w:rPr>
        <w:t>规模、</w:t>
      </w:r>
      <w:r>
        <w:rPr>
          <w:rFonts w:hint="eastAsia" w:ascii="宋体" w:hAnsi="宋体" w:cs="宋体"/>
          <w:sz w:val="28"/>
          <w:szCs w:val="28"/>
          <w:highlight w:val="none"/>
        </w:rPr>
        <w:t>服务、业绩</w:t>
      </w:r>
      <w:r>
        <w:rPr>
          <w:rFonts w:hint="eastAsia" w:ascii="宋体" w:hAnsi="宋体" w:cs="宋体"/>
          <w:sz w:val="28"/>
          <w:szCs w:val="28"/>
          <w:highlight w:val="none"/>
          <w:lang w:val="en-US" w:eastAsia="zh-CN"/>
        </w:rPr>
        <w:t>等</w:t>
      </w:r>
      <w:r>
        <w:rPr>
          <w:rFonts w:hint="eastAsia" w:ascii="宋体" w:hAnsi="宋体" w:cs="宋体"/>
          <w:sz w:val="28"/>
          <w:szCs w:val="28"/>
          <w:highlight w:val="none"/>
        </w:rPr>
        <w:t>方面提出评标办法</w:t>
      </w:r>
      <w:r>
        <w:rPr>
          <w:rFonts w:hint="eastAsia" w:ascii="宋体" w:hAnsi="宋体" w:cs="宋体"/>
          <w:sz w:val="28"/>
          <w:szCs w:val="28"/>
          <w:highlight w:val="none"/>
        </w:rPr>
        <w:t>（见附件</w:t>
      </w:r>
      <w:r>
        <w:rPr>
          <w:rFonts w:hint="eastAsia" w:ascii="宋体" w:hAnsi="宋体" w:cs="宋体"/>
          <w:sz w:val="28"/>
          <w:szCs w:val="28"/>
          <w:highlight w:val="none"/>
          <w:lang w:val="en-US" w:eastAsia="zh-CN"/>
        </w:rPr>
        <w:t>4</w:t>
      </w:r>
      <w:r>
        <w:rPr>
          <w:rFonts w:hint="eastAsia" w:ascii="宋体" w:hAnsi="宋体" w:cs="宋体"/>
          <w:sz w:val="28"/>
          <w:szCs w:val="28"/>
          <w:highlight w:val="none"/>
        </w:rPr>
        <w:t>）。</w:t>
      </w:r>
    </w:p>
    <w:p>
      <w:pPr>
        <w:spacing w:before="240" w:beforeLines="100" w:after="240"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lang w:val="en-US" w:eastAsia="zh-CN"/>
        </w:rPr>
        <w:t>八</w:t>
      </w:r>
      <w:r>
        <w:rPr>
          <w:rFonts w:hint="eastAsia" w:ascii="黑体" w:hAnsi="黑体" w:eastAsia="黑体" w:cs="宋体"/>
          <w:sz w:val="28"/>
          <w:szCs w:val="28"/>
          <w:highlight w:val="none"/>
        </w:rPr>
        <w:t>、合同、履约、验收及结算等事项</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合同：</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）中标公示结束无异议后</w:t>
      </w:r>
      <w:r>
        <w:rPr>
          <w:rFonts w:ascii="宋体" w:hAnsi="宋体" w:cs="宋体"/>
          <w:sz w:val="28"/>
          <w:szCs w:val="28"/>
          <w:highlight w:val="none"/>
        </w:rPr>
        <w:t>5</w:t>
      </w:r>
      <w:r>
        <w:rPr>
          <w:rFonts w:hint="eastAsia" w:ascii="宋体" w:hAnsi="宋体" w:cs="宋体"/>
          <w:sz w:val="28"/>
          <w:szCs w:val="28"/>
          <w:highlight w:val="none"/>
        </w:rPr>
        <w:t>个工作日内，中标单位须及时缴纳中标价的</w:t>
      </w:r>
      <w:r>
        <w:rPr>
          <w:rFonts w:hint="eastAsia" w:ascii="宋体" w:hAnsi="宋体" w:cs="宋体"/>
          <w:sz w:val="28"/>
          <w:szCs w:val="28"/>
          <w:highlight w:val="none"/>
          <w:lang w:val="en-US" w:eastAsia="zh-CN"/>
        </w:rPr>
        <w:t>10000元（壹万元整）</w:t>
      </w:r>
      <w:r>
        <w:rPr>
          <w:rFonts w:hint="eastAsia" w:ascii="宋体" w:hAnsi="宋体" w:cs="宋体"/>
          <w:sz w:val="28"/>
          <w:szCs w:val="28"/>
          <w:highlight w:val="none"/>
        </w:rPr>
        <w:t>履约保证金并前来我校领取《中标通知书》（一式二份）。</w:t>
      </w:r>
    </w:p>
    <w:p>
      <w:pPr>
        <w:spacing w:line="360" w:lineRule="auto"/>
        <w:ind w:firstLine="548" w:firstLineChars="196"/>
        <w:rPr>
          <w:rFonts w:hint="eastAsia" w:ascii="宋体" w:hAns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）中标单位须在接《中标通知书》起</w:t>
      </w:r>
      <w:r>
        <w:rPr>
          <w:rFonts w:ascii="宋体" w:hAnsi="宋体" w:cs="宋体"/>
          <w:sz w:val="28"/>
          <w:szCs w:val="28"/>
          <w:highlight w:val="none"/>
        </w:rPr>
        <w:t>7</w:t>
      </w:r>
      <w:r>
        <w:rPr>
          <w:rFonts w:hint="eastAsia" w:ascii="宋体" w:hAnsi="宋体" w:cs="宋体"/>
          <w:sz w:val="28"/>
          <w:szCs w:val="28"/>
          <w:highlight w:val="none"/>
        </w:rPr>
        <w:t>个工作日内，凭《中标通知书》原件与项目归口管理部门或采购人签订供货和服务合同。中标人不得以任何理由拖延、拒签合同；中标单位拒不签订合同的，我校将其列入黑名单，三年内不得到我校从事任何招投标活动。</w:t>
      </w:r>
    </w:p>
    <w:p>
      <w:pPr>
        <w:pStyle w:val="6"/>
        <w:rPr>
          <w:highlight w:val="none"/>
        </w:rPr>
      </w:pPr>
      <w:r>
        <w:rPr>
          <w:rFonts w:hint="eastAsia" w:ascii="宋体" w:hAnsi="宋体" w:cs="宋体"/>
          <w:sz w:val="28"/>
          <w:szCs w:val="28"/>
          <w:highlight w:val="none"/>
        </w:rPr>
        <w:t>（3）附件</w:t>
      </w:r>
      <w:r>
        <w:rPr>
          <w:rFonts w:hint="eastAsia" w:ascii="宋体" w:hAnsi="宋体" w:cs="宋体"/>
          <w:sz w:val="28"/>
          <w:szCs w:val="28"/>
          <w:highlight w:val="none"/>
          <w:lang w:val="en-US" w:eastAsia="zh-CN"/>
        </w:rPr>
        <w:t>5</w:t>
      </w:r>
      <w:r>
        <w:rPr>
          <w:rFonts w:hint="eastAsia" w:ascii="宋体" w:hAnsi="宋体" w:cs="宋体"/>
          <w:sz w:val="28"/>
          <w:szCs w:val="28"/>
          <w:highlight w:val="none"/>
        </w:rPr>
        <w:t>合同仅为参考样本，最终以通过我校审核后签署的合同为准。</w:t>
      </w:r>
    </w:p>
    <w:p>
      <w:pPr>
        <w:spacing w:line="360" w:lineRule="auto"/>
        <w:ind w:firstLine="548" w:firstLineChars="196"/>
        <w:rPr>
          <w:rFonts w:ascii="宋体" w:hAns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服务地点：南京信息工程大学校内。</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lang w:val="en-US" w:eastAsia="zh-CN"/>
        </w:rPr>
        <w:t>3</w:t>
      </w:r>
      <w:r>
        <w:rPr>
          <w:rFonts w:ascii="宋体" w:hAnsi="宋体" w:cs="宋体"/>
          <w:sz w:val="28"/>
          <w:szCs w:val="28"/>
          <w:highlight w:val="none"/>
        </w:rPr>
        <w:t>.</w:t>
      </w:r>
      <w:r>
        <w:rPr>
          <w:rFonts w:hint="eastAsia" w:ascii="宋体" w:hAnsi="宋体" w:cs="宋体"/>
          <w:sz w:val="28"/>
          <w:szCs w:val="28"/>
          <w:highlight w:val="none"/>
        </w:rPr>
        <w:t>资料费：</w:t>
      </w:r>
      <w:r>
        <w:rPr>
          <w:rFonts w:ascii="宋体" w:hAnsi="宋体" w:cs="宋体"/>
          <w:sz w:val="28"/>
          <w:szCs w:val="28"/>
          <w:highlight w:val="none"/>
        </w:rPr>
        <w:t>300</w:t>
      </w:r>
      <w:r>
        <w:rPr>
          <w:rFonts w:hint="eastAsia" w:ascii="宋体" w:hAnsi="宋体" w:cs="宋体"/>
          <w:sz w:val="28"/>
          <w:szCs w:val="28"/>
          <w:highlight w:val="none"/>
        </w:rPr>
        <w:t>元</w:t>
      </w:r>
      <w:r>
        <w:rPr>
          <w:rFonts w:ascii="宋体" w:hAnsi="宋体" w:cs="宋体"/>
          <w:sz w:val="28"/>
          <w:szCs w:val="28"/>
          <w:highlight w:val="none"/>
        </w:rPr>
        <w:t>/</w:t>
      </w:r>
      <w:r>
        <w:rPr>
          <w:rFonts w:hint="eastAsia" w:ascii="宋体" w:hAnsi="宋体" w:cs="宋体"/>
          <w:sz w:val="28"/>
          <w:szCs w:val="28"/>
          <w:highlight w:val="none"/>
        </w:rPr>
        <w:t>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）我校不接收现金或支付宝等方式交费。各投标人务必通过单位银行基本账户提前将资料费汇至我校以下账号：户名：南京信息工程大学；账号：</w:t>
      </w:r>
      <w:r>
        <w:rPr>
          <w:rFonts w:ascii="宋体" w:hAnsi="宋体" w:cs="宋体"/>
          <w:sz w:val="28"/>
          <w:szCs w:val="28"/>
          <w:highlight w:val="none"/>
        </w:rPr>
        <w:t>10115401040000228</w:t>
      </w:r>
      <w:r>
        <w:rPr>
          <w:rFonts w:hint="eastAsia" w:ascii="宋体" w:hAnsi="宋体" w:cs="宋体"/>
          <w:sz w:val="28"/>
          <w:szCs w:val="28"/>
          <w:highlight w:val="none"/>
        </w:rPr>
        <w:t>；开户银行：中国农业银行南京盘城支行。请各投标人务必在转账留言栏备注填写</w:t>
      </w:r>
      <w:r>
        <w:rPr>
          <w:rFonts w:hint="eastAsia" w:ascii="宋体" w:hAnsi="宋体" w:cs="宋体"/>
          <w:b/>
          <w:sz w:val="28"/>
          <w:szCs w:val="28"/>
          <w:highlight w:val="none"/>
        </w:rPr>
        <w:t>“SBC2020</w:t>
      </w:r>
      <w:r>
        <w:rPr>
          <w:rFonts w:hint="eastAsia" w:ascii="宋体" w:hAnsi="宋体" w:cs="宋体"/>
          <w:b/>
          <w:sz w:val="28"/>
          <w:szCs w:val="28"/>
          <w:highlight w:val="none"/>
          <w:lang w:val="en-US" w:eastAsia="zh-CN"/>
        </w:rPr>
        <w:t>105</w:t>
      </w:r>
      <w:r>
        <w:rPr>
          <w:rFonts w:hint="eastAsia" w:ascii="宋体" w:hAnsi="宋体" w:cs="宋体"/>
          <w:b/>
          <w:sz w:val="28"/>
          <w:szCs w:val="28"/>
          <w:highlight w:val="none"/>
        </w:rPr>
        <w:t>资料费”</w:t>
      </w:r>
      <w:r>
        <w:rPr>
          <w:rFonts w:hint="eastAsia" w:ascii="宋体" w:hAnsi="宋体" w:cs="宋体"/>
          <w:sz w:val="28"/>
          <w:szCs w:val="28"/>
          <w:highlight w:val="none"/>
        </w:rPr>
        <w:t>字样，并尽量将投标单位的纳税识别号一并备注在转账留言栏中，以便开票和对账。请各单位在报名时将转账回单复印件务必放入《投标文件》中（无此证明，一律作为无效标处理）。</w:t>
      </w:r>
    </w:p>
    <w:p>
      <w:pPr>
        <w:spacing w:line="360" w:lineRule="auto"/>
        <w:ind w:firstLine="548" w:firstLineChars="196"/>
        <w:rPr>
          <w:rFonts w:hint="eastAsia" w:ascii="宋体" w:hAnsi="宋体" w:cs="宋体"/>
          <w:b/>
          <w:bCs/>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w:t>
      </w:r>
      <w:r>
        <w:rPr>
          <w:rFonts w:hint="eastAsia" w:ascii="宋体" w:hAnsi="宋体" w:cs="宋体"/>
          <w:b/>
          <w:bCs/>
          <w:sz w:val="28"/>
          <w:szCs w:val="28"/>
          <w:highlight w:val="none"/>
        </w:rPr>
        <w:t>我校提供电子普通发票，招标办定期到财务结算中心对账（时间约半个月）。请投标单位在邮件报名时提供单位纳税人识别号，并确保联系人手机号及邮箱状态正常，以便接收电子发票信息。</w:t>
      </w:r>
    </w:p>
    <w:p>
      <w:pPr>
        <w:pStyle w:val="6"/>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4.投标保证金：本项目不收取投标保证金。</w:t>
      </w:r>
    </w:p>
    <w:p>
      <w:pPr>
        <w:spacing w:line="360" w:lineRule="auto"/>
        <w:ind w:firstLine="548" w:firstLineChars="196"/>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5.履约保证金：10000元（壹万元整）。</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中标公示后，请中标单位自行将履约保证金汇至学校财务账户后先到财务结算中心（财务处二楼201室）开具缴款收据，凭缴款收据到招标办领取中标通知书后再与采购单位签订供货和服务合同。履约保证金交款账号同</w:t>
      </w:r>
      <w:r>
        <w:rPr>
          <w:rFonts w:ascii="宋体" w:hAnsi="宋体" w:cs="宋体"/>
          <w:sz w:val="28"/>
          <w:szCs w:val="28"/>
          <w:highlight w:val="none"/>
        </w:rPr>
        <w:t>300</w:t>
      </w:r>
      <w:r>
        <w:rPr>
          <w:rFonts w:hint="eastAsia" w:ascii="宋体" w:hAnsi="宋体" w:cs="宋体"/>
          <w:sz w:val="28"/>
          <w:szCs w:val="28"/>
          <w:highlight w:val="none"/>
        </w:rPr>
        <w:t>元资料费。</w:t>
      </w:r>
    </w:p>
    <w:p>
      <w:pPr>
        <w:spacing w:line="360" w:lineRule="auto"/>
        <w:ind w:firstLine="548" w:firstLineChars="196"/>
        <w:rPr>
          <w:rFonts w:hint="eastAsia" w:ascii="宋体" w:hAnsi="宋体" w:cs="宋体"/>
          <w:sz w:val="28"/>
          <w:szCs w:val="28"/>
          <w:highlight w:val="none"/>
        </w:rPr>
      </w:pPr>
      <w:r>
        <w:rPr>
          <w:rFonts w:hint="eastAsia" w:ascii="宋体" w:hAnsi="宋体" w:cs="宋体"/>
          <w:sz w:val="28"/>
          <w:szCs w:val="28"/>
          <w:highlight w:val="none"/>
        </w:rPr>
        <w:t>（2）履约保证金的退还方式：项目按照合同约定完成并无</w:t>
      </w:r>
      <w:r>
        <w:rPr>
          <w:rFonts w:hint="eastAsia" w:ascii="宋体" w:hAnsi="宋体" w:cs="宋体"/>
          <w:sz w:val="28"/>
          <w:szCs w:val="28"/>
          <w:highlight w:val="none"/>
          <w:lang w:val="en-US" w:eastAsia="zh-CN"/>
        </w:rPr>
        <w:t>异议</w:t>
      </w:r>
      <w:r>
        <w:rPr>
          <w:rFonts w:hint="eastAsia" w:ascii="宋体" w:hAnsi="宋体" w:cs="宋体"/>
          <w:sz w:val="28"/>
          <w:szCs w:val="28"/>
          <w:highlight w:val="none"/>
        </w:rPr>
        <w:t>后，中标单位向项目归口管理部门或采购人提交退还履约保证金的申请</w:t>
      </w:r>
      <w:r>
        <w:rPr>
          <w:rFonts w:hint="eastAsia" w:ascii="宋体" w:hAnsi="宋体" w:cs="宋体"/>
          <w:i/>
          <w:iCs/>
          <w:sz w:val="28"/>
          <w:szCs w:val="28"/>
          <w:highlight w:val="none"/>
          <w:u w:val="single"/>
        </w:rPr>
        <w:t>（财务处招标网站资料下载中有模板）</w:t>
      </w:r>
      <w:r>
        <w:rPr>
          <w:rFonts w:hint="eastAsia" w:ascii="宋体" w:hAnsi="宋体" w:cs="宋体"/>
          <w:sz w:val="28"/>
          <w:szCs w:val="28"/>
          <w:highlight w:val="none"/>
        </w:rPr>
        <w:t>，由项目归口管理部门（或使用部门）负责人签字确定同意退还后，再到财务处财务结算中心（财务处二楼201室）办理退还手续。</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hint="eastAsia" w:ascii="宋体" w:hAnsi="宋体" w:cs="宋体"/>
          <w:sz w:val="28"/>
          <w:szCs w:val="28"/>
          <w:highlight w:val="none"/>
          <w:lang w:val="en-US" w:eastAsia="zh-CN"/>
        </w:rPr>
        <w:t>3</w:t>
      </w:r>
      <w:r>
        <w:rPr>
          <w:rFonts w:hint="eastAsia" w:ascii="宋体" w:hAnsi="宋体" w:cs="宋体"/>
          <w:sz w:val="28"/>
          <w:szCs w:val="28"/>
          <w:highlight w:val="none"/>
        </w:rPr>
        <w:t>）如中标单位有下列情况之一，不予退还履约保证金，我校将其列入招投标诚信“黑名单”，</w:t>
      </w:r>
      <w:r>
        <w:rPr>
          <w:rFonts w:ascii="宋体" w:hAnsi="宋体" w:cs="宋体"/>
          <w:sz w:val="28"/>
          <w:szCs w:val="28"/>
          <w:highlight w:val="none"/>
        </w:rPr>
        <w:t>3</w:t>
      </w:r>
      <w:r>
        <w:rPr>
          <w:rFonts w:hint="eastAsia" w:ascii="宋体" w:hAnsi="宋体" w:cs="宋体"/>
          <w:sz w:val="28"/>
          <w:szCs w:val="28"/>
          <w:highlight w:val="none"/>
        </w:rPr>
        <w:t>年内不得到我校从事任何投标活动。</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a.</w:t>
      </w:r>
      <w:r>
        <w:rPr>
          <w:rFonts w:hint="eastAsia" w:ascii="宋体" w:hAnsi="宋体" w:cs="宋体"/>
          <w:sz w:val="28"/>
          <w:szCs w:val="28"/>
          <w:highlight w:val="none"/>
        </w:rPr>
        <w:t>中标单位未能按学校通知，在规定时间内签署合同；或签署合同后未能履约、单方撕毁合同等；</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b.</w:t>
      </w:r>
      <w:r>
        <w:rPr>
          <w:rFonts w:hint="eastAsia" w:ascii="宋体" w:hAnsi="宋体" w:cs="宋体"/>
          <w:sz w:val="28"/>
          <w:szCs w:val="28"/>
          <w:highlight w:val="none"/>
        </w:rPr>
        <w:t>中标单位在投标过程中存在串通投标等违规或舞弊行为；或中标单位借用其他公司相关资质的；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c.</w:t>
      </w:r>
      <w:r>
        <w:rPr>
          <w:rFonts w:hint="eastAsia" w:ascii="宋体" w:hAnsi="宋体" w:cs="宋体"/>
          <w:sz w:val="28"/>
          <w:szCs w:val="28"/>
          <w:highlight w:val="none"/>
        </w:rPr>
        <w:t>出现其他不予退还履约保证金情形的。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验收：按学校验收规定执行，项目合同是验收的主要依据。</w:t>
      </w:r>
    </w:p>
    <w:p>
      <w:pPr>
        <w:spacing w:before="240" w:beforeLines="100" w:after="240" w:afterLines="100" w:line="360" w:lineRule="auto"/>
        <w:jc w:val="center"/>
        <w:rPr>
          <w:rFonts w:ascii="黑体" w:hAnsi="黑体" w:eastAsia="黑体"/>
          <w:sz w:val="28"/>
          <w:szCs w:val="28"/>
          <w:highlight w:val="none"/>
        </w:rPr>
      </w:pPr>
      <w:bookmarkStart w:id="3" w:name="_Hlk9866833"/>
      <w:r>
        <w:rPr>
          <w:rFonts w:hint="eastAsia" w:ascii="黑体" w:hAnsi="黑体" w:eastAsia="黑体"/>
          <w:sz w:val="28"/>
          <w:szCs w:val="28"/>
          <w:highlight w:val="none"/>
          <w:lang w:val="en-US" w:eastAsia="zh-CN"/>
        </w:rPr>
        <w:t>九</w:t>
      </w:r>
      <w:r>
        <w:rPr>
          <w:rFonts w:hint="eastAsia" w:ascii="黑体" w:hAnsi="黑体" w:eastAsia="黑体"/>
          <w:sz w:val="28"/>
          <w:szCs w:val="28"/>
          <w:highlight w:val="none"/>
        </w:rPr>
        <w:t>、日程安排和联系方式</w:t>
      </w:r>
    </w:p>
    <w:p>
      <w:pPr>
        <w:spacing w:line="360" w:lineRule="auto"/>
        <w:ind w:firstLine="560" w:firstLineChars="200"/>
        <w:rPr>
          <w:rFonts w:ascii="宋体"/>
          <w:sz w:val="28"/>
          <w:szCs w:val="28"/>
          <w:highlight w:val="none"/>
        </w:rPr>
      </w:pPr>
      <w:r>
        <w:rPr>
          <w:rFonts w:ascii="宋体" w:hAnsi="宋体"/>
          <w:sz w:val="28"/>
          <w:szCs w:val="28"/>
          <w:highlight w:val="none"/>
        </w:rPr>
        <w:t>1.</w:t>
      </w:r>
      <w:r>
        <w:rPr>
          <w:rFonts w:hint="eastAsia" w:ascii="宋体" w:hAnsi="宋体"/>
          <w:sz w:val="28"/>
          <w:szCs w:val="28"/>
          <w:highlight w:val="none"/>
        </w:rPr>
        <w:t>报名时间：招标信息发布后。</w:t>
      </w:r>
    </w:p>
    <w:p>
      <w:pPr>
        <w:spacing w:line="360" w:lineRule="auto"/>
        <w:ind w:firstLine="560" w:firstLineChars="200"/>
        <w:rPr>
          <w:rFonts w:ascii="宋体" w:cs="宋体"/>
          <w:sz w:val="28"/>
          <w:szCs w:val="28"/>
          <w:highlight w:val="none"/>
        </w:rPr>
      </w:pPr>
      <w:r>
        <w:rPr>
          <w:rFonts w:ascii="宋体" w:hAnsi="宋体"/>
          <w:sz w:val="28"/>
          <w:szCs w:val="28"/>
          <w:highlight w:val="none"/>
        </w:rPr>
        <w:t>2.</w:t>
      </w:r>
      <w:r>
        <w:rPr>
          <w:rFonts w:hint="eastAsia" w:ascii="宋体" w:hAnsi="宋体"/>
          <w:sz w:val="28"/>
          <w:szCs w:val="28"/>
          <w:highlight w:val="none"/>
        </w:rPr>
        <w:t>领取招标文件：</w:t>
      </w:r>
      <w:r>
        <w:rPr>
          <w:rFonts w:hint="eastAsia" w:ascii="宋体" w:hAnsi="宋体"/>
          <w:sz w:val="28"/>
          <w:szCs w:val="28"/>
          <w:highlight w:val="none"/>
          <w:u w:val="single"/>
        </w:rPr>
        <w:t>自行下载</w:t>
      </w:r>
      <w:r>
        <w:rPr>
          <w:rFonts w:hint="eastAsia" w:ascii="宋体" w:hAnsi="宋体" w:cs="宋体"/>
          <w:kern w:val="0"/>
          <w:sz w:val="28"/>
          <w:szCs w:val="28"/>
          <w:highlight w:val="none"/>
        </w:rPr>
        <w:t>。</w:t>
      </w:r>
    </w:p>
    <w:p>
      <w:pPr>
        <w:spacing w:line="360" w:lineRule="auto"/>
        <w:ind w:firstLine="560" w:firstLineChars="200"/>
        <w:rPr>
          <w:rFonts w:ascii="宋体"/>
          <w:sz w:val="28"/>
          <w:szCs w:val="28"/>
          <w:highlight w:val="none"/>
        </w:rPr>
      </w:pPr>
      <w:r>
        <w:rPr>
          <w:rFonts w:ascii="宋体" w:hAnsi="宋体"/>
          <w:sz w:val="28"/>
          <w:szCs w:val="28"/>
          <w:highlight w:val="none"/>
        </w:rPr>
        <w:t>3.</w:t>
      </w:r>
      <w:r>
        <w:rPr>
          <w:rFonts w:hint="eastAsia" w:ascii="宋体" w:hAnsi="宋体"/>
          <w:sz w:val="28"/>
          <w:szCs w:val="28"/>
          <w:highlight w:val="none"/>
        </w:rPr>
        <w:t xml:space="preserve">答疑时间：          </w:t>
      </w:r>
    </w:p>
    <w:p>
      <w:pPr>
        <w:spacing w:line="360" w:lineRule="auto"/>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1</w:t>
      </w:r>
      <w:r>
        <w:rPr>
          <w:rFonts w:hint="eastAsia" w:ascii="宋体" w:hAnsi="宋体"/>
          <w:sz w:val="28"/>
          <w:szCs w:val="28"/>
          <w:highlight w:val="none"/>
        </w:rPr>
        <w:t>）投标人如有疑问，请在</w:t>
      </w:r>
      <w:r>
        <w:rPr>
          <w:rFonts w:ascii="宋体" w:hAnsi="宋体"/>
          <w:b/>
          <w:sz w:val="28"/>
          <w:szCs w:val="28"/>
          <w:highlight w:val="none"/>
          <w:u w:val="single"/>
        </w:rPr>
        <w:t>2020</w:t>
      </w:r>
      <w:r>
        <w:rPr>
          <w:rFonts w:hint="eastAsia" w:ascii="宋体" w:hAnsi="宋体"/>
          <w:b/>
          <w:sz w:val="28"/>
          <w:szCs w:val="28"/>
          <w:highlight w:val="none"/>
          <w:u w:val="single"/>
        </w:rPr>
        <w:t>年</w:t>
      </w:r>
      <w:r>
        <w:rPr>
          <w:rFonts w:hint="eastAsia" w:ascii="宋体" w:hAnsi="宋体"/>
          <w:b/>
          <w:sz w:val="28"/>
          <w:szCs w:val="28"/>
          <w:highlight w:val="none"/>
          <w:u w:val="single"/>
          <w:lang w:val="en-US" w:eastAsia="zh-CN"/>
        </w:rPr>
        <w:t>1</w:t>
      </w:r>
      <w:r>
        <w:rPr>
          <w:rFonts w:hint="eastAsia" w:ascii="宋体" w:hAnsi="宋体"/>
          <w:b/>
          <w:sz w:val="28"/>
          <w:szCs w:val="28"/>
          <w:highlight w:val="none"/>
          <w:u w:val="single"/>
          <w:lang w:val="en-US" w:eastAsia="zh-CN"/>
        </w:rPr>
        <w:t>1</w:t>
      </w:r>
      <w:r>
        <w:rPr>
          <w:rFonts w:hint="eastAsia" w:ascii="宋体" w:hAnsi="宋体"/>
          <w:b/>
          <w:sz w:val="28"/>
          <w:szCs w:val="28"/>
          <w:highlight w:val="none"/>
          <w:u w:val="single"/>
        </w:rPr>
        <w:t>月</w:t>
      </w:r>
      <w:r>
        <w:rPr>
          <w:rFonts w:hint="eastAsia" w:ascii="宋体" w:hAnsi="宋体"/>
          <w:b/>
          <w:sz w:val="28"/>
          <w:szCs w:val="28"/>
          <w:highlight w:val="none"/>
          <w:u w:val="single"/>
          <w:lang w:val="en-US" w:eastAsia="zh-CN"/>
        </w:rPr>
        <w:t>19</w:t>
      </w:r>
      <w:r>
        <w:rPr>
          <w:rFonts w:hint="eastAsia" w:ascii="宋体" w:hAnsi="宋体"/>
          <w:b/>
          <w:sz w:val="28"/>
          <w:szCs w:val="28"/>
          <w:highlight w:val="none"/>
          <w:u w:val="single"/>
        </w:rPr>
        <w:t>日</w:t>
      </w:r>
      <w:r>
        <w:rPr>
          <w:rFonts w:ascii="宋体" w:hAnsi="宋体"/>
          <w:b/>
          <w:sz w:val="28"/>
          <w:szCs w:val="28"/>
          <w:highlight w:val="none"/>
          <w:u w:val="single"/>
        </w:rPr>
        <w:t>11</w:t>
      </w:r>
      <w:r>
        <w:rPr>
          <w:rFonts w:hint="eastAsia" w:ascii="宋体" w:hAnsi="宋体"/>
          <w:b/>
          <w:sz w:val="28"/>
          <w:szCs w:val="28"/>
          <w:highlight w:val="none"/>
          <w:u w:val="single"/>
        </w:rPr>
        <w:t>：</w:t>
      </w:r>
      <w:r>
        <w:rPr>
          <w:rFonts w:ascii="宋体" w:hAnsi="宋体"/>
          <w:b/>
          <w:sz w:val="28"/>
          <w:szCs w:val="28"/>
          <w:highlight w:val="none"/>
          <w:u w:val="single"/>
        </w:rPr>
        <w:t>3</w:t>
      </w:r>
      <w:r>
        <w:rPr>
          <w:highlight w:val="none"/>
        </w:rPr>
        <w:fldChar w:fldCharType="begin"/>
      </w:r>
      <w:r>
        <w:rPr>
          <w:highlight w:val="none"/>
        </w:rPr>
        <w:instrText xml:space="preserve"> HYPERLINK "mailto:30前将问题一律以word格式或txt格式发至89523765@qq.com" </w:instrText>
      </w:r>
      <w:r>
        <w:rPr>
          <w:highlight w:val="none"/>
        </w:rPr>
        <w:fldChar w:fldCharType="separate"/>
      </w:r>
      <w:r>
        <w:rPr>
          <w:rFonts w:ascii="宋体"/>
          <w:b/>
          <w:sz w:val="28"/>
          <w:szCs w:val="28"/>
          <w:highlight w:val="none"/>
          <w:u w:val="single"/>
        </w:rPr>
        <w:t>0</w:t>
      </w:r>
      <w:r>
        <w:rPr>
          <w:rFonts w:hint="eastAsia" w:ascii="宋体" w:hAnsi="宋体"/>
          <w:sz w:val="28"/>
          <w:szCs w:val="28"/>
          <w:highlight w:val="none"/>
        </w:rPr>
        <w:t>前将问题以</w:t>
      </w:r>
      <w:r>
        <w:rPr>
          <w:rFonts w:ascii="宋体" w:hAnsi="宋体"/>
          <w:sz w:val="28"/>
          <w:szCs w:val="28"/>
          <w:highlight w:val="none"/>
        </w:rPr>
        <w:t>word</w:t>
      </w:r>
      <w:r>
        <w:rPr>
          <w:rFonts w:hint="eastAsia" w:ascii="宋体" w:hAnsi="宋体"/>
          <w:sz w:val="28"/>
          <w:szCs w:val="28"/>
          <w:highlight w:val="none"/>
        </w:rPr>
        <w:t>格式或</w:t>
      </w:r>
      <w:r>
        <w:rPr>
          <w:rFonts w:ascii="宋体" w:hAnsi="宋体"/>
          <w:sz w:val="28"/>
          <w:szCs w:val="28"/>
          <w:highlight w:val="none"/>
        </w:rPr>
        <w:t>txt</w:t>
      </w:r>
      <w:r>
        <w:rPr>
          <w:rFonts w:hint="eastAsia" w:ascii="宋体" w:hAnsi="宋体"/>
          <w:sz w:val="28"/>
          <w:szCs w:val="28"/>
          <w:highlight w:val="none"/>
        </w:rPr>
        <w:t>格式发至</w:t>
      </w:r>
      <w:r>
        <w:rPr>
          <w:rFonts w:ascii="宋体" w:hAnsi="宋体"/>
          <w:sz w:val="28"/>
          <w:szCs w:val="28"/>
          <w:highlight w:val="none"/>
        </w:rPr>
        <w:t>2483567991@qq.com</w:t>
      </w:r>
      <w:r>
        <w:rPr>
          <w:rFonts w:ascii="宋体" w:hAnsi="宋体"/>
          <w:sz w:val="28"/>
          <w:szCs w:val="28"/>
          <w:highlight w:val="none"/>
        </w:rPr>
        <w:fldChar w:fldCharType="end"/>
      </w:r>
      <w:r>
        <w:rPr>
          <w:rFonts w:hint="eastAsia" w:ascii="宋体" w:hAnsi="宋体"/>
          <w:sz w:val="28"/>
          <w:szCs w:val="28"/>
          <w:highlight w:val="none"/>
        </w:rPr>
        <w:t>（质疑函请勿以</w:t>
      </w:r>
      <w:r>
        <w:rPr>
          <w:rFonts w:ascii="宋体" w:hAnsi="宋体"/>
          <w:sz w:val="28"/>
          <w:szCs w:val="28"/>
          <w:highlight w:val="none"/>
        </w:rPr>
        <w:t>JPG</w:t>
      </w:r>
      <w:r>
        <w:rPr>
          <w:rFonts w:hint="eastAsia" w:ascii="宋体" w:hAnsi="宋体"/>
          <w:sz w:val="28"/>
          <w:szCs w:val="28"/>
          <w:highlight w:val="none"/>
        </w:rPr>
        <w:t>或</w:t>
      </w:r>
      <w:r>
        <w:rPr>
          <w:rFonts w:ascii="宋体" w:hAnsi="宋体"/>
          <w:sz w:val="28"/>
          <w:szCs w:val="28"/>
          <w:highlight w:val="none"/>
        </w:rPr>
        <w:t>PDF</w:t>
      </w:r>
      <w:r>
        <w:rPr>
          <w:rFonts w:hint="eastAsia" w:ascii="宋体" w:hAnsi="宋体"/>
          <w:sz w:val="28"/>
          <w:szCs w:val="28"/>
          <w:highlight w:val="none"/>
        </w:rPr>
        <w:t>格式，对</w:t>
      </w:r>
      <w:r>
        <w:rPr>
          <w:rFonts w:ascii="宋体" w:hAnsi="宋体"/>
          <w:sz w:val="28"/>
          <w:szCs w:val="28"/>
          <w:highlight w:val="none"/>
        </w:rPr>
        <w:t>JPG</w:t>
      </w:r>
      <w:r>
        <w:rPr>
          <w:rFonts w:hint="eastAsia" w:ascii="宋体" w:hAnsi="宋体"/>
          <w:sz w:val="28"/>
          <w:szCs w:val="28"/>
          <w:highlight w:val="none"/>
        </w:rPr>
        <w:t>和</w:t>
      </w:r>
      <w:r>
        <w:rPr>
          <w:rFonts w:ascii="宋体" w:hAnsi="宋体"/>
          <w:sz w:val="28"/>
          <w:szCs w:val="28"/>
          <w:highlight w:val="none"/>
        </w:rPr>
        <w:t>PDF</w:t>
      </w:r>
      <w:r>
        <w:rPr>
          <w:rFonts w:hint="eastAsia" w:ascii="宋体" w:hAnsi="宋体"/>
          <w:sz w:val="28"/>
          <w:szCs w:val="28"/>
          <w:highlight w:val="none"/>
        </w:rPr>
        <w:t>格式的附件一律删除，不予采纳，敬请谅解）。</w:t>
      </w:r>
    </w:p>
    <w:p>
      <w:pPr>
        <w:spacing w:line="360" w:lineRule="auto"/>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2</w:t>
      </w:r>
      <w:r>
        <w:rPr>
          <w:rFonts w:hint="eastAsia" w:ascii="宋体" w:hAnsi="宋体"/>
          <w:sz w:val="28"/>
          <w:szCs w:val="28"/>
          <w:highlight w:val="none"/>
        </w:rPr>
        <w:t>）我校项目归口管理部门将通过招标办向各投标人统一进行书面（或电子版）答疑回复。</w:t>
      </w:r>
    </w:p>
    <w:p>
      <w:pPr>
        <w:widowControl/>
        <w:snapToGrid w:val="0"/>
        <w:spacing w:line="360" w:lineRule="auto"/>
        <w:ind w:firstLine="548" w:firstLineChars="196"/>
        <w:rPr>
          <w:rFonts w:ascii="黑体" w:hAnsi="黑体" w:eastAsia="黑体"/>
          <w:i/>
          <w:sz w:val="28"/>
          <w:szCs w:val="28"/>
          <w:highlight w:val="none"/>
        </w:rPr>
      </w:pPr>
      <w:r>
        <w:rPr>
          <w:rFonts w:hint="eastAsia" w:ascii="宋体" w:hAnsi="宋体"/>
          <w:sz w:val="28"/>
          <w:szCs w:val="28"/>
          <w:highlight w:val="none"/>
        </w:rPr>
        <w:t>4.投标文件</w:t>
      </w:r>
    </w:p>
    <w:p>
      <w:pPr>
        <w:spacing w:line="360" w:lineRule="auto"/>
        <w:rPr>
          <w:rFonts w:hint="eastAsia" w:ascii="宋体" w:hAnsi="宋体" w:cs="Times New Roman"/>
          <w:sz w:val="28"/>
          <w:szCs w:val="28"/>
          <w:highlight w:val="none"/>
        </w:rPr>
      </w:pPr>
      <w:r>
        <w:rPr>
          <w:rFonts w:hint="eastAsia" w:ascii="宋体" w:hAnsi="宋体" w:cs="Times New Roman"/>
          <w:sz w:val="28"/>
          <w:szCs w:val="28"/>
          <w:highlight w:val="none"/>
          <w:lang w:val="en-US" w:eastAsia="zh-CN"/>
        </w:rPr>
        <w:t>（1）</w:t>
      </w:r>
      <w:r>
        <w:rPr>
          <w:rFonts w:hint="eastAsia" w:ascii="宋体" w:hAnsi="宋体" w:cs="Times New Roman"/>
          <w:sz w:val="28"/>
          <w:szCs w:val="28"/>
          <w:highlight w:val="none"/>
        </w:rPr>
        <w:t>接受方式：</w:t>
      </w:r>
      <w:r>
        <w:rPr>
          <w:rFonts w:hint="eastAsia" w:ascii="宋体" w:hAnsi="宋体" w:cs="Times New Roman"/>
          <w:b/>
          <w:bCs/>
          <w:sz w:val="28"/>
          <w:szCs w:val="28"/>
          <w:highlight w:val="none"/>
        </w:rPr>
        <w:t>只接受以邮寄方式送达，并请务必用顺丰快递</w:t>
      </w:r>
      <w:r>
        <w:rPr>
          <w:rFonts w:hint="eastAsia" w:ascii="宋体" w:hAnsi="宋体" w:cs="Times New Roman"/>
          <w:sz w:val="28"/>
          <w:szCs w:val="28"/>
          <w:highlight w:val="none"/>
        </w:rPr>
        <w:t>，邮寄材料务必于投标截止时间前送达我校，请各投标单位自行安排邮寄时间，投标截止时间后，招标人不受理任何投标文件。（注：</w:t>
      </w:r>
      <w:r>
        <w:rPr>
          <w:rFonts w:hint="eastAsia" w:ascii="宋体" w:hAnsi="宋体" w:cs="Times New Roman"/>
          <w:b/>
          <w:bCs/>
          <w:i/>
          <w:iCs/>
          <w:sz w:val="28"/>
          <w:szCs w:val="28"/>
          <w:highlight w:val="none"/>
          <w:u w:val="single"/>
        </w:rPr>
        <w:t>由于疫情管理，我单位不接收顺丰同城急送，请各投标单位合理安排时间并自行负责）</w:t>
      </w:r>
      <w:r>
        <w:rPr>
          <w:rFonts w:hint="eastAsia" w:ascii="宋体" w:hAnsi="宋体" w:cs="Times New Roman"/>
          <w:sz w:val="28"/>
          <w:szCs w:val="28"/>
          <w:highlight w:val="none"/>
        </w:rPr>
        <w:t>。（若后期有调整，会将调整信息发送到各投标单位报名邮箱，请各投标单位在投标前密切关注报名邮箱）</w:t>
      </w:r>
    </w:p>
    <w:p>
      <w:pPr>
        <w:widowControl/>
        <w:spacing w:line="360" w:lineRule="auto"/>
        <w:ind w:firstLine="560" w:firstLineChars="200"/>
        <w:rPr>
          <w:rFonts w:ascii="宋体" w:hAnsi="宋体"/>
          <w:sz w:val="28"/>
          <w:szCs w:val="28"/>
          <w:highlight w:val="none"/>
        </w:rPr>
      </w:pPr>
      <w:r>
        <w:rPr>
          <w:rFonts w:hint="eastAsia" w:ascii="宋体" w:hAnsi="宋体"/>
          <w:sz w:val="28"/>
          <w:szCs w:val="28"/>
          <w:highlight w:val="none"/>
        </w:rPr>
        <w:t>（2）投标截止时间：2020年</w:t>
      </w:r>
      <w:r>
        <w:rPr>
          <w:rFonts w:hint="eastAsia" w:ascii="宋体" w:hAnsi="宋体"/>
          <w:sz w:val="28"/>
          <w:szCs w:val="28"/>
          <w:highlight w:val="none"/>
          <w:lang w:val="en-US" w:eastAsia="zh-CN"/>
        </w:rPr>
        <w:t>12</w:t>
      </w:r>
      <w:r>
        <w:rPr>
          <w:rFonts w:hint="eastAsia" w:ascii="宋体" w:hAnsi="宋体"/>
          <w:sz w:val="28"/>
          <w:szCs w:val="28"/>
          <w:highlight w:val="none"/>
        </w:rPr>
        <w:t>月</w:t>
      </w:r>
      <w:r>
        <w:rPr>
          <w:rFonts w:hint="eastAsia" w:ascii="宋体" w:hAnsi="宋体"/>
          <w:sz w:val="28"/>
          <w:szCs w:val="28"/>
          <w:highlight w:val="none"/>
          <w:lang w:val="en-US" w:eastAsia="zh-CN"/>
        </w:rPr>
        <w:t>03</w:t>
      </w:r>
      <w:r>
        <w:rPr>
          <w:rFonts w:hint="eastAsia" w:ascii="宋体" w:hAnsi="宋体"/>
          <w:sz w:val="28"/>
          <w:szCs w:val="28"/>
          <w:highlight w:val="none"/>
        </w:rPr>
        <w:t>日</w:t>
      </w:r>
      <w:r>
        <w:rPr>
          <w:rFonts w:hint="eastAsia" w:ascii="宋体" w:hAnsi="宋体"/>
          <w:sz w:val="28"/>
          <w:szCs w:val="28"/>
          <w:highlight w:val="none"/>
          <w:lang w:val="en-US" w:eastAsia="zh-CN"/>
        </w:rPr>
        <w:t>14</w:t>
      </w:r>
      <w:r>
        <w:rPr>
          <w:rFonts w:hint="eastAsia" w:ascii="宋体" w:hAnsi="宋体"/>
          <w:sz w:val="28"/>
          <w:szCs w:val="28"/>
          <w:highlight w:val="none"/>
        </w:rPr>
        <w:t>：00</w:t>
      </w:r>
      <w:r>
        <w:rPr>
          <w:rFonts w:hint="eastAsia" w:ascii="宋体" w:hAnsi="宋体"/>
          <w:sz w:val="28"/>
          <w:szCs w:val="28"/>
          <w:highlight w:val="none"/>
          <w:lang w:eastAsia="zh-CN"/>
        </w:rPr>
        <w:t>（</w:t>
      </w:r>
      <w:r>
        <w:rPr>
          <w:rFonts w:hint="eastAsia" w:ascii="宋体" w:hAnsi="宋体"/>
          <w:sz w:val="28"/>
          <w:szCs w:val="28"/>
          <w:highlight w:val="none"/>
          <w:lang w:val="en-US" w:eastAsia="zh-CN"/>
        </w:rPr>
        <w:t>北京时间</w:t>
      </w:r>
      <w:r>
        <w:rPr>
          <w:rFonts w:hint="eastAsia" w:ascii="宋体" w:hAnsi="宋体"/>
          <w:sz w:val="28"/>
          <w:szCs w:val="28"/>
          <w:highlight w:val="none"/>
          <w:lang w:eastAsia="zh-CN"/>
        </w:rPr>
        <w:t>）</w:t>
      </w:r>
      <w:r>
        <w:rPr>
          <w:rFonts w:hint="eastAsia" w:ascii="宋体" w:hAnsi="宋体"/>
          <w:sz w:val="28"/>
          <w:szCs w:val="28"/>
          <w:highlight w:val="none"/>
        </w:rPr>
        <w:t>。</w:t>
      </w:r>
    </w:p>
    <w:p>
      <w:pPr>
        <w:widowControl/>
        <w:adjustRightInd w:val="0"/>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（3）邮寄送达地点：</w:t>
      </w:r>
      <w:r>
        <w:rPr>
          <w:rFonts w:hint="eastAsia" w:ascii="宋体" w:hAnsi="宋体" w:cs="宋体"/>
          <w:kern w:val="0"/>
          <w:sz w:val="28"/>
          <w:szCs w:val="28"/>
          <w:highlight w:val="none"/>
        </w:rPr>
        <w:t>南京市浦口区宁六路219号</w:t>
      </w:r>
      <w:r>
        <w:rPr>
          <w:rFonts w:ascii="宋体" w:hAnsi="宋体" w:cs="宋体"/>
          <w:kern w:val="0"/>
          <w:sz w:val="28"/>
          <w:szCs w:val="28"/>
          <w:highlight w:val="none"/>
        </w:rPr>
        <w:t>南京信息工程大学</w:t>
      </w:r>
      <w:r>
        <w:rPr>
          <w:rFonts w:hint="eastAsia" w:ascii="宋体" w:hAnsi="宋体"/>
          <w:sz w:val="28"/>
          <w:szCs w:val="28"/>
          <w:highlight w:val="none"/>
        </w:rPr>
        <w:t>东苑大学生创业中心3号楼（体育馆北面三层小楼）210室</w:t>
      </w:r>
      <w:r>
        <w:rPr>
          <w:rFonts w:hint="eastAsia" w:ascii="宋体" w:hAnsi="宋体" w:cs="宋体"/>
          <w:kern w:val="0"/>
          <w:sz w:val="28"/>
          <w:szCs w:val="28"/>
          <w:highlight w:val="none"/>
        </w:rPr>
        <w:t>招标办。联系人：马老师、罗老师；联系电话：025-58731441。</w:t>
      </w:r>
    </w:p>
    <w:p>
      <w:pPr>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5.开标、唱标和评标</w:t>
      </w:r>
    </w:p>
    <w:p>
      <w:pPr>
        <w:widowControl/>
        <w:spacing w:line="360" w:lineRule="auto"/>
        <w:ind w:firstLine="560" w:firstLineChars="200"/>
        <w:rPr>
          <w:rFonts w:ascii="宋体" w:hAnsi="宋体"/>
          <w:sz w:val="28"/>
          <w:szCs w:val="28"/>
          <w:highlight w:val="none"/>
        </w:rPr>
      </w:pPr>
      <w:r>
        <w:rPr>
          <w:rFonts w:hint="eastAsia" w:ascii="宋体" w:hAnsi="宋体"/>
          <w:sz w:val="28"/>
          <w:szCs w:val="28"/>
          <w:highlight w:val="none"/>
        </w:rPr>
        <w:t>（1）开标、唱标：2020年</w:t>
      </w:r>
      <w:r>
        <w:rPr>
          <w:rFonts w:hint="eastAsia" w:ascii="宋体" w:hAnsi="宋体"/>
          <w:sz w:val="28"/>
          <w:szCs w:val="28"/>
          <w:highlight w:val="none"/>
          <w:lang w:val="en-US" w:eastAsia="zh-CN"/>
        </w:rPr>
        <w:t>12</w:t>
      </w:r>
      <w:r>
        <w:rPr>
          <w:rFonts w:hint="eastAsia" w:ascii="宋体" w:hAnsi="宋体"/>
          <w:sz w:val="28"/>
          <w:szCs w:val="28"/>
          <w:highlight w:val="none"/>
        </w:rPr>
        <w:t>月</w:t>
      </w:r>
      <w:r>
        <w:rPr>
          <w:rFonts w:hint="eastAsia" w:ascii="宋体" w:hAnsi="宋体"/>
          <w:sz w:val="28"/>
          <w:szCs w:val="28"/>
          <w:highlight w:val="none"/>
          <w:lang w:val="en-US" w:eastAsia="zh-CN"/>
        </w:rPr>
        <w:t>03</w:t>
      </w:r>
      <w:r>
        <w:rPr>
          <w:rFonts w:hint="eastAsia" w:ascii="宋体" w:hAnsi="宋体"/>
          <w:sz w:val="28"/>
          <w:szCs w:val="28"/>
          <w:highlight w:val="none"/>
        </w:rPr>
        <w:t>日</w:t>
      </w:r>
      <w:r>
        <w:rPr>
          <w:rFonts w:hint="eastAsia" w:ascii="宋体" w:hAnsi="宋体"/>
          <w:sz w:val="28"/>
          <w:szCs w:val="28"/>
          <w:highlight w:val="none"/>
          <w:lang w:val="en-US" w:eastAsia="zh-CN"/>
        </w:rPr>
        <w:t>14</w:t>
      </w:r>
      <w:r>
        <w:rPr>
          <w:rFonts w:hint="eastAsia" w:ascii="宋体" w:hAnsi="宋体"/>
          <w:sz w:val="28"/>
          <w:szCs w:val="28"/>
          <w:highlight w:val="none"/>
        </w:rPr>
        <w:t>：00</w:t>
      </w:r>
      <w:r>
        <w:rPr>
          <w:rFonts w:hint="eastAsia" w:ascii="宋体" w:hAnsi="宋体"/>
          <w:sz w:val="28"/>
          <w:szCs w:val="28"/>
          <w:highlight w:val="none"/>
          <w:lang w:eastAsia="zh-CN"/>
        </w:rPr>
        <w:t>（</w:t>
      </w:r>
      <w:r>
        <w:rPr>
          <w:rFonts w:hint="eastAsia" w:ascii="宋体" w:hAnsi="宋体"/>
          <w:sz w:val="28"/>
          <w:szCs w:val="28"/>
          <w:highlight w:val="none"/>
          <w:lang w:val="en-US" w:eastAsia="zh-CN"/>
        </w:rPr>
        <w:t>北京时间</w:t>
      </w:r>
      <w:r>
        <w:rPr>
          <w:rFonts w:hint="eastAsia" w:ascii="宋体" w:hAnsi="宋体"/>
          <w:sz w:val="28"/>
          <w:szCs w:val="28"/>
          <w:highlight w:val="none"/>
          <w:lang w:eastAsia="zh-CN"/>
        </w:rPr>
        <w:t>）</w:t>
      </w:r>
      <w:r>
        <w:rPr>
          <w:rFonts w:hint="eastAsia" w:ascii="宋体" w:hAnsi="宋体"/>
          <w:sz w:val="28"/>
          <w:szCs w:val="28"/>
          <w:highlight w:val="none"/>
        </w:rPr>
        <w:t>；</w:t>
      </w:r>
      <w:r>
        <w:rPr>
          <w:rFonts w:hint="eastAsia" w:ascii="宋体" w:hAnsi="宋体"/>
          <w:sz w:val="28"/>
          <w:szCs w:val="28"/>
          <w:highlight w:val="none"/>
        </w:rPr>
        <w:t>(不安排公开开标、唱标，由招标办工作人员在我校纪检监察部门监督见证下进行，开标、唱标工作全程视频监控并录像)。</w:t>
      </w:r>
    </w:p>
    <w:p>
      <w:pPr>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（2）唱标和开标地点：南京信息工程大学东苑大学生创业中心</w:t>
      </w:r>
      <w:r>
        <w:rPr>
          <w:rFonts w:ascii="宋体" w:hAnsi="宋体"/>
          <w:sz w:val="28"/>
          <w:szCs w:val="28"/>
          <w:highlight w:val="none"/>
        </w:rPr>
        <w:t>3</w:t>
      </w:r>
      <w:r>
        <w:rPr>
          <w:rFonts w:hint="eastAsia" w:ascii="宋体" w:hAnsi="宋体"/>
          <w:sz w:val="28"/>
          <w:szCs w:val="28"/>
          <w:highlight w:val="none"/>
        </w:rPr>
        <w:t>号楼（体育馆北面三层小楼）</w:t>
      </w:r>
      <w:r>
        <w:rPr>
          <w:rFonts w:ascii="宋体" w:hAnsi="宋体"/>
          <w:sz w:val="28"/>
          <w:szCs w:val="28"/>
          <w:highlight w:val="none"/>
        </w:rPr>
        <w:t>210</w:t>
      </w:r>
      <w:r>
        <w:rPr>
          <w:rFonts w:hint="eastAsia" w:ascii="宋体" w:hAnsi="宋体"/>
          <w:sz w:val="28"/>
          <w:szCs w:val="28"/>
          <w:highlight w:val="none"/>
        </w:rPr>
        <w:t>室。</w:t>
      </w:r>
    </w:p>
    <w:p>
      <w:pPr>
        <w:snapToGrid w:val="0"/>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6.相关单位联系人及电话</w:t>
      </w:r>
    </w:p>
    <w:p>
      <w:pPr>
        <w:snapToGrid w:val="0"/>
        <w:spacing w:line="360" w:lineRule="auto"/>
        <w:ind w:firstLine="425" w:firstLineChars="152"/>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1</w:t>
      </w:r>
      <w:r>
        <w:rPr>
          <w:rFonts w:hint="eastAsia" w:ascii="宋体" w:hAnsi="宋体"/>
          <w:sz w:val="28"/>
          <w:szCs w:val="28"/>
          <w:highlight w:val="none"/>
        </w:rPr>
        <w:t>）招标办（招投标管理业务单位）：联系电话：</w:t>
      </w:r>
      <w:r>
        <w:rPr>
          <w:rFonts w:ascii="宋体" w:hAnsi="宋体"/>
          <w:sz w:val="28"/>
          <w:szCs w:val="28"/>
          <w:highlight w:val="none"/>
        </w:rPr>
        <w:t>025-58731441</w:t>
      </w:r>
      <w:r>
        <w:rPr>
          <w:rFonts w:hint="eastAsia" w:ascii="宋体" w:hAnsi="宋体"/>
          <w:sz w:val="28"/>
          <w:szCs w:val="28"/>
          <w:highlight w:val="none"/>
        </w:rPr>
        <w:t>，联系人：马老师、罗老师；</w:t>
      </w:r>
    </w:p>
    <w:p>
      <w:pPr>
        <w:snapToGrid w:val="0"/>
        <w:spacing w:line="360" w:lineRule="auto"/>
        <w:ind w:firstLine="425" w:firstLineChars="152"/>
        <w:rPr>
          <w:rFonts w:ascii="宋体" w:hAnsi="宋体"/>
          <w:sz w:val="28"/>
          <w:szCs w:val="28"/>
          <w:highlight w:val="none"/>
        </w:rPr>
      </w:pPr>
      <w:r>
        <w:rPr>
          <w:rFonts w:hint="eastAsia" w:ascii="宋体" w:hAnsi="宋体"/>
          <w:sz w:val="28"/>
          <w:szCs w:val="28"/>
          <w:highlight w:val="none"/>
        </w:rPr>
        <w:t>（2）</w:t>
      </w:r>
      <w:bookmarkEnd w:id="3"/>
      <w:r>
        <w:rPr>
          <w:rFonts w:hint="eastAsia" w:ascii="宋体" w:hAnsi="宋体"/>
          <w:sz w:val="28"/>
          <w:szCs w:val="28"/>
          <w:highlight w:val="none"/>
        </w:rPr>
        <w:t>用户单位联系电话：</w:t>
      </w:r>
      <w:r>
        <w:rPr>
          <w:rFonts w:hint="eastAsia" w:ascii="宋体" w:hAnsi="宋体"/>
          <w:sz w:val="28"/>
          <w:szCs w:val="28"/>
          <w:highlight w:val="none"/>
          <w:lang w:val="en-US" w:eastAsia="zh-CN"/>
        </w:rPr>
        <w:t>025-58731155</w:t>
      </w:r>
      <w:r>
        <w:rPr>
          <w:rFonts w:hint="eastAsia" w:ascii="宋体" w:hAnsi="宋体"/>
          <w:sz w:val="28"/>
          <w:szCs w:val="28"/>
          <w:highlight w:val="none"/>
        </w:rPr>
        <w:t>，联系人：</w:t>
      </w:r>
      <w:r>
        <w:rPr>
          <w:rFonts w:hint="eastAsia" w:ascii="宋体" w:hAnsi="宋体"/>
          <w:sz w:val="28"/>
          <w:szCs w:val="28"/>
          <w:highlight w:val="none"/>
          <w:lang w:val="en-US" w:eastAsia="zh-CN"/>
        </w:rPr>
        <w:t>姚</w:t>
      </w:r>
      <w:r>
        <w:rPr>
          <w:rFonts w:hint="eastAsia" w:ascii="宋体" w:hAnsi="宋体"/>
          <w:sz w:val="28"/>
          <w:szCs w:val="28"/>
          <w:highlight w:val="none"/>
        </w:rPr>
        <w:t>老师。</w:t>
      </w:r>
    </w:p>
    <w:p>
      <w:pPr>
        <w:tabs>
          <w:tab w:val="left" w:pos="1260"/>
        </w:tabs>
        <w:spacing w:line="360" w:lineRule="auto"/>
        <w:ind w:left="1959" w:leftChars="933" w:firstLine="2530" w:firstLineChars="900"/>
        <w:rPr>
          <w:rFonts w:ascii="宋体"/>
          <w:b/>
          <w:sz w:val="28"/>
          <w:szCs w:val="28"/>
          <w:highlight w:val="none"/>
        </w:rPr>
      </w:pPr>
      <w:r>
        <w:rPr>
          <w:rFonts w:hint="eastAsia" w:ascii="宋体" w:hAnsi="宋体"/>
          <w:b/>
          <w:sz w:val="28"/>
          <w:szCs w:val="28"/>
          <w:highlight w:val="none"/>
        </w:rPr>
        <w:t>南京信息工程大学招标办</w:t>
      </w:r>
    </w:p>
    <w:p>
      <w:pPr>
        <w:pStyle w:val="12"/>
        <w:spacing w:line="360" w:lineRule="auto"/>
        <w:ind w:left="99" w:leftChars="47" w:firstLine="4919" w:firstLineChars="1750"/>
        <w:rPr>
          <w:rStyle w:val="44"/>
          <w:rFonts w:ascii="宋体" w:hAnsi="Times New Roman" w:eastAsia="宋体"/>
          <w:sz w:val="28"/>
          <w:szCs w:val="28"/>
          <w:highlight w:val="none"/>
        </w:rPr>
      </w:pPr>
      <w:r>
        <w:rPr>
          <w:rStyle w:val="44"/>
          <w:rFonts w:ascii="宋体" w:hAnsi="宋体" w:eastAsia="宋体"/>
          <w:sz w:val="28"/>
          <w:szCs w:val="28"/>
          <w:highlight w:val="none"/>
        </w:rPr>
        <w:t>20</w:t>
      </w:r>
      <w:r>
        <w:rPr>
          <w:rStyle w:val="44"/>
          <w:rFonts w:hint="eastAsia" w:ascii="宋体" w:hAnsi="宋体" w:eastAsia="宋体"/>
          <w:sz w:val="28"/>
          <w:szCs w:val="28"/>
          <w:highlight w:val="none"/>
        </w:rPr>
        <w:t>20年</w:t>
      </w:r>
      <w:r>
        <w:rPr>
          <w:rStyle w:val="44"/>
          <w:rFonts w:hint="eastAsia" w:ascii="宋体" w:hAnsi="宋体"/>
          <w:sz w:val="28"/>
          <w:szCs w:val="28"/>
          <w:highlight w:val="none"/>
          <w:lang w:val="en-US"/>
        </w:rPr>
        <w:t>11</w:t>
      </w:r>
      <w:r>
        <w:rPr>
          <w:rStyle w:val="44"/>
          <w:rFonts w:hint="eastAsia" w:ascii="宋体" w:hAnsi="宋体" w:eastAsia="宋体"/>
          <w:sz w:val="28"/>
          <w:szCs w:val="28"/>
          <w:highlight w:val="none"/>
        </w:rPr>
        <w:t>月</w:t>
      </w:r>
      <w:r>
        <w:rPr>
          <w:rStyle w:val="44"/>
          <w:rFonts w:hint="eastAsia" w:ascii="宋体" w:hAnsi="宋体"/>
          <w:sz w:val="28"/>
          <w:szCs w:val="28"/>
          <w:highlight w:val="none"/>
          <w:lang w:val="en-US"/>
        </w:rPr>
        <w:t>13</w:t>
      </w:r>
      <w:r>
        <w:rPr>
          <w:rStyle w:val="44"/>
          <w:rFonts w:hint="eastAsia" w:ascii="宋体" w:hAnsi="宋体" w:eastAsia="宋体"/>
          <w:sz w:val="28"/>
          <w:szCs w:val="28"/>
          <w:highlight w:val="none"/>
        </w:rPr>
        <w:t>日</w:t>
      </w:r>
    </w:p>
    <w:p>
      <w:pPr>
        <w:spacing w:line="360" w:lineRule="auto"/>
        <w:ind w:firstLine="570"/>
        <w:jc w:val="right"/>
        <w:rPr>
          <w:rStyle w:val="44"/>
          <w:rFonts w:ascii="宋体" w:hAnsi="宋体"/>
          <w:sz w:val="28"/>
          <w:szCs w:val="28"/>
          <w:highlight w:val="none"/>
        </w:rPr>
      </w:pPr>
      <w:r>
        <w:rPr>
          <w:rStyle w:val="44"/>
          <w:rFonts w:ascii="宋体" w:hAnsi="宋体"/>
          <w:sz w:val="28"/>
          <w:szCs w:val="28"/>
          <w:highlight w:val="none"/>
        </w:rPr>
        <w:br w:type="page"/>
      </w:r>
    </w:p>
    <w:p>
      <w:pPr>
        <w:widowControl/>
        <w:jc w:val="left"/>
        <w:rPr>
          <w:rFonts w:hAnsi="宋体"/>
          <w:b/>
          <w:sz w:val="36"/>
          <w:szCs w:val="36"/>
          <w:highlight w:val="none"/>
        </w:rPr>
      </w:pPr>
      <w:r>
        <w:rPr>
          <w:rFonts w:hint="eastAsia" w:hAnsi="宋体"/>
          <w:b/>
          <w:sz w:val="28"/>
          <w:szCs w:val="28"/>
          <w:highlight w:val="none"/>
        </w:rPr>
        <w:t>附件1：</w:t>
      </w:r>
    </w:p>
    <w:p>
      <w:pPr>
        <w:tabs>
          <w:tab w:val="left" w:pos="3270"/>
        </w:tabs>
        <w:autoSpaceDE w:val="0"/>
        <w:autoSpaceDN w:val="0"/>
        <w:adjustRightInd w:val="0"/>
        <w:spacing w:line="360" w:lineRule="exact"/>
        <w:rPr>
          <w:rFonts w:ascii="宋体" w:hAnsi="宋体"/>
          <w:b/>
          <w:sz w:val="24"/>
          <w:highlight w:val="none"/>
          <w:lang w:val="zh-CN"/>
        </w:rPr>
      </w:pPr>
    </w:p>
    <w:p>
      <w:pPr>
        <w:pStyle w:val="5"/>
        <w:spacing w:line="240" w:lineRule="auto"/>
        <w:jc w:val="center"/>
        <w:rPr>
          <w:rFonts w:ascii="宋体" w:hAnsi="宋体" w:cs="微软雅黑"/>
          <w:sz w:val="28"/>
          <w:szCs w:val="28"/>
          <w:highlight w:val="none"/>
        </w:rPr>
      </w:pPr>
      <w:bookmarkStart w:id="4" w:name="_Toc22942"/>
      <w:r>
        <w:rPr>
          <w:rFonts w:hint="eastAsia" w:ascii="宋体" w:hAnsi="宋体" w:cs="微软雅黑"/>
          <w:sz w:val="28"/>
          <w:szCs w:val="28"/>
          <w:highlight w:val="none"/>
        </w:rPr>
        <w:t>1.投标函</w:t>
      </w:r>
      <w:bookmarkEnd w:id="4"/>
    </w:p>
    <w:p>
      <w:pPr>
        <w:widowControl/>
        <w:snapToGrid w:val="0"/>
        <w:spacing w:before="19" w:line="240" w:lineRule="auto"/>
        <w:rPr>
          <w:rFonts w:ascii="宋体" w:hAnsi="宋体" w:cs="微软雅黑"/>
          <w:sz w:val="24"/>
          <w:highlight w:val="none"/>
        </w:rPr>
      </w:pPr>
      <w:r>
        <w:rPr>
          <w:rFonts w:hint="eastAsia" w:ascii="宋体" w:hAnsi="宋体" w:cs="微软雅黑"/>
          <w:sz w:val="24"/>
          <w:highlight w:val="none"/>
        </w:rPr>
        <w:t>南京信息工程大学：</w:t>
      </w:r>
    </w:p>
    <w:p>
      <w:pPr>
        <w:spacing w:line="240" w:lineRule="auto"/>
        <w:ind w:firstLine="616" w:firstLineChars="257"/>
        <w:rPr>
          <w:rFonts w:ascii="宋体" w:hAnsi="宋体" w:cs="微软雅黑"/>
          <w:sz w:val="24"/>
          <w:highlight w:val="none"/>
        </w:rPr>
      </w:pPr>
      <w:r>
        <w:rPr>
          <w:rFonts w:hint="eastAsia" w:ascii="宋体" w:hAnsi="宋体" w:cs="微软雅黑"/>
          <w:sz w:val="24"/>
          <w:highlight w:val="none"/>
        </w:rPr>
        <w:t>针对贵方</w:t>
      </w:r>
      <w:r>
        <w:rPr>
          <w:rFonts w:hint="eastAsia" w:ascii="宋体" w:hAnsi="宋体" w:cs="微软雅黑"/>
          <w:sz w:val="24"/>
          <w:highlight w:val="none"/>
          <w:u w:val="single"/>
        </w:rPr>
        <w:t xml:space="preserve">          </w:t>
      </w:r>
      <w:r>
        <w:rPr>
          <w:rFonts w:hint="eastAsia" w:ascii="宋体" w:hAnsi="宋体" w:cs="微软雅黑"/>
          <w:sz w:val="24"/>
          <w:highlight w:val="none"/>
          <w:u w:val="single"/>
          <w:lang w:val="en-US" w:eastAsia="zh-CN"/>
        </w:rPr>
        <w:t xml:space="preserve">      </w:t>
      </w:r>
      <w:r>
        <w:rPr>
          <w:rFonts w:hint="eastAsia" w:ascii="宋体" w:hAnsi="宋体" w:cs="微软雅黑"/>
          <w:sz w:val="24"/>
          <w:highlight w:val="none"/>
          <w:u w:val="single"/>
        </w:rPr>
        <w:t xml:space="preserve">   </w:t>
      </w:r>
      <w:r>
        <w:rPr>
          <w:rFonts w:hint="eastAsia" w:ascii="宋体" w:hAnsi="宋体" w:cs="微软雅黑"/>
          <w:sz w:val="24"/>
          <w:highlight w:val="none"/>
          <w:u w:val="none"/>
          <w:lang w:val="en-US" w:eastAsia="zh-CN"/>
        </w:rPr>
        <w:t>项目招标文件（项目编号:           ）</w:t>
      </w:r>
      <w:r>
        <w:rPr>
          <w:rFonts w:hint="eastAsia" w:ascii="宋体" w:hAnsi="宋体" w:cs="微软雅黑"/>
          <w:sz w:val="24"/>
          <w:highlight w:val="none"/>
        </w:rPr>
        <w:t>，正式授权</w:t>
      </w:r>
      <w:r>
        <w:rPr>
          <w:rFonts w:hint="eastAsia" w:ascii="宋体" w:hAnsi="宋体" w:cs="微软雅黑"/>
          <w:sz w:val="24"/>
          <w:highlight w:val="none"/>
          <w:u w:val="single"/>
        </w:rPr>
        <w:t xml:space="preserve">   </w:t>
      </w:r>
      <w:r>
        <w:rPr>
          <w:rFonts w:hint="eastAsia" w:ascii="宋体" w:hAnsi="宋体" w:cs="微软雅黑"/>
          <w:sz w:val="24"/>
          <w:highlight w:val="none"/>
          <w:u w:val="single"/>
          <w:lang w:val="en-US" w:eastAsia="zh-CN"/>
        </w:rPr>
        <w:t xml:space="preserve">  </w:t>
      </w:r>
      <w:r>
        <w:rPr>
          <w:rFonts w:hint="eastAsia" w:ascii="宋体" w:hAnsi="宋体" w:cs="微软雅黑"/>
          <w:sz w:val="24"/>
          <w:highlight w:val="none"/>
          <w:u w:val="single"/>
        </w:rPr>
        <w:t xml:space="preserve">   </w:t>
      </w:r>
      <w:r>
        <w:rPr>
          <w:rFonts w:hint="eastAsia" w:ascii="宋体" w:hAnsi="宋体" w:cs="微软雅黑"/>
          <w:sz w:val="24"/>
          <w:highlight w:val="none"/>
        </w:rPr>
        <w:t>(姓名和职务）代表</w:t>
      </w:r>
      <w:r>
        <w:rPr>
          <w:rFonts w:hint="eastAsia" w:ascii="宋体" w:hAnsi="宋体" w:cs="微软雅黑"/>
          <w:sz w:val="24"/>
          <w:highlight w:val="none"/>
          <w:u w:val="single"/>
        </w:rPr>
        <w:t xml:space="preserve">                </w:t>
      </w:r>
      <w:r>
        <w:rPr>
          <w:rFonts w:hint="eastAsia" w:ascii="宋体" w:hAnsi="宋体" w:cs="微软雅黑"/>
          <w:sz w:val="24"/>
          <w:highlight w:val="none"/>
        </w:rPr>
        <w:t>（投标人的名称），提交投标文件正本一式壹份，副本一式</w:t>
      </w:r>
      <w:r>
        <w:rPr>
          <w:rFonts w:hint="eastAsia" w:ascii="宋体" w:hAnsi="宋体" w:cs="微软雅黑"/>
          <w:sz w:val="24"/>
          <w:highlight w:val="none"/>
          <w:lang w:val="en-US" w:eastAsia="zh-CN"/>
        </w:rPr>
        <w:t>肆</w:t>
      </w:r>
      <w:r>
        <w:rPr>
          <w:rFonts w:hint="eastAsia" w:ascii="宋体" w:hAnsi="宋体" w:cs="微软雅黑"/>
          <w:sz w:val="24"/>
          <w:highlight w:val="none"/>
        </w:rPr>
        <w:t>份。</w:t>
      </w:r>
    </w:p>
    <w:p>
      <w:pPr>
        <w:spacing w:line="240" w:lineRule="auto"/>
        <w:ind w:firstLine="616" w:firstLineChars="257"/>
        <w:rPr>
          <w:rFonts w:ascii="宋体" w:hAnsi="宋体" w:cs="微软雅黑"/>
          <w:sz w:val="24"/>
          <w:highlight w:val="none"/>
        </w:rPr>
      </w:pPr>
      <w:r>
        <w:rPr>
          <w:rFonts w:hint="eastAsia" w:ascii="宋体" w:hAnsi="宋体" w:cs="微软雅黑"/>
          <w:sz w:val="24"/>
          <w:highlight w:val="none"/>
        </w:rPr>
        <w:t>1、我方已仔细研究了</w:t>
      </w:r>
      <w:r>
        <w:rPr>
          <w:rFonts w:hint="eastAsia" w:ascii="宋体" w:hAnsi="宋体" w:cs="微软雅黑"/>
          <w:sz w:val="24"/>
          <w:highlight w:val="none"/>
          <w:u w:val="single"/>
        </w:rPr>
        <w:t xml:space="preserve">               </w:t>
      </w:r>
      <w:r>
        <w:rPr>
          <w:rFonts w:hint="eastAsia" w:ascii="宋体" w:hAnsi="宋体" w:cs="微软雅黑"/>
          <w:sz w:val="24"/>
          <w:highlight w:val="none"/>
        </w:rPr>
        <w:t>（项目名称）招标文件及其有效补充文件的全部内容，我们知道必须放弃提出含糊不清或易被误解的问题的权利要求；</w:t>
      </w:r>
    </w:p>
    <w:p>
      <w:pPr>
        <w:spacing w:line="240" w:lineRule="auto"/>
        <w:ind w:firstLine="616" w:firstLineChars="257"/>
        <w:rPr>
          <w:rFonts w:ascii="宋体" w:hAnsi="宋体" w:cs="微软雅黑"/>
          <w:sz w:val="24"/>
          <w:highlight w:val="none"/>
        </w:rPr>
      </w:pPr>
      <w:r>
        <w:rPr>
          <w:rFonts w:hint="eastAsia" w:ascii="宋体" w:hAnsi="宋体" w:cs="微软雅黑"/>
          <w:sz w:val="24"/>
          <w:highlight w:val="none"/>
        </w:rPr>
        <w:t>2、我方将严格履行本投标文件中的全部承诺和责任，并遵守招标文件中对投标人的所有规定；愿意以我方报价单中所报价格提供相关产品或服务，按合同约定落实执行。</w:t>
      </w:r>
    </w:p>
    <w:p>
      <w:pPr>
        <w:spacing w:line="240" w:lineRule="auto"/>
        <w:ind w:firstLine="616" w:firstLineChars="257"/>
        <w:rPr>
          <w:rFonts w:ascii="宋体" w:hAnsi="宋体" w:cs="微软雅黑"/>
          <w:sz w:val="24"/>
          <w:highlight w:val="none"/>
        </w:rPr>
      </w:pPr>
      <w:r>
        <w:rPr>
          <w:rFonts w:hint="eastAsia" w:ascii="宋体" w:hAnsi="宋体" w:cs="微软雅黑"/>
          <w:sz w:val="24"/>
          <w:highlight w:val="none"/>
        </w:rPr>
        <w:t>3、我方同意从规定的开标日期起遵循本投标文件，并在规定的投标有效期期满之前均具有约束力。</w:t>
      </w:r>
    </w:p>
    <w:p>
      <w:pPr>
        <w:spacing w:line="240" w:lineRule="auto"/>
        <w:ind w:firstLine="616" w:firstLineChars="257"/>
        <w:rPr>
          <w:rFonts w:ascii="宋体" w:hAnsi="宋体" w:cs="微软雅黑"/>
          <w:sz w:val="24"/>
          <w:highlight w:val="none"/>
        </w:rPr>
      </w:pPr>
      <w:r>
        <w:rPr>
          <w:rFonts w:hint="eastAsia" w:ascii="宋体" w:hAnsi="宋体" w:cs="微软雅黑"/>
          <w:sz w:val="24"/>
          <w:highlight w:val="none"/>
        </w:rPr>
        <w:t>4、我方同意向贵方提供贵方可能另外要求的与投标有关的任何证据或资料。</w:t>
      </w:r>
    </w:p>
    <w:p>
      <w:pPr>
        <w:spacing w:line="240" w:lineRule="auto"/>
        <w:ind w:firstLine="616" w:firstLineChars="257"/>
        <w:rPr>
          <w:rFonts w:hint="eastAsia" w:ascii="宋体" w:hAnsi="宋体" w:cs="微软雅黑"/>
          <w:sz w:val="24"/>
          <w:highlight w:val="none"/>
        </w:rPr>
      </w:pPr>
      <w:r>
        <w:rPr>
          <w:rFonts w:hint="eastAsia" w:ascii="宋体" w:hAnsi="宋体" w:cs="微软雅黑"/>
          <w:sz w:val="24"/>
          <w:highlight w:val="none"/>
        </w:rPr>
        <w:t>5、</w:t>
      </w:r>
      <w:r>
        <w:rPr>
          <w:rFonts w:hint="eastAsia" w:ascii="宋体" w:hAnsi="宋体"/>
          <w:sz w:val="24"/>
          <w:highlight w:val="none"/>
        </w:rPr>
        <w:t>愿按招标文件</w:t>
      </w:r>
      <w:r>
        <w:rPr>
          <w:rFonts w:hint="eastAsia" w:ascii="宋体" w:hAnsi="宋体"/>
          <w:bCs/>
          <w:sz w:val="24"/>
          <w:highlight w:val="none"/>
        </w:rPr>
        <w:t>的一切要求，提供本项目的报价，报价见《开标一览表》。</w:t>
      </w:r>
    </w:p>
    <w:p>
      <w:pPr>
        <w:spacing w:line="240" w:lineRule="auto"/>
        <w:ind w:firstLine="616" w:firstLineChars="257"/>
        <w:rPr>
          <w:rFonts w:ascii="宋体" w:hAnsi="宋体" w:cs="微软雅黑"/>
          <w:sz w:val="24"/>
          <w:highlight w:val="none"/>
        </w:rPr>
      </w:pPr>
      <w:r>
        <w:rPr>
          <w:rFonts w:hint="eastAsia" w:ascii="宋体" w:hAnsi="宋体" w:cs="微软雅黑"/>
          <w:sz w:val="24"/>
          <w:highlight w:val="none"/>
          <w:lang w:val="en-US" w:eastAsia="zh-CN"/>
        </w:rPr>
        <w:t>6</w:t>
      </w:r>
      <w:r>
        <w:rPr>
          <w:rFonts w:hint="eastAsia" w:ascii="宋体" w:hAnsi="宋体" w:cs="微软雅黑"/>
          <w:sz w:val="24"/>
          <w:highlight w:val="none"/>
        </w:rPr>
        <w:t>、我方将派出</w:t>
      </w:r>
      <w:r>
        <w:rPr>
          <w:rFonts w:hint="eastAsia" w:ascii="宋体" w:hAnsi="宋体" w:cs="微软雅黑"/>
          <w:sz w:val="24"/>
          <w:highlight w:val="none"/>
          <w:u w:val="single"/>
        </w:rPr>
        <w:t xml:space="preserve"> </w:t>
      </w:r>
      <w:r>
        <w:rPr>
          <w:rFonts w:hint="eastAsia" w:ascii="宋体" w:hAnsi="宋体" w:cs="微软雅黑"/>
          <w:b/>
          <w:bCs/>
          <w:sz w:val="24"/>
          <w:highlight w:val="none"/>
          <w:u w:val="single"/>
        </w:rPr>
        <w:t xml:space="preserve">            </w:t>
      </w:r>
      <w:r>
        <w:rPr>
          <w:rFonts w:hint="eastAsia" w:ascii="宋体" w:hAnsi="宋体" w:cs="微软雅黑"/>
          <w:sz w:val="24"/>
          <w:highlight w:val="none"/>
          <w:u w:val="single"/>
        </w:rPr>
        <w:t>（</w:t>
      </w:r>
      <w:r>
        <w:rPr>
          <w:rFonts w:hint="eastAsia" w:ascii="宋体" w:hAnsi="宋体" w:cs="微软雅黑"/>
          <w:sz w:val="24"/>
          <w:highlight w:val="none"/>
        </w:rPr>
        <w:t>姓名和职务）作为本项目的项目经理。</w:t>
      </w:r>
    </w:p>
    <w:p>
      <w:pPr>
        <w:spacing w:line="240" w:lineRule="auto"/>
        <w:ind w:firstLine="616" w:firstLineChars="257"/>
        <w:rPr>
          <w:rFonts w:ascii="宋体" w:hAnsi="宋体" w:cs="微软雅黑"/>
          <w:sz w:val="24"/>
          <w:highlight w:val="none"/>
        </w:rPr>
      </w:pPr>
      <w:r>
        <w:rPr>
          <w:rFonts w:hint="eastAsia" w:ascii="宋体" w:hAnsi="宋体" w:cs="微软雅黑"/>
          <w:sz w:val="24"/>
          <w:highlight w:val="none"/>
          <w:lang w:val="en-US" w:eastAsia="zh-CN"/>
        </w:rPr>
        <w:t>7</w:t>
      </w:r>
      <w:r>
        <w:rPr>
          <w:rFonts w:hint="eastAsia" w:ascii="宋体" w:hAnsi="宋体" w:cs="微软雅黑"/>
          <w:sz w:val="24"/>
          <w:highlight w:val="none"/>
        </w:rPr>
        <w:t>、我方在此声明，所递交的投标文件及有关资料内容完整、真实和准确，且不存在弄虚作假及其他违规行为。</w:t>
      </w:r>
    </w:p>
    <w:p>
      <w:pPr>
        <w:snapToGrid w:val="0"/>
        <w:spacing w:line="240" w:lineRule="auto"/>
        <w:ind w:firstLine="2880" w:firstLineChars="1200"/>
        <w:rPr>
          <w:rFonts w:hint="eastAsia" w:ascii="宋体" w:hAnsi="宋体" w:cs="微软雅黑"/>
          <w:sz w:val="24"/>
          <w:highlight w:val="none"/>
        </w:rPr>
      </w:pPr>
    </w:p>
    <w:p>
      <w:pPr>
        <w:snapToGrid w:val="0"/>
        <w:spacing w:line="240" w:lineRule="auto"/>
        <w:rPr>
          <w:rFonts w:hint="eastAsia" w:ascii="宋体" w:hAnsi="宋体" w:cs="微软雅黑"/>
          <w:sz w:val="24"/>
          <w:highlight w:val="none"/>
        </w:rPr>
      </w:pPr>
      <w:r>
        <w:rPr>
          <w:rFonts w:hint="eastAsia" w:ascii="宋体" w:hAnsi="宋体" w:cs="微软雅黑"/>
          <w:sz w:val="24"/>
          <w:highlight w:val="none"/>
        </w:rPr>
        <w:t>投标单位全称：</w:t>
      </w:r>
      <w:r>
        <w:rPr>
          <w:rFonts w:hint="eastAsia" w:ascii="宋体" w:hAnsi="宋体" w:cs="微软雅黑"/>
          <w:sz w:val="24"/>
          <w:highlight w:val="none"/>
          <w:u w:val="single"/>
        </w:rPr>
        <w:t xml:space="preserve">（公章）       </w:t>
      </w:r>
      <w:r>
        <w:rPr>
          <w:rFonts w:hint="eastAsia" w:ascii="宋体" w:hAnsi="宋体" w:cs="微软雅黑"/>
          <w:sz w:val="24"/>
          <w:highlight w:val="none"/>
          <w:u w:val="single"/>
          <w:lang w:val="en-US" w:eastAsia="zh-CN"/>
        </w:rPr>
        <w:t xml:space="preserve">  </w:t>
      </w:r>
      <w:r>
        <w:rPr>
          <w:rFonts w:hint="eastAsia" w:ascii="宋体" w:hAnsi="宋体" w:cs="微软雅黑"/>
          <w:sz w:val="24"/>
          <w:highlight w:val="none"/>
          <w:u w:val="single"/>
        </w:rPr>
        <w:t xml:space="preserve">        </w:t>
      </w:r>
      <w:r>
        <w:rPr>
          <w:rFonts w:hint="eastAsia" w:ascii="宋体" w:hAnsi="宋体" w:cs="微软雅黑"/>
          <w:sz w:val="24"/>
          <w:highlight w:val="none"/>
        </w:rPr>
        <w:t xml:space="preserve"> </w:t>
      </w:r>
    </w:p>
    <w:p>
      <w:pPr>
        <w:snapToGrid w:val="0"/>
        <w:spacing w:line="240" w:lineRule="auto"/>
        <w:rPr>
          <w:rFonts w:ascii="宋体" w:hAnsi="宋体" w:cs="微软雅黑"/>
          <w:sz w:val="24"/>
          <w:highlight w:val="none"/>
          <w:u w:val="single"/>
        </w:rPr>
      </w:pPr>
      <w:r>
        <w:rPr>
          <w:rFonts w:hint="eastAsia" w:ascii="宋体" w:hAnsi="宋体" w:cs="微软雅黑"/>
          <w:sz w:val="24"/>
          <w:highlight w:val="none"/>
        </w:rPr>
        <w:t>地址：</w:t>
      </w:r>
      <w:r>
        <w:rPr>
          <w:rFonts w:hint="eastAsia" w:ascii="宋体" w:hAnsi="宋体" w:cs="微软雅黑"/>
          <w:sz w:val="24"/>
          <w:highlight w:val="none"/>
          <w:u w:val="single"/>
        </w:rPr>
        <w:t xml:space="preserve">         </w:t>
      </w:r>
      <w:r>
        <w:rPr>
          <w:rFonts w:hint="eastAsia" w:ascii="宋体" w:hAnsi="宋体" w:cs="微软雅黑"/>
          <w:sz w:val="24"/>
          <w:highlight w:val="none"/>
          <w:u w:val="single"/>
          <w:lang w:val="en-US" w:eastAsia="zh-CN"/>
        </w:rPr>
        <w:t xml:space="preserve"> </w:t>
      </w:r>
      <w:r>
        <w:rPr>
          <w:rFonts w:hint="eastAsia" w:ascii="宋体" w:hAnsi="宋体" w:cs="微软雅黑"/>
          <w:sz w:val="24"/>
          <w:highlight w:val="none"/>
          <w:u w:val="single"/>
        </w:rPr>
        <w:t xml:space="preserve">              </w:t>
      </w:r>
    </w:p>
    <w:p>
      <w:pPr>
        <w:snapToGrid w:val="0"/>
        <w:spacing w:line="240" w:lineRule="auto"/>
        <w:rPr>
          <w:rFonts w:ascii="宋体" w:hAnsi="宋体" w:cs="微软雅黑"/>
          <w:sz w:val="24"/>
          <w:highlight w:val="none"/>
          <w:u w:val="single"/>
        </w:rPr>
      </w:pPr>
      <w:r>
        <w:rPr>
          <w:rFonts w:hint="eastAsia" w:ascii="宋体" w:hAnsi="宋体" w:cs="微软雅黑"/>
          <w:sz w:val="24"/>
          <w:highlight w:val="none"/>
        </w:rPr>
        <w:t>电话：</w:t>
      </w:r>
      <w:r>
        <w:rPr>
          <w:rFonts w:hint="eastAsia" w:ascii="宋体" w:hAnsi="宋体" w:cs="微软雅黑"/>
          <w:sz w:val="24"/>
          <w:highlight w:val="none"/>
          <w:u w:val="single"/>
        </w:rPr>
        <w:t xml:space="preserve">     </w:t>
      </w:r>
      <w:r>
        <w:rPr>
          <w:rFonts w:hint="eastAsia" w:ascii="宋体" w:hAnsi="宋体" w:cs="微软雅黑"/>
          <w:sz w:val="24"/>
          <w:highlight w:val="none"/>
          <w:u w:val="single"/>
          <w:lang w:val="en-US" w:eastAsia="zh-CN"/>
        </w:rPr>
        <w:t xml:space="preserve"> </w:t>
      </w:r>
      <w:r>
        <w:rPr>
          <w:rFonts w:hint="eastAsia" w:ascii="宋体" w:hAnsi="宋体" w:cs="微软雅黑"/>
          <w:sz w:val="24"/>
          <w:highlight w:val="none"/>
          <w:u w:val="single"/>
        </w:rPr>
        <w:t xml:space="preserve">     </w:t>
      </w:r>
      <w:r>
        <w:rPr>
          <w:rFonts w:hint="eastAsia" w:ascii="宋体" w:hAnsi="宋体" w:cs="微软雅黑"/>
          <w:sz w:val="24"/>
          <w:highlight w:val="none"/>
        </w:rPr>
        <w:t>传真</w:t>
      </w:r>
      <w:r>
        <w:rPr>
          <w:rFonts w:hint="eastAsia" w:ascii="宋体" w:hAnsi="宋体" w:cs="微软雅黑"/>
          <w:sz w:val="24"/>
          <w:highlight w:val="none"/>
          <w:u w:val="single"/>
        </w:rPr>
        <w:t xml:space="preserve">    </w:t>
      </w:r>
      <w:r>
        <w:rPr>
          <w:rFonts w:hint="eastAsia" w:ascii="宋体" w:hAnsi="宋体" w:cs="微软雅黑"/>
          <w:sz w:val="24"/>
          <w:highlight w:val="none"/>
          <w:u w:val="single"/>
          <w:lang w:val="en-US" w:eastAsia="zh-CN"/>
        </w:rPr>
        <w:t xml:space="preserve"> </w:t>
      </w:r>
      <w:r>
        <w:rPr>
          <w:rFonts w:hint="eastAsia" w:ascii="宋体" w:hAnsi="宋体" w:cs="微软雅黑"/>
          <w:sz w:val="24"/>
          <w:highlight w:val="none"/>
          <w:u w:val="single"/>
        </w:rPr>
        <w:t xml:space="preserve">          </w:t>
      </w:r>
    </w:p>
    <w:p>
      <w:pPr>
        <w:snapToGrid w:val="0"/>
        <w:spacing w:line="240" w:lineRule="auto"/>
        <w:rPr>
          <w:rFonts w:ascii="宋体" w:hAnsi="宋体" w:cs="微软雅黑"/>
          <w:sz w:val="24"/>
          <w:highlight w:val="none"/>
          <w:u w:val="single"/>
        </w:rPr>
      </w:pPr>
      <w:r>
        <w:rPr>
          <w:rFonts w:hint="eastAsia" w:ascii="宋体" w:hAnsi="宋体" w:cs="微软雅黑"/>
          <w:sz w:val="24"/>
          <w:highlight w:val="none"/>
        </w:rPr>
        <w:t>法定代表人（授权代表）（签字或盖章）：</w:t>
      </w:r>
      <w:r>
        <w:rPr>
          <w:rFonts w:hint="eastAsia" w:ascii="宋体" w:hAnsi="宋体" w:cs="微软雅黑"/>
          <w:sz w:val="24"/>
          <w:highlight w:val="none"/>
          <w:u w:val="single"/>
        </w:rPr>
        <w:t xml:space="preserve">  </w:t>
      </w:r>
      <w:r>
        <w:rPr>
          <w:rFonts w:hint="eastAsia" w:ascii="宋体" w:hAnsi="宋体" w:cs="微软雅黑"/>
          <w:sz w:val="24"/>
          <w:highlight w:val="none"/>
          <w:u w:val="single"/>
          <w:lang w:val="en-US" w:eastAsia="zh-CN"/>
        </w:rPr>
        <w:t xml:space="preserve"> </w:t>
      </w:r>
      <w:r>
        <w:rPr>
          <w:rFonts w:hint="eastAsia" w:ascii="宋体" w:hAnsi="宋体" w:cs="微软雅黑"/>
          <w:sz w:val="24"/>
          <w:highlight w:val="none"/>
          <w:u w:val="single"/>
        </w:rPr>
        <w:t xml:space="preserve">                 </w:t>
      </w:r>
    </w:p>
    <w:p>
      <w:pPr>
        <w:snapToGrid w:val="0"/>
        <w:spacing w:line="240" w:lineRule="auto"/>
        <w:rPr>
          <w:rFonts w:ascii="宋体" w:hAnsi="宋体" w:cs="微软雅黑"/>
          <w:sz w:val="24"/>
          <w:highlight w:val="none"/>
          <w:u w:val="single"/>
        </w:rPr>
      </w:pPr>
      <w:r>
        <w:rPr>
          <w:rFonts w:hint="eastAsia" w:ascii="宋体" w:hAnsi="宋体" w:cs="微软雅黑"/>
          <w:sz w:val="24"/>
          <w:highlight w:val="none"/>
        </w:rPr>
        <w:t>职务：</w:t>
      </w:r>
      <w:r>
        <w:rPr>
          <w:rFonts w:hint="eastAsia" w:ascii="宋体" w:hAnsi="宋体" w:cs="微软雅黑"/>
          <w:sz w:val="24"/>
          <w:highlight w:val="none"/>
          <w:u w:val="single"/>
        </w:rPr>
        <w:t xml:space="preserve">                  </w:t>
      </w:r>
    </w:p>
    <w:p>
      <w:pPr>
        <w:snapToGrid w:val="0"/>
        <w:spacing w:line="240" w:lineRule="auto"/>
        <w:rPr>
          <w:rFonts w:ascii="宋体" w:hAnsi="宋体" w:cs="微软雅黑"/>
          <w:sz w:val="24"/>
          <w:highlight w:val="none"/>
          <w:u w:val="single"/>
        </w:rPr>
      </w:pPr>
      <w:r>
        <w:rPr>
          <w:rFonts w:hint="eastAsia" w:ascii="宋体" w:hAnsi="宋体" w:cs="微软雅黑"/>
          <w:sz w:val="24"/>
          <w:highlight w:val="none"/>
        </w:rPr>
        <w:t>日期：</w:t>
      </w:r>
      <w:r>
        <w:rPr>
          <w:rFonts w:hint="eastAsia" w:ascii="宋体" w:hAnsi="宋体" w:cs="微软雅黑"/>
          <w:sz w:val="24"/>
          <w:highlight w:val="none"/>
          <w:u w:val="single"/>
        </w:rPr>
        <w:t xml:space="preserve">     </w:t>
      </w:r>
      <w:r>
        <w:rPr>
          <w:rFonts w:hint="eastAsia" w:ascii="宋体" w:hAnsi="宋体" w:cs="微软雅黑"/>
          <w:sz w:val="24"/>
          <w:highlight w:val="none"/>
          <w:u w:val="single"/>
          <w:lang w:val="en-US" w:eastAsia="zh-CN"/>
        </w:rPr>
        <w:t xml:space="preserve">           </w:t>
      </w:r>
      <w:r>
        <w:rPr>
          <w:rFonts w:hint="eastAsia" w:ascii="宋体" w:hAnsi="宋体" w:cs="微软雅黑"/>
          <w:sz w:val="24"/>
          <w:highlight w:val="none"/>
          <w:u w:val="single"/>
        </w:rPr>
        <w:t xml:space="preserve">  </w:t>
      </w:r>
    </w:p>
    <w:p>
      <w:pPr>
        <w:pStyle w:val="37"/>
        <w:spacing w:line="360" w:lineRule="auto"/>
        <w:ind w:left="0" w:leftChars="0" w:firstLine="0" w:firstLineChars="0"/>
        <w:rPr>
          <w:rFonts w:hint="default" w:ascii="宋体" w:hAnsi="宋体" w:eastAsia="宋体" w:cs="宋体"/>
          <w:sz w:val="24"/>
          <w:szCs w:val="24"/>
          <w:highlight w:val="none"/>
          <w:lang w:val="en-US" w:eastAsia="zh-CN"/>
        </w:rPr>
      </w:pPr>
    </w:p>
    <w:p>
      <w:pPr>
        <w:widowControl/>
        <w:jc w:val="left"/>
        <w:rPr>
          <w:rFonts w:hint="eastAsia" w:hAnsi="宋体"/>
          <w:b/>
          <w:sz w:val="28"/>
          <w:szCs w:val="28"/>
          <w:highlight w:val="none"/>
        </w:rPr>
      </w:pPr>
    </w:p>
    <w:p>
      <w:pPr>
        <w:widowControl/>
        <w:jc w:val="left"/>
        <w:rPr>
          <w:rFonts w:hint="eastAsia" w:hAnsi="宋体"/>
          <w:b/>
          <w:sz w:val="28"/>
          <w:szCs w:val="28"/>
          <w:highlight w:val="none"/>
        </w:rPr>
      </w:pPr>
    </w:p>
    <w:p>
      <w:pPr>
        <w:widowControl/>
        <w:jc w:val="left"/>
        <w:rPr>
          <w:rFonts w:hint="eastAsia" w:hAnsi="宋体"/>
          <w:b/>
          <w:sz w:val="28"/>
          <w:szCs w:val="28"/>
          <w:highlight w:val="none"/>
        </w:rPr>
      </w:pPr>
    </w:p>
    <w:p>
      <w:pPr>
        <w:widowControl/>
        <w:jc w:val="left"/>
        <w:rPr>
          <w:rFonts w:hint="eastAsia" w:hAnsi="宋体"/>
          <w:b/>
          <w:sz w:val="28"/>
          <w:szCs w:val="28"/>
          <w:highlight w:val="none"/>
        </w:rPr>
      </w:pPr>
    </w:p>
    <w:p>
      <w:pPr>
        <w:widowControl/>
        <w:jc w:val="left"/>
        <w:rPr>
          <w:rFonts w:hint="eastAsia" w:hAnsi="宋体"/>
          <w:b/>
          <w:sz w:val="28"/>
          <w:szCs w:val="28"/>
          <w:highlight w:val="none"/>
        </w:rPr>
      </w:pPr>
    </w:p>
    <w:p>
      <w:pPr>
        <w:widowControl/>
        <w:jc w:val="left"/>
        <w:rPr>
          <w:rFonts w:hint="eastAsia" w:hAnsi="宋体"/>
          <w:b/>
          <w:sz w:val="28"/>
          <w:szCs w:val="28"/>
          <w:highlight w:val="none"/>
        </w:rPr>
      </w:pPr>
    </w:p>
    <w:p>
      <w:pPr>
        <w:widowControl/>
        <w:jc w:val="left"/>
        <w:rPr>
          <w:rFonts w:hint="eastAsia" w:hAnsi="宋体"/>
          <w:b/>
          <w:sz w:val="28"/>
          <w:szCs w:val="28"/>
          <w:highlight w:val="none"/>
        </w:rPr>
      </w:pPr>
    </w:p>
    <w:p>
      <w:pPr>
        <w:widowControl/>
        <w:jc w:val="left"/>
        <w:rPr>
          <w:rFonts w:hint="eastAsia" w:hAnsi="宋体"/>
          <w:b/>
          <w:sz w:val="28"/>
          <w:szCs w:val="28"/>
          <w:highlight w:val="none"/>
        </w:rPr>
      </w:pPr>
    </w:p>
    <w:p>
      <w:pPr>
        <w:widowControl/>
        <w:jc w:val="left"/>
        <w:rPr>
          <w:rFonts w:hAnsi="宋体"/>
          <w:b/>
          <w:sz w:val="36"/>
          <w:szCs w:val="36"/>
          <w:highlight w:val="none"/>
        </w:rPr>
      </w:pPr>
      <w:r>
        <w:rPr>
          <w:rFonts w:hint="eastAsia" w:hAnsi="宋体"/>
          <w:b/>
          <w:sz w:val="28"/>
          <w:szCs w:val="28"/>
          <w:highlight w:val="none"/>
        </w:rPr>
        <w:t>附件2：</w:t>
      </w:r>
    </w:p>
    <w:p>
      <w:pPr>
        <w:spacing w:after="156" w:afterLines="50"/>
        <w:jc w:val="center"/>
        <w:rPr>
          <w:rFonts w:hint="eastAsia" w:ascii="宋体" w:hAnsi="宋体" w:cs="微软雅黑"/>
          <w:b/>
          <w:bCs/>
          <w:kern w:val="2"/>
          <w:sz w:val="28"/>
          <w:szCs w:val="28"/>
          <w:highlight w:val="none"/>
          <w:lang w:val="en-US" w:eastAsia="zh-CN" w:bidi="ar-SA"/>
        </w:rPr>
      </w:pPr>
      <w:bookmarkStart w:id="5" w:name="_Toc498633666"/>
      <w:r>
        <w:rPr>
          <w:rFonts w:hint="eastAsia" w:ascii="宋体" w:hAnsi="宋体" w:eastAsia="宋体" w:cs="宋体"/>
          <w:b/>
          <w:bCs/>
          <w:sz w:val="28"/>
          <w:szCs w:val="28"/>
          <w:highlight w:val="none"/>
          <w:lang w:val="en-US" w:eastAsia="zh-CN"/>
        </w:rPr>
        <w:t>2.</w:t>
      </w:r>
      <w:r>
        <w:rPr>
          <w:rFonts w:hint="eastAsia" w:ascii="宋体" w:hAnsi="宋体" w:cs="微软雅黑"/>
          <w:b/>
          <w:bCs/>
          <w:kern w:val="2"/>
          <w:sz w:val="28"/>
          <w:szCs w:val="28"/>
          <w:highlight w:val="none"/>
          <w:lang w:val="en-US" w:eastAsia="zh-CN" w:bidi="ar-SA"/>
        </w:rPr>
        <w:t>开标一览表</w:t>
      </w:r>
      <w:bookmarkEnd w:id="5"/>
    </w:p>
    <w:p>
      <w:pPr>
        <w:snapToGrid w:val="0"/>
        <w:spacing w:line="360" w:lineRule="auto"/>
        <w:ind w:left="-143" w:leftChars="-68" w:right="-351" w:rightChars="-167"/>
        <w:rPr>
          <w:rFonts w:ascii="宋体" w:hAnsi="宋体"/>
          <w:sz w:val="24"/>
          <w:highlight w:val="none"/>
          <w:u w:val="single"/>
        </w:rPr>
      </w:pPr>
      <w:r>
        <w:rPr>
          <w:rFonts w:hint="eastAsia" w:ascii="宋体" w:hAnsi="宋体"/>
          <w:sz w:val="24"/>
          <w:highlight w:val="none"/>
        </w:rPr>
        <w:t xml:space="preserve"> </w:t>
      </w:r>
      <w:r>
        <w:rPr>
          <w:rFonts w:hint="eastAsia" w:ascii="宋体" w:hAnsi="宋体"/>
          <w:sz w:val="24"/>
          <w:highlight w:val="none"/>
          <w:lang w:val="en-US" w:eastAsia="zh-CN"/>
        </w:rPr>
        <w:t xml:space="preserve">  </w:t>
      </w:r>
      <w:r>
        <w:rPr>
          <w:rFonts w:hint="eastAsia" w:ascii="宋体" w:hAnsi="宋体"/>
          <w:sz w:val="24"/>
          <w:highlight w:val="none"/>
        </w:rPr>
        <w:t>项目名称：</w:t>
      </w:r>
      <w:r>
        <w:rPr>
          <w:rFonts w:hint="eastAsia" w:ascii="宋体" w:hAnsi="宋体"/>
          <w:sz w:val="24"/>
          <w:highlight w:val="none"/>
          <w:lang w:val="en-US" w:eastAsia="zh-CN"/>
        </w:rPr>
        <w:t xml:space="preserve">                             </w:t>
      </w:r>
      <w:r>
        <w:rPr>
          <w:rFonts w:hint="eastAsia" w:ascii="宋体" w:hAnsi="宋体"/>
          <w:sz w:val="24"/>
          <w:highlight w:val="none"/>
        </w:rPr>
        <w:t xml:space="preserve">     项目编号：</w:t>
      </w:r>
    </w:p>
    <w:tbl>
      <w:tblPr>
        <w:tblStyle w:val="18"/>
        <w:tblW w:w="85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3626"/>
        <w:gridCol w:w="1275"/>
        <w:gridCol w:w="2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974" w:type="dxa"/>
            <w:noWrap w:val="0"/>
            <w:vAlign w:val="center"/>
          </w:tcPr>
          <w:p>
            <w:pPr>
              <w:snapToGrid w:val="0"/>
              <w:spacing w:line="400" w:lineRule="exact"/>
              <w:jc w:val="center"/>
              <w:rPr>
                <w:b/>
                <w:sz w:val="24"/>
                <w:highlight w:val="none"/>
              </w:rPr>
            </w:pPr>
            <w:r>
              <w:rPr>
                <w:rFonts w:hint="eastAsia"/>
                <w:b/>
                <w:sz w:val="24"/>
                <w:highlight w:val="none"/>
              </w:rPr>
              <w:t>档列</w:t>
            </w:r>
          </w:p>
        </w:tc>
        <w:tc>
          <w:tcPr>
            <w:tcW w:w="3626" w:type="dxa"/>
            <w:noWrap w:val="0"/>
            <w:vAlign w:val="center"/>
          </w:tcPr>
          <w:p>
            <w:pPr>
              <w:snapToGrid w:val="0"/>
              <w:spacing w:line="400" w:lineRule="exact"/>
              <w:jc w:val="center"/>
              <w:rPr>
                <w:b/>
                <w:sz w:val="24"/>
                <w:highlight w:val="none"/>
              </w:rPr>
            </w:pPr>
            <w:r>
              <w:rPr>
                <w:rFonts w:hint="eastAsia"/>
                <w:b/>
                <w:sz w:val="24"/>
                <w:highlight w:val="none"/>
              </w:rPr>
              <w:t>合同价（</w:t>
            </w:r>
            <w:r>
              <w:rPr>
                <w:rFonts w:hint="eastAsia"/>
                <w:b/>
                <w:sz w:val="24"/>
                <w:highlight w:val="none"/>
                <w:lang w:val="en-US" w:eastAsia="zh-CN"/>
              </w:rPr>
              <w:t>人民币，</w:t>
            </w:r>
            <w:r>
              <w:rPr>
                <w:rFonts w:hint="eastAsia"/>
                <w:b/>
                <w:sz w:val="24"/>
                <w:highlight w:val="none"/>
              </w:rPr>
              <w:t>单位：</w:t>
            </w:r>
            <w:r>
              <w:rPr>
                <w:rFonts w:hint="eastAsia"/>
                <w:b/>
                <w:sz w:val="24"/>
                <w:highlight w:val="none"/>
                <w:lang w:val="en-US" w:eastAsia="zh-CN"/>
              </w:rPr>
              <w:t>万</w:t>
            </w:r>
            <w:r>
              <w:rPr>
                <w:rFonts w:hint="eastAsia"/>
                <w:b/>
                <w:sz w:val="24"/>
                <w:highlight w:val="none"/>
              </w:rPr>
              <w:t>元）</w:t>
            </w:r>
          </w:p>
        </w:tc>
        <w:tc>
          <w:tcPr>
            <w:tcW w:w="1275" w:type="dxa"/>
            <w:noWrap w:val="0"/>
            <w:vAlign w:val="center"/>
          </w:tcPr>
          <w:p>
            <w:pPr>
              <w:snapToGrid w:val="0"/>
              <w:spacing w:line="400" w:lineRule="exact"/>
              <w:jc w:val="center"/>
              <w:rPr>
                <w:b/>
                <w:sz w:val="24"/>
                <w:highlight w:val="none"/>
              </w:rPr>
            </w:pPr>
            <w:r>
              <w:rPr>
                <w:rFonts w:hint="eastAsia"/>
                <w:b/>
                <w:sz w:val="24"/>
                <w:highlight w:val="none"/>
              </w:rPr>
              <w:t>权重</w:t>
            </w:r>
          </w:p>
        </w:tc>
        <w:tc>
          <w:tcPr>
            <w:tcW w:w="2649" w:type="dxa"/>
            <w:noWrap w:val="0"/>
            <w:vAlign w:val="center"/>
          </w:tcPr>
          <w:p>
            <w:pPr>
              <w:snapToGrid w:val="0"/>
              <w:spacing w:line="400" w:lineRule="exact"/>
              <w:jc w:val="center"/>
              <w:rPr>
                <w:b/>
                <w:sz w:val="24"/>
                <w:highlight w:val="none"/>
              </w:rPr>
            </w:pPr>
            <w:r>
              <w:rPr>
                <w:rFonts w:hint="eastAsia"/>
                <w:b/>
                <w:sz w:val="24"/>
                <w:highlight w:val="none"/>
                <w:lang w:val="en-US" w:eastAsia="zh-CN"/>
              </w:rPr>
              <w:t>进口</w:t>
            </w:r>
            <w:r>
              <w:rPr>
                <w:rFonts w:hint="eastAsia"/>
                <w:b/>
                <w:sz w:val="24"/>
                <w:highlight w:val="none"/>
              </w:rPr>
              <w:t>代理费率</w:t>
            </w:r>
            <w:r>
              <w:rPr>
                <w:rFonts w:hint="eastAsia"/>
                <w:b/>
                <w:sz w:val="24"/>
                <w:highlight w:val="none"/>
                <w:lang w:eastAsia="zh-CN"/>
              </w:rPr>
              <w:t>（</w:t>
            </w:r>
            <w:r>
              <w:rPr>
                <w:rFonts w:hint="eastAsia"/>
                <w:b/>
                <w:sz w:val="24"/>
                <w:highlight w:val="none"/>
                <w:lang w:val="en-US" w:eastAsia="zh-CN"/>
              </w:rPr>
              <w:t>包干价）（%）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74" w:type="dxa"/>
            <w:noWrap w:val="0"/>
            <w:vAlign w:val="center"/>
          </w:tcPr>
          <w:p>
            <w:pPr>
              <w:snapToGrid w:val="0"/>
              <w:spacing w:line="400" w:lineRule="exact"/>
              <w:jc w:val="center"/>
              <w:rPr>
                <w:sz w:val="24"/>
                <w:highlight w:val="none"/>
              </w:rPr>
            </w:pPr>
            <w:r>
              <w:rPr>
                <w:rFonts w:hint="eastAsia"/>
                <w:sz w:val="24"/>
                <w:highlight w:val="none"/>
              </w:rPr>
              <w:t>1</w:t>
            </w:r>
          </w:p>
        </w:tc>
        <w:tc>
          <w:tcPr>
            <w:tcW w:w="3626" w:type="dxa"/>
            <w:noWrap w:val="0"/>
            <w:vAlign w:val="center"/>
          </w:tcPr>
          <w:p>
            <w:pPr>
              <w:snapToGrid w:val="0"/>
              <w:spacing w:line="400" w:lineRule="exact"/>
              <w:jc w:val="center"/>
              <w:rPr>
                <w:sz w:val="24"/>
                <w:highlight w:val="none"/>
              </w:rPr>
            </w:pPr>
            <w:r>
              <w:rPr>
                <w:rFonts w:hint="eastAsia"/>
                <w:sz w:val="24"/>
                <w:highlight w:val="none"/>
              </w:rPr>
              <w:t>合同价＜10</w:t>
            </w:r>
          </w:p>
        </w:tc>
        <w:tc>
          <w:tcPr>
            <w:tcW w:w="1275" w:type="dxa"/>
            <w:noWrap w:val="0"/>
            <w:vAlign w:val="top"/>
          </w:tcPr>
          <w:p>
            <w:pPr>
              <w:snapToGrid w:val="0"/>
              <w:spacing w:line="400" w:lineRule="exact"/>
              <w:jc w:val="center"/>
              <w:rPr>
                <w:sz w:val="24"/>
                <w:highlight w:val="none"/>
              </w:rPr>
            </w:pPr>
            <w:r>
              <w:rPr>
                <w:rFonts w:hint="eastAsia"/>
                <w:sz w:val="24"/>
                <w:highlight w:val="none"/>
                <w:lang w:val="en-US" w:eastAsia="zh-CN"/>
              </w:rPr>
              <w:t>21</w:t>
            </w:r>
            <w:r>
              <w:rPr>
                <w:rFonts w:hint="eastAsia"/>
                <w:sz w:val="24"/>
                <w:highlight w:val="none"/>
              </w:rPr>
              <w:t>%</w:t>
            </w:r>
          </w:p>
        </w:tc>
        <w:tc>
          <w:tcPr>
            <w:tcW w:w="2649" w:type="dxa"/>
            <w:noWrap w:val="0"/>
            <w:vAlign w:val="center"/>
          </w:tcPr>
          <w:p>
            <w:pPr>
              <w:snapToGrid w:val="0"/>
              <w:spacing w:line="400" w:lineRule="exact"/>
              <w:jc w:val="center"/>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74" w:type="dxa"/>
            <w:noWrap w:val="0"/>
            <w:vAlign w:val="center"/>
          </w:tcPr>
          <w:p>
            <w:pPr>
              <w:snapToGrid w:val="0"/>
              <w:spacing w:line="400" w:lineRule="exact"/>
              <w:jc w:val="center"/>
              <w:rPr>
                <w:sz w:val="24"/>
                <w:highlight w:val="none"/>
              </w:rPr>
            </w:pPr>
            <w:r>
              <w:rPr>
                <w:rFonts w:hint="eastAsia"/>
                <w:sz w:val="24"/>
                <w:highlight w:val="none"/>
              </w:rPr>
              <w:t>2</w:t>
            </w:r>
          </w:p>
        </w:tc>
        <w:tc>
          <w:tcPr>
            <w:tcW w:w="3626" w:type="dxa"/>
            <w:noWrap w:val="0"/>
            <w:vAlign w:val="center"/>
          </w:tcPr>
          <w:p>
            <w:pPr>
              <w:snapToGrid w:val="0"/>
              <w:spacing w:line="400" w:lineRule="exact"/>
              <w:jc w:val="center"/>
              <w:rPr>
                <w:sz w:val="24"/>
                <w:highlight w:val="none"/>
              </w:rPr>
            </w:pPr>
            <w:r>
              <w:rPr>
                <w:rFonts w:hint="eastAsia"/>
                <w:sz w:val="24"/>
                <w:highlight w:val="none"/>
              </w:rPr>
              <w:t>10≤合同价＜30</w:t>
            </w:r>
          </w:p>
        </w:tc>
        <w:tc>
          <w:tcPr>
            <w:tcW w:w="1275" w:type="dxa"/>
            <w:noWrap w:val="0"/>
            <w:vAlign w:val="top"/>
          </w:tcPr>
          <w:p>
            <w:pPr>
              <w:snapToGrid w:val="0"/>
              <w:spacing w:line="400" w:lineRule="exact"/>
              <w:jc w:val="center"/>
              <w:rPr>
                <w:sz w:val="24"/>
                <w:highlight w:val="none"/>
              </w:rPr>
            </w:pPr>
            <w:r>
              <w:rPr>
                <w:rFonts w:hint="eastAsia"/>
                <w:sz w:val="24"/>
                <w:highlight w:val="none"/>
                <w:lang w:val="en-US" w:eastAsia="zh-CN"/>
              </w:rPr>
              <w:t>35</w:t>
            </w:r>
            <w:r>
              <w:rPr>
                <w:rFonts w:hint="eastAsia"/>
                <w:sz w:val="24"/>
                <w:highlight w:val="none"/>
              </w:rPr>
              <w:t>%</w:t>
            </w:r>
          </w:p>
        </w:tc>
        <w:tc>
          <w:tcPr>
            <w:tcW w:w="2649" w:type="dxa"/>
            <w:noWrap w:val="0"/>
            <w:vAlign w:val="center"/>
          </w:tcPr>
          <w:p>
            <w:pPr>
              <w:snapToGrid w:val="0"/>
              <w:spacing w:line="400" w:lineRule="exact"/>
              <w:jc w:val="center"/>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974" w:type="dxa"/>
            <w:noWrap w:val="0"/>
            <w:vAlign w:val="center"/>
          </w:tcPr>
          <w:p>
            <w:pPr>
              <w:snapToGrid w:val="0"/>
              <w:spacing w:line="400" w:lineRule="exact"/>
              <w:jc w:val="center"/>
              <w:rPr>
                <w:sz w:val="24"/>
                <w:highlight w:val="none"/>
              </w:rPr>
            </w:pPr>
            <w:r>
              <w:rPr>
                <w:rFonts w:hint="eastAsia"/>
                <w:sz w:val="24"/>
                <w:highlight w:val="none"/>
              </w:rPr>
              <w:t>3</w:t>
            </w:r>
          </w:p>
        </w:tc>
        <w:tc>
          <w:tcPr>
            <w:tcW w:w="3626" w:type="dxa"/>
            <w:noWrap w:val="0"/>
            <w:vAlign w:val="center"/>
          </w:tcPr>
          <w:p>
            <w:pPr>
              <w:snapToGrid w:val="0"/>
              <w:spacing w:line="400" w:lineRule="exact"/>
              <w:jc w:val="center"/>
              <w:rPr>
                <w:sz w:val="24"/>
                <w:highlight w:val="none"/>
              </w:rPr>
            </w:pPr>
            <w:r>
              <w:rPr>
                <w:rFonts w:hint="eastAsia"/>
                <w:sz w:val="24"/>
                <w:highlight w:val="none"/>
              </w:rPr>
              <w:t>30≤合同价＜50</w:t>
            </w:r>
          </w:p>
        </w:tc>
        <w:tc>
          <w:tcPr>
            <w:tcW w:w="1275" w:type="dxa"/>
            <w:noWrap w:val="0"/>
            <w:vAlign w:val="top"/>
          </w:tcPr>
          <w:p>
            <w:pPr>
              <w:snapToGrid w:val="0"/>
              <w:spacing w:line="400" w:lineRule="exact"/>
              <w:jc w:val="center"/>
              <w:rPr>
                <w:sz w:val="24"/>
                <w:highlight w:val="none"/>
              </w:rPr>
            </w:pPr>
            <w:r>
              <w:rPr>
                <w:rFonts w:hint="eastAsia"/>
                <w:sz w:val="24"/>
                <w:highlight w:val="none"/>
                <w:lang w:val="en-US" w:eastAsia="zh-CN"/>
              </w:rPr>
              <w:t>19</w:t>
            </w:r>
            <w:r>
              <w:rPr>
                <w:rFonts w:hint="eastAsia"/>
                <w:sz w:val="24"/>
                <w:highlight w:val="none"/>
              </w:rPr>
              <w:t>%</w:t>
            </w:r>
          </w:p>
        </w:tc>
        <w:tc>
          <w:tcPr>
            <w:tcW w:w="2649" w:type="dxa"/>
            <w:noWrap w:val="0"/>
            <w:vAlign w:val="center"/>
          </w:tcPr>
          <w:p>
            <w:pPr>
              <w:snapToGrid w:val="0"/>
              <w:spacing w:line="400" w:lineRule="exact"/>
              <w:jc w:val="center"/>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74" w:type="dxa"/>
            <w:noWrap w:val="0"/>
            <w:vAlign w:val="center"/>
          </w:tcPr>
          <w:p>
            <w:pPr>
              <w:snapToGrid w:val="0"/>
              <w:spacing w:line="400" w:lineRule="exact"/>
              <w:jc w:val="center"/>
              <w:rPr>
                <w:sz w:val="24"/>
                <w:highlight w:val="none"/>
              </w:rPr>
            </w:pPr>
            <w:r>
              <w:rPr>
                <w:rFonts w:hint="eastAsia"/>
                <w:sz w:val="24"/>
                <w:highlight w:val="none"/>
              </w:rPr>
              <w:t>4</w:t>
            </w:r>
          </w:p>
        </w:tc>
        <w:tc>
          <w:tcPr>
            <w:tcW w:w="3626" w:type="dxa"/>
            <w:noWrap w:val="0"/>
            <w:vAlign w:val="center"/>
          </w:tcPr>
          <w:p>
            <w:pPr>
              <w:snapToGrid w:val="0"/>
              <w:spacing w:line="400" w:lineRule="exact"/>
              <w:jc w:val="center"/>
              <w:rPr>
                <w:sz w:val="24"/>
                <w:highlight w:val="none"/>
              </w:rPr>
            </w:pPr>
            <w:r>
              <w:rPr>
                <w:rFonts w:hint="eastAsia"/>
                <w:sz w:val="24"/>
                <w:highlight w:val="none"/>
              </w:rPr>
              <w:t>50≤合同价＜100</w:t>
            </w:r>
          </w:p>
        </w:tc>
        <w:tc>
          <w:tcPr>
            <w:tcW w:w="1275" w:type="dxa"/>
            <w:noWrap w:val="0"/>
            <w:vAlign w:val="top"/>
          </w:tcPr>
          <w:p>
            <w:pPr>
              <w:snapToGrid w:val="0"/>
              <w:spacing w:line="400" w:lineRule="exact"/>
              <w:jc w:val="center"/>
              <w:rPr>
                <w:sz w:val="24"/>
                <w:highlight w:val="none"/>
              </w:rPr>
            </w:pPr>
            <w:r>
              <w:rPr>
                <w:rFonts w:hint="eastAsia"/>
                <w:sz w:val="24"/>
                <w:highlight w:val="none"/>
                <w:lang w:val="en-US" w:eastAsia="zh-CN"/>
              </w:rPr>
              <w:t>17</w:t>
            </w:r>
            <w:r>
              <w:rPr>
                <w:rFonts w:hint="eastAsia"/>
                <w:sz w:val="24"/>
                <w:highlight w:val="none"/>
              </w:rPr>
              <w:t>%</w:t>
            </w:r>
          </w:p>
        </w:tc>
        <w:tc>
          <w:tcPr>
            <w:tcW w:w="2649" w:type="dxa"/>
            <w:noWrap w:val="0"/>
            <w:vAlign w:val="center"/>
          </w:tcPr>
          <w:p>
            <w:pPr>
              <w:snapToGrid w:val="0"/>
              <w:spacing w:line="400" w:lineRule="exact"/>
              <w:jc w:val="center"/>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974" w:type="dxa"/>
            <w:noWrap w:val="0"/>
            <w:vAlign w:val="center"/>
          </w:tcPr>
          <w:p>
            <w:pPr>
              <w:snapToGrid w:val="0"/>
              <w:spacing w:line="400" w:lineRule="exact"/>
              <w:jc w:val="center"/>
              <w:rPr>
                <w:sz w:val="24"/>
                <w:highlight w:val="none"/>
              </w:rPr>
            </w:pPr>
            <w:r>
              <w:rPr>
                <w:rFonts w:hint="eastAsia"/>
                <w:sz w:val="24"/>
                <w:highlight w:val="none"/>
              </w:rPr>
              <w:t>5</w:t>
            </w:r>
          </w:p>
        </w:tc>
        <w:tc>
          <w:tcPr>
            <w:tcW w:w="3626" w:type="dxa"/>
            <w:noWrap w:val="0"/>
            <w:vAlign w:val="center"/>
          </w:tcPr>
          <w:p>
            <w:pPr>
              <w:snapToGrid w:val="0"/>
              <w:spacing w:line="400" w:lineRule="exact"/>
              <w:jc w:val="center"/>
              <w:rPr>
                <w:sz w:val="24"/>
                <w:highlight w:val="none"/>
              </w:rPr>
            </w:pPr>
            <w:r>
              <w:rPr>
                <w:rFonts w:hint="eastAsia"/>
                <w:sz w:val="24"/>
                <w:highlight w:val="none"/>
              </w:rPr>
              <w:t>100≤合同价＜200</w:t>
            </w:r>
          </w:p>
        </w:tc>
        <w:tc>
          <w:tcPr>
            <w:tcW w:w="1275" w:type="dxa"/>
            <w:noWrap w:val="0"/>
            <w:vAlign w:val="top"/>
          </w:tcPr>
          <w:p>
            <w:pPr>
              <w:snapToGrid w:val="0"/>
              <w:spacing w:line="400" w:lineRule="exact"/>
              <w:jc w:val="center"/>
              <w:rPr>
                <w:sz w:val="24"/>
                <w:highlight w:val="none"/>
              </w:rPr>
            </w:pPr>
            <w:r>
              <w:rPr>
                <w:rFonts w:hint="eastAsia"/>
                <w:sz w:val="24"/>
                <w:highlight w:val="none"/>
                <w:lang w:val="en-US" w:eastAsia="zh-CN"/>
              </w:rPr>
              <w:t>8</w:t>
            </w:r>
            <w:r>
              <w:rPr>
                <w:rFonts w:hint="eastAsia"/>
                <w:sz w:val="24"/>
                <w:highlight w:val="none"/>
              </w:rPr>
              <w:t>%</w:t>
            </w:r>
          </w:p>
        </w:tc>
        <w:tc>
          <w:tcPr>
            <w:tcW w:w="2649" w:type="dxa"/>
            <w:noWrap w:val="0"/>
            <w:vAlign w:val="center"/>
          </w:tcPr>
          <w:p>
            <w:pPr>
              <w:snapToGrid w:val="0"/>
              <w:spacing w:line="400" w:lineRule="exact"/>
              <w:jc w:val="center"/>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5875" w:type="dxa"/>
            <w:gridSpan w:val="3"/>
            <w:noWrap w:val="0"/>
            <w:vAlign w:val="center"/>
          </w:tcPr>
          <w:p>
            <w:pPr>
              <w:snapToGrid w:val="0"/>
              <w:spacing w:line="400" w:lineRule="exact"/>
              <w:jc w:val="center"/>
              <w:rPr>
                <w:rFonts w:hint="eastAsia"/>
                <w:sz w:val="24"/>
                <w:highlight w:val="none"/>
                <w:lang w:val="en-US" w:eastAsia="zh-CN"/>
              </w:rPr>
            </w:pPr>
            <w:r>
              <w:rPr>
                <w:rFonts w:hint="eastAsia"/>
                <w:sz w:val="24"/>
                <w:highlight w:val="none"/>
                <w:lang w:val="en-US" w:eastAsia="zh-CN"/>
              </w:rPr>
              <w:t>各档代理费率加权平均</w:t>
            </w:r>
          </w:p>
        </w:tc>
        <w:tc>
          <w:tcPr>
            <w:tcW w:w="2649" w:type="dxa"/>
            <w:noWrap w:val="0"/>
            <w:vAlign w:val="center"/>
          </w:tcPr>
          <w:p>
            <w:pPr>
              <w:snapToGrid w:val="0"/>
              <w:spacing w:line="400" w:lineRule="exact"/>
              <w:jc w:val="center"/>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9" w:hRule="atLeast"/>
          <w:jc w:val="center"/>
        </w:trPr>
        <w:tc>
          <w:tcPr>
            <w:tcW w:w="974" w:type="dxa"/>
            <w:noWrap w:val="0"/>
            <w:vAlign w:val="center"/>
          </w:tcPr>
          <w:p>
            <w:pPr>
              <w:snapToGrid w:val="0"/>
              <w:spacing w:line="400" w:lineRule="exact"/>
              <w:jc w:val="center"/>
              <w:rPr>
                <w:rFonts w:hint="default" w:eastAsia="宋体"/>
                <w:sz w:val="24"/>
                <w:highlight w:val="none"/>
                <w:lang w:val="en-US" w:eastAsia="zh-CN"/>
              </w:rPr>
            </w:pPr>
            <w:r>
              <w:rPr>
                <w:rFonts w:hint="eastAsia"/>
                <w:sz w:val="24"/>
                <w:highlight w:val="none"/>
                <w:lang w:val="en-US" w:eastAsia="zh-CN"/>
              </w:rPr>
              <w:t>服务期</w:t>
            </w:r>
          </w:p>
        </w:tc>
        <w:tc>
          <w:tcPr>
            <w:tcW w:w="7550" w:type="dxa"/>
            <w:gridSpan w:val="3"/>
            <w:noWrap w:val="0"/>
            <w:vAlign w:val="center"/>
          </w:tcPr>
          <w:p>
            <w:pPr>
              <w:snapToGrid w:val="0"/>
              <w:spacing w:line="400" w:lineRule="exact"/>
              <w:jc w:val="center"/>
              <w:rPr>
                <w:rFonts w:hint="eastAsia" w:eastAsia="宋体"/>
                <w:sz w:val="24"/>
                <w:highlight w:val="none"/>
                <w:lang w:val="en-US" w:eastAsia="zh-CN"/>
              </w:rPr>
            </w:pPr>
            <w:r>
              <w:rPr>
                <w:rFonts w:hint="eastAsia"/>
                <w:sz w:val="24"/>
                <w:highlight w:val="none"/>
                <w:lang w:val="en-US" w:eastAsia="zh-CN"/>
              </w:rPr>
              <w:t>3 年</w:t>
            </w:r>
          </w:p>
        </w:tc>
      </w:tr>
    </w:tbl>
    <w:p>
      <w:pPr>
        <w:pStyle w:val="2"/>
        <w:ind w:left="0" w:leftChars="0" w:firstLine="0" w:firstLineChars="0"/>
        <w:rPr>
          <w:rFonts w:hint="eastAsia" w:ascii="宋体" w:hAnsi="宋体"/>
          <w:sz w:val="24"/>
          <w:highlight w:val="none"/>
          <w:u w:val="none"/>
          <w:lang w:val="en-US" w:eastAsia="zh-CN"/>
        </w:rPr>
      </w:pPr>
    </w:p>
    <w:p>
      <w:pPr>
        <w:pStyle w:val="2"/>
        <w:ind w:left="0" w:leftChars="0" w:right="372" w:rightChars="177" w:firstLine="0" w:firstLineChars="0"/>
        <w:rPr>
          <w:rFonts w:hint="default" w:ascii="宋体" w:hAnsi="宋体" w:eastAsia="宋体"/>
          <w:sz w:val="21"/>
          <w:szCs w:val="21"/>
          <w:highlight w:val="none"/>
          <w:u w:val="none"/>
          <w:lang w:val="en-US" w:eastAsia="zh-CN"/>
        </w:rPr>
      </w:pPr>
      <w:r>
        <w:rPr>
          <w:rFonts w:hint="eastAsia" w:ascii="宋体" w:hAnsi="宋体"/>
          <w:sz w:val="21"/>
          <w:szCs w:val="21"/>
          <w:highlight w:val="none"/>
          <w:u w:val="none"/>
          <w:lang w:val="en-US" w:eastAsia="zh-CN"/>
        </w:rPr>
        <w:t>注：进口设备采购中标合同价大于等于200万元人民币的，代理服务费通过协商确定。</w:t>
      </w:r>
    </w:p>
    <w:p>
      <w:pPr>
        <w:pStyle w:val="2"/>
        <w:rPr>
          <w:rFonts w:ascii="宋体" w:hAnsi="宋体"/>
          <w:sz w:val="24"/>
          <w:highlight w:val="none"/>
          <w:u w:val="single"/>
        </w:rPr>
      </w:pPr>
    </w:p>
    <w:p>
      <w:pPr>
        <w:spacing w:line="480" w:lineRule="auto"/>
        <w:rPr>
          <w:rFonts w:hint="eastAsia" w:ascii="宋体" w:hAnsi="宋体"/>
          <w:sz w:val="24"/>
          <w:highlight w:val="none"/>
          <w:u w:val="single"/>
          <w:lang w:eastAsia="zh-CN"/>
        </w:rPr>
      </w:pPr>
      <w:r>
        <w:rPr>
          <w:rFonts w:hint="eastAsia" w:ascii="宋体" w:hAnsi="宋体"/>
          <w:sz w:val="24"/>
          <w:highlight w:val="none"/>
        </w:rPr>
        <w:t>投标人名称：（章）</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u w:val="single"/>
        </w:rPr>
        <w:t xml:space="preserve">          </w:t>
      </w:r>
    </w:p>
    <w:p>
      <w:pPr>
        <w:spacing w:line="480" w:lineRule="auto"/>
        <w:rPr>
          <w:rFonts w:ascii="宋体" w:hAnsi="宋体"/>
          <w:sz w:val="24"/>
          <w:highlight w:val="none"/>
        </w:rPr>
      </w:pPr>
      <w:r>
        <w:rPr>
          <w:rFonts w:hint="eastAsia" w:ascii="宋体" w:hAnsi="宋体"/>
          <w:sz w:val="24"/>
          <w:highlight w:val="none"/>
        </w:rPr>
        <w:t>授权代表（签字或盖章）：</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u w:val="single"/>
        </w:rPr>
        <w:t xml:space="preserve">          </w:t>
      </w:r>
    </w:p>
    <w:p>
      <w:pPr>
        <w:spacing w:line="480" w:lineRule="auto"/>
        <w:rPr>
          <w:rFonts w:hint="eastAsia" w:ascii="宋体" w:hAnsi="宋体"/>
          <w:sz w:val="24"/>
          <w:highlight w:val="none"/>
          <w:u w:val="single"/>
        </w:rPr>
      </w:pPr>
      <w:r>
        <w:rPr>
          <w:rFonts w:hint="eastAsia" w:ascii="宋体" w:hAnsi="宋体"/>
          <w:sz w:val="24"/>
          <w:highlight w:val="none"/>
        </w:rPr>
        <w:t>日    期：</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u w:val="single"/>
        </w:rPr>
        <w:t xml:space="preserve">          </w:t>
      </w:r>
    </w:p>
    <w:p>
      <w:pPr>
        <w:pStyle w:val="6"/>
        <w:ind w:left="0" w:leftChars="0" w:firstLine="0" w:firstLineChars="0"/>
        <w:rPr>
          <w:rFonts w:hint="eastAsia" w:ascii="宋体" w:hAnsi="宋体"/>
          <w:sz w:val="24"/>
          <w:highlight w:val="none"/>
          <w:u w:val="single"/>
        </w:rPr>
      </w:pPr>
    </w:p>
    <w:p>
      <w:pPr>
        <w:pStyle w:val="6"/>
        <w:ind w:left="0" w:leftChars="0" w:firstLine="0" w:firstLineChars="0"/>
        <w:rPr>
          <w:rFonts w:hint="eastAsia" w:ascii="宋体" w:hAnsi="宋体"/>
          <w:sz w:val="24"/>
          <w:highlight w:val="none"/>
          <w:u w:val="single"/>
        </w:rPr>
      </w:pPr>
    </w:p>
    <w:p>
      <w:pPr>
        <w:pStyle w:val="6"/>
        <w:ind w:left="0" w:leftChars="0" w:firstLine="0" w:firstLineChars="0"/>
        <w:rPr>
          <w:rFonts w:hint="default" w:ascii="宋体" w:hAnsi="宋体"/>
          <w:sz w:val="24"/>
          <w:highlight w:val="none"/>
          <w:u w:val="none"/>
          <w:lang w:val="en-US" w:eastAsia="zh-CN"/>
        </w:rPr>
      </w:pPr>
    </w:p>
    <w:p>
      <w:pPr>
        <w:pStyle w:val="37"/>
        <w:spacing w:line="360" w:lineRule="auto"/>
        <w:ind w:left="0" w:leftChars="0" w:firstLine="0" w:firstLineChars="0"/>
        <w:rPr>
          <w:rFonts w:hint="default" w:ascii="宋体" w:hAnsi="宋体" w:eastAsia="宋体" w:cs="宋体"/>
          <w:sz w:val="24"/>
          <w:szCs w:val="24"/>
          <w:highlight w:val="none"/>
          <w:lang w:val="en-US" w:eastAsia="zh-CN"/>
        </w:rPr>
      </w:pPr>
    </w:p>
    <w:p>
      <w:pPr>
        <w:pStyle w:val="37"/>
        <w:spacing w:line="360" w:lineRule="auto"/>
        <w:ind w:firstLine="480"/>
        <w:rPr>
          <w:rFonts w:hint="eastAsia" w:ascii="宋体" w:hAnsi="宋体" w:eastAsia="宋体" w:cs="宋体"/>
          <w:sz w:val="24"/>
          <w:szCs w:val="24"/>
          <w:highlight w:val="none"/>
        </w:rPr>
      </w:pPr>
    </w:p>
    <w:p>
      <w:pPr>
        <w:pStyle w:val="6"/>
        <w:spacing w:line="360" w:lineRule="auto"/>
        <w:ind w:left="0" w:leftChars="0" w:firstLine="0" w:firstLineChars="0"/>
        <w:rPr>
          <w:rFonts w:hint="eastAsia" w:ascii="宋体" w:hAnsi="宋体" w:eastAsia="宋体" w:cs="宋体"/>
          <w:sz w:val="24"/>
          <w:szCs w:val="24"/>
          <w:highlight w:val="none"/>
        </w:rPr>
      </w:pPr>
    </w:p>
    <w:p>
      <w:pPr>
        <w:widowControl/>
        <w:jc w:val="left"/>
        <w:rPr>
          <w:rFonts w:hint="eastAsia" w:hAnsi="宋体"/>
          <w:b/>
          <w:sz w:val="28"/>
          <w:szCs w:val="28"/>
          <w:highlight w:val="none"/>
        </w:rPr>
      </w:pPr>
    </w:p>
    <w:p>
      <w:pPr>
        <w:widowControl/>
        <w:jc w:val="left"/>
        <w:rPr>
          <w:rFonts w:hint="eastAsia" w:hAnsi="宋体"/>
          <w:b/>
          <w:sz w:val="28"/>
          <w:szCs w:val="28"/>
          <w:highlight w:val="none"/>
        </w:rPr>
      </w:pPr>
    </w:p>
    <w:p>
      <w:pPr>
        <w:widowControl/>
        <w:jc w:val="left"/>
        <w:rPr>
          <w:rFonts w:hint="eastAsia" w:hAnsi="宋体"/>
          <w:b/>
          <w:sz w:val="28"/>
          <w:szCs w:val="28"/>
          <w:highlight w:val="none"/>
        </w:rPr>
      </w:pPr>
    </w:p>
    <w:p>
      <w:pPr>
        <w:widowControl/>
        <w:jc w:val="left"/>
        <w:rPr>
          <w:rFonts w:hint="eastAsia" w:hAnsi="宋体"/>
          <w:b/>
          <w:sz w:val="28"/>
          <w:szCs w:val="28"/>
          <w:highlight w:val="none"/>
        </w:rPr>
      </w:pPr>
    </w:p>
    <w:p>
      <w:pPr>
        <w:widowControl/>
        <w:jc w:val="left"/>
        <w:rPr>
          <w:rFonts w:hint="eastAsia" w:hAnsi="宋体"/>
          <w:b/>
          <w:sz w:val="28"/>
          <w:szCs w:val="28"/>
          <w:highlight w:val="none"/>
        </w:rPr>
      </w:pPr>
    </w:p>
    <w:p>
      <w:pPr>
        <w:widowControl/>
        <w:jc w:val="left"/>
        <w:rPr>
          <w:rFonts w:hAnsi="宋体"/>
          <w:b/>
          <w:sz w:val="36"/>
          <w:szCs w:val="36"/>
          <w:highlight w:val="none"/>
        </w:rPr>
      </w:pPr>
      <w:r>
        <w:rPr>
          <w:rFonts w:hint="eastAsia" w:hAnsi="宋体"/>
          <w:b/>
          <w:sz w:val="28"/>
          <w:szCs w:val="28"/>
          <w:highlight w:val="none"/>
        </w:rPr>
        <w:t>附件3：</w:t>
      </w:r>
    </w:p>
    <w:p>
      <w:pPr>
        <w:widowControl/>
        <w:adjustRightInd w:val="0"/>
        <w:snapToGrid w:val="0"/>
        <w:spacing w:line="360" w:lineRule="auto"/>
        <w:jc w:val="center"/>
        <w:rPr>
          <w:rFonts w:eastAsia="黑体"/>
          <w:bCs/>
          <w:sz w:val="44"/>
          <w:highlight w:val="none"/>
        </w:rPr>
      </w:pPr>
      <w:r>
        <w:rPr>
          <w:rFonts w:hint="eastAsia" w:eastAsia="黑体"/>
          <w:bCs/>
          <w:sz w:val="44"/>
          <w:highlight w:val="none"/>
        </w:rPr>
        <w:t>法定代表人授权书</w:t>
      </w:r>
    </w:p>
    <w:p>
      <w:pPr>
        <w:pStyle w:val="52"/>
        <w:spacing w:beforeLines="100" w:afterLines="50" w:line="700" w:lineRule="exact"/>
        <w:ind w:firstLine="560" w:firstLineChars="200"/>
        <w:rPr>
          <w:rFonts w:ascii="宋体" w:hAnsi="宋体"/>
          <w:kern w:val="2"/>
          <w:sz w:val="28"/>
          <w:szCs w:val="28"/>
          <w:highlight w:val="none"/>
        </w:rPr>
      </w:pPr>
      <w:r>
        <w:rPr>
          <w:rFonts w:hint="eastAsia" w:ascii="宋体" w:hAnsi="宋体"/>
          <w:kern w:val="2"/>
          <w:sz w:val="28"/>
          <w:szCs w:val="28"/>
          <w:highlight w:val="none"/>
        </w:rPr>
        <w:t>本授权书声明：</w:t>
      </w:r>
      <w:r>
        <w:rPr>
          <w:rFonts w:hint="eastAsia" w:ascii="宋体" w:hAnsi="宋体"/>
          <w:kern w:val="2"/>
          <w:sz w:val="28"/>
          <w:szCs w:val="28"/>
          <w:highlight w:val="none"/>
          <w:u w:val="single"/>
        </w:rPr>
        <w:t xml:space="preserve">                               </w:t>
      </w:r>
      <w:r>
        <w:rPr>
          <w:rFonts w:hint="eastAsia" w:ascii="宋体" w:hAnsi="宋体"/>
          <w:kern w:val="2"/>
          <w:sz w:val="28"/>
          <w:szCs w:val="28"/>
          <w:highlight w:val="none"/>
        </w:rPr>
        <w:t>（投标人名称）</w:t>
      </w:r>
      <w:r>
        <w:rPr>
          <w:rFonts w:hint="eastAsia" w:ascii="宋体" w:hAnsi="宋体"/>
          <w:kern w:val="2"/>
          <w:sz w:val="28"/>
          <w:szCs w:val="28"/>
          <w:highlight w:val="none"/>
          <w:u w:val="single"/>
        </w:rPr>
        <w:t xml:space="preserve">                             </w:t>
      </w:r>
      <w:r>
        <w:rPr>
          <w:rFonts w:hint="eastAsia" w:ascii="宋体" w:hAnsi="宋体"/>
          <w:kern w:val="2"/>
          <w:sz w:val="28"/>
          <w:szCs w:val="28"/>
          <w:highlight w:val="none"/>
        </w:rPr>
        <w:t>（法定代表人姓名、职务）授权</w:t>
      </w:r>
      <w:r>
        <w:rPr>
          <w:rFonts w:hint="eastAsia" w:ascii="宋体" w:hAnsi="宋体"/>
          <w:kern w:val="2"/>
          <w:sz w:val="28"/>
          <w:szCs w:val="28"/>
          <w:highlight w:val="none"/>
          <w:u w:val="single"/>
        </w:rPr>
        <w:t xml:space="preserve">                           </w:t>
      </w:r>
      <w:r>
        <w:rPr>
          <w:rFonts w:hint="eastAsia" w:ascii="宋体" w:hAnsi="宋体"/>
          <w:kern w:val="2"/>
          <w:sz w:val="28"/>
          <w:szCs w:val="28"/>
          <w:highlight w:val="none"/>
        </w:rPr>
        <w:t>（被授权人的姓名、职务）为我方就</w:t>
      </w:r>
      <w:r>
        <w:rPr>
          <w:rFonts w:hint="eastAsia" w:ascii="宋体" w:hAnsi="宋体"/>
          <w:kern w:val="2"/>
          <w:sz w:val="28"/>
          <w:szCs w:val="28"/>
          <w:highlight w:val="none"/>
          <w:u w:val="single"/>
        </w:rPr>
        <w:t xml:space="preserve">                     </w:t>
      </w:r>
      <w:r>
        <w:rPr>
          <w:rFonts w:hint="eastAsia" w:ascii="宋体" w:hAnsi="宋体"/>
          <w:kern w:val="2"/>
          <w:sz w:val="28"/>
          <w:szCs w:val="28"/>
          <w:highlight w:val="none"/>
        </w:rPr>
        <w:t>（项目名称及招标编号）投标活动的合法代理人，以本公司名义全权处理一切与该项目投标有关的事务。</w:t>
      </w:r>
    </w:p>
    <w:p>
      <w:pPr>
        <w:pStyle w:val="52"/>
        <w:spacing w:beforeLines="50" w:afterLines="50" w:line="700" w:lineRule="exact"/>
        <w:ind w:firstLine="560" w:firstLineChars="200"/>
        <w:rPr>
          <w:rFonts w:ascii="宋体" w:hAnsi="宋体"/>
          <w:kern w:val="2"/>
          <w:sz w:val="28"/>
          <w:szCs w:val="28"/>
          <w:highlight w:val="none"/>
        </w:rPr>
      </w:pPr>
      <w:r>
        <w:rPr>
          <w:rFonts w:hint="eastAsia" w:ascii="宋体" w:hAnsi="宋体"/>
          <w:kern w:val="2"/>
          <w:sz w:val="28"/>
          <w:szCs w:val="28"/>
          <w:highlight w:val="none"/>
        </w:rPr>
        <w:t>本授权书于</w:t>
      </w:r>
      <w:r>
        <w:rPr>
          <w:rFonts w:hint="eastAsia" w:ascii="宋体" w:hAnsi="宋体"/>
          <w:kern w:val="2"/>
          <w:sz w:val="28"/>
          <w:szCs w:val="28"/>
          <w:highlight w:val="none"/>
          <w:u w:val="single"/>
        </w:rPr>
        <w:t xml:space="preserve">       </w:t>
      </w:r>
      <w:r>
        <w:rPr>
          <w:rFonts w:hint="eastAsia" w:ascii="宋体" w:hAnsi="宋体"/>
          <w:kern w:val="2"/>
          <w:sz w:val="28"/>
          <w:szCs w:val="28"/>
          <w:highlight w:val="none"/>
        </w:rPr>
        <w:t>年</w:t>
      </w:r>
      <w:r>
        <w:rPr>
          <w:rFonts w:hint="eastAsia" w:ascii="宋体" w:hAnsi="宋体"/>
          <w:kern w:val="2"/>
          <w:sz w:val="28"/>
          <w:szCs w:val="28"/>
          <w:highlight w:val="none"/>
          <w:u w:val="single"/>
        </w:rPr>
        <w:t xml:space="preserve">       </w:t>
      </w:r>
      <w:r>
        <w:rPr>
          <w:rFonts w:hint="eastAsia" w:ascii="宋体" w:hAnsi="宋体"/>
          <w:kern w:val="2"/>
          <w:sz w:val="28"/>
          <w:szCs w:val="28"/>
          <w:highlight w:val="none"/>
        </w:rPr>
        <w:t>月</w:t>
      </w:r>
      <w:r>
        <w:rPr>
          <w:rFonts w:hint="eastAsia" w:ascii="宋体" w:hAnsi="宋体"/>
          <w:kern w:val="2"/>
          <w:sz w:val="28"/>
          <w:szCs w:val="28"/>
          <w:highlight w:val="none"/>
          <w:u w:val="single"/>
        </w:rPr>
        <w:t xml:space="preserve">     </w:t>
      </w:r>
      <w:r>
        <w:rPr>
          <w:rFonts w:hint="eastAsia" w:ascii="宋体" w:hAnsi="宋体"/>
          <w:kern w:val="2"/>
          <w:sz w:val="28"/>
          <w:szCs w:val="28"/>
          <w:highlight w:val="none"/>
        </w:rPr>
        <w:t>日签字生效，特此声明。</w:t>
      </w:r>
    </w:p>
    <w:p>
      <w:pPr>
        <w:pStyle w:val="52"/>
        <w:spacing w:beforeLines="50" w:afterLines="50" w:line="240" w:lineRule="auto"/>
        <w:ind w:firstLineChars="200"/>
        <w:rPr>
          <w:rFonts w:ascii="宋体" w:hAnsi="宋体"/>
          <w:kern w:val="2"/>
          <w:highlight w:val="none"/>
        </w:rPr>
      </w:pPr>
    </w:p>
    <w:p>
      <w:pPr>
        <w:pStyle w:val="52"/>
        <w:spacing w:beforeLines="50" w:afterLines="50" w:line="240" w:lineRule="auto"/>
        <w:ind w:firstLineChars="200"/>
        <w:rPr>
          <w:rFonts w:ascii="宋体" w:hAnsi="宋体"/>
          <w:kern w:val="2"/>
          <w:highlight w:val="none"/>
        </w:rPr>
      </w:pPr>
    </w:p>
    <w:p>
      <w:pPr>
        <w:pStyle w:val="52"/>
        <w:spacing w:beforeLines="50" w:afterLines="50" w:line="240" w:lineRule="auto"/>
        <w:ind w:firstLineChars="200"/>
        <w:rPr>
          <w:rFonts w:ascii="宋体" w:hAnsi="宋体"/>
          <w:kern w:val="2"/>
          <w:highlight w:val="none"/>
        </w:rPr>
      </w:pPr>
    </w:p>
    <w:p>
      <w:pPr>
        <w:pStyle w:val="52"/>
        <w:spacing w:beforeLines="50" w:afterLines="50" w:line="240" w:lineRule="auto"/>
        <w:ind w:firstLineChars="200"/>
        <w:rPr>
          <w:rFonts w:ascii="宋体" w:hAnsi="宋体"/>
          <w:kern w:val="2"/>
          <w:highlight w:val="none"/>
        </w:rPr>
      </w:pPr>
      <w:r>
        <w:rPr>
          <w:rFonts w:hint="eastAsia" w:ascii="宋体" w:hAnsi="宋体"/>
          <w:kern w:val="2"/>
          <w:highlight w:val="none"/>
        </w:rPr>
        <w:t>法定代表人签字：</w:t>
      </w:r>
      <w:r>
        <w:rPr>
          <w:rFonts w:hint="eastAsia" w:ascii="宋体" w:hAnsi="宋体"/>
          <w:kern w:val="2"/>
          <w:highlight w:val="none"/>
          <w:u w:val="single"/>
        </w:rPr>
        <w:t xml:space="preserve">                                     </w:t>
      </w:r>
    </w:p>
    <w:p>
      <w:pPr>
        <w:pStyle w:val="52"/>
        <w:spacing w:beforeLines="50" w:afterLines="50" w:line="240" w:lineRule="auto"/>
        <w:ind w:firstLineChars="200"/>
        <w:rPr>
          <w:rFonts w:ascii="宋体" w:hAnsi="宋体"/>
          <w:kern w:val="2"/>
          <w:highlight w:val="none"/>
        </w:rPr>
      </w:pPr>
      <w:r>
        <w:rPr>
          <w:rFonts w:hint="eastAsia" w:ascii="宋体" w:hAnsi="宋体"/>
          <w:kern w:val="2"/>
          <w:highlight w:val="none"/>
        </w:rPr>
        <w:t xml:space="preserve">          职    务：</w:t>
      </w:r>
      <w:r>
        <w:rPr>
          <w:rFonts w:hint="eastAsia" w:ascii="宋体" w:hAnsi="宋体"/>
          <w:kern w:val="2"/>
          <w:highlight w:val="none"/>
          <w:u w:val="single"/>
        </w:rPr>
        <w:t xml:space="preserve">                                     </w:t>
      </w:r>
    </w:p>
    <w:p>
      <w:pPr>
        <w:pStyle w:val="52"/>
        <w:spacing w:beforeLines="50" w:afterLines="50" w:line="240" w:lineRule="auto"/>
        <w:ind w:firstLineChars="200"/>
        <w:rPr>
          <w:rFonts w:ascii="宋体" w:hAnsi="宋体"/>
          <w:kern w:val="2"/>
          <w:highlight w:val="none"/>
        </w:rPr>
      </w:pPr>
      <w:r>
        <w:rPr>
          <w:rFonts w:hint="eastAsia" w:ascii="宋体" w:hAnsi="宋体"/>
          <w:kern w:val="2"/>
          <w:highlight w:val="none"/>
        </w:rPr>
        <w:t xml:space="preserve">          单位名称：</w:t>
      </w:r>
      <w:r>
        <w:rPr>
          <w:rFonts w:hint="eastAsia" w:ascii="宋体" w:hAnsi="宋体"/>
          <w:kern w:val="2"/>
          <w:highlight w:val="none"/>
          <w:u w:val="single"/>
        </w:rPr>
        <w:t xml:space="preserve">                                     </w:t>
      </w:r>
    </w:p>
    <w:p>
      <w:pPr>
        <w:pStyle w:val="52"/>
        <w:spacing w:beforeLines="50" w:afterLines="50" w:line="240" w:lineRule="auto"/>
        <w:ind w:firstLineChars="200"/>
        <w:rPr>
          <w:rFonts w:ascii="宋体" w:hAnsi="宋体"/>
          <w:kern w:val="2"/>
          <w:highlight w:val="none"/>
        </w:rPr>
      </w:pPr>
    </w:p>
    <w:p>
      <w:pPr>
        <w:pStyle w:val="52"/>
        <w:spacing w:beforeLines="50" w:afterLines="50" w:line="240" w:lineRule="auto"/>
        <w:ind w:firstLineChars="200"/>
        <w:rPr>
          <w:rFonts w:ascii="宋体" w:hAnsi="宋体"/>
          <w:kern w:val="2"/>
          <w:highlight w:val="none"/>
        </w:rPr>
      </w:pPr>
      <w:r>
        <w:rPr>
          <w:rFonts w:hint="eastAsia" w:ascii="宋体" w:hAnsi="宋体"/>
          <w:kern w:val="2"/>
          <w:highlight w:val="none"/>
        </w:rPr>
        <w:t>代理人（被授权人）签字：</w:t>
      </w:r>
      <w:r>
        <w:rPr>
          <w:rFonts w:hint="eastAsia" w:ascii="宋体" w:hAnsi="宋体"/>
          <w:kern w:val="2"/>
          <w:highlight w:val="none"/>
          <w:u w:val="single"/>
        </w:rPr>
        <w:t xml:space="preserve">                             </w:t>
      </w:r>
    </w:p>
    <w:p>
      <w:pPr>
        <w:pStyle w:val="52"/>
        <w:spacing w:beforeLines="50" w:afterLines="50" w:line="240" w:lineRule="auto"/>
        <w:ind w:firstLineChars="200"/>
        <w:rPr>
          <w:rFonts w:ascii="宋体" w:hAnsi="宋体"/>
          <w:kern w:val="2"/>
          <w:highlight w:val="none"/>
        </w:rPr>
      </w:pPr>
      <w:r>
        <w:rPr>
          <w:rFonts w:hint="eastAsia" w:ascii="宋体" w:hAnsi="宋体"/>
          <w:kern w:val="2"/>
          <w:highlight w:val="none"/>
        </w:rPr>
        <w:t xml:space="preserve">          职    务：</w:t>
      </w:r>
      <w:r>
        <w:rPr>
          <w:rFonts w:hint="eastAsia" w:ascii="宋体" w:hAnsi="宋体"/>
          <w:kern w:val="2"/>
          <w:highlight w:val="none"/>
          <w:u w:val="single"/>
        </w:rPr>
        <w:t xml:space="preserve">                                     </w:t>
      </w:r>
    </w:p>
    <w:p>
      <w:pPr>
        <w:pStyle w:val="52"/>
        <w:spacing w:beforeLines="50" w:afterLines="50" w:line="240" w:lineRule="auto"/>
        <w:ind w:firstLineChars="200"/>
        <w:rPr>
          <w:rFonts w:ascii="宋体" w:hAnsi="宋体"/>
          <w:kern w:val="2"/>
          <w:highlight w:val="none"/>
        </w:rPr>
      </w:pPr>
      <w:r>
        <w:rPr>
          <w:rFonts w:hint="eastAsia" w:ascii="宋体" w:hAnsi="宋体"/>
          <w:kern w:val="2"/>
          <w:highlight w:val="none"/>
        </w:rPr>
        <w:t xml:space="preserve">          单位名称：</w:t>
      </w:r>
      <w:r>
        <w:rPr>
          <w:rFonts w:hint="eastAsia" w:ascii="宋体" w:hAnsi="宋体"/>
          <w:kern w:val="2"/>
          <w:highlight w:val="none"/>
          <w:u w:val="single"/>
        </w:rPr>
        <w:t xml:space="preserve">                                     </w:t>
      </w:r>
    </w:p>
    <w:p>
      <w:pPr>
        <w:pStyle w:val="52"/>
        <w:spacing w:beforeLines="50" w:afterLines="50" w:line="240" w:lineRule="auto"/>
        <w:ind w:firstLineChars="200"/>
        <w:rPr>
          <w:rFonts w:ascii="宋体" w:hAnsi="宋体"/>
          <w:kern w:val="2"/>
          <w:highlight w:val="none"/>
        </w:rPr>
      </w:pPr>
    </w:p>
    <w:p>
      <w:pPr>
        <w:pStyle w:val="52"/>
        <w:spacing w:beforeLines="50" w:afterLines="50" w:line="240" w:lineRule="auto"/>
        <w:ind w:firstLineChars="200"/>
        <w:rPr>
          <w:rFonts w:ascii="宋体" w:hAnsi="宋体"/>
          <w:kern w:val="2"/>
          <w:highlight w:val="none"/>
        </w:rPr>
      </w:pPr>
      <w:r>
        <w:rPr>
          <w:rFonts w:hint="eastAsia" w:ascii="宋体" w:hAnsi="宋体"/>
          <w:kern w:val="2"/>
          <w:highlight w:val="none"/>
        </w:rPr>
        <w:t>投标人名称（公章）：</w:t>
      </w:r>
      <w:r>
        <w:rPr>
          <w:rFonts w:hint="eastAsia" w:ascii="宋体" w:hAnsi="宋体"/>
          <w:kern w:val="2"/>
          <w:highlight w:val="none"/>
          <w:u w:val="single"/>
        </w:rPr>
        <w:t xml:space="preserve">                                      </w:t>
      </w:r>
    </w:p>
    <w:p>
      <w:pPr>
        <w:spacing w:beforeLines="100" w:afterLines="100"/>
        <w:rPr>
          <w:rFonts w:ascii="宋体" w:hAnsi="宋体"/>
          <w:highlight w:val="none"/>
          <w:u w:val="single"/>
        </w:rPr>
      </w:pPr>
      <w:r>
        <w:rPr>
          <w:rFonts w:hint="eastAsia" w:ascii="宋体" w:hAnsi="宋体"/>
          <w:highlight w:val="none"/>
        </w:rPr>
        <w:t xml:space="preserve">                日    期：</w:t>
      </w:r>
      <w:bookmarkStart w:id="6" w:name="_格式3__银行出具的资信证明"/>
      <w:bookmarkEnd w:id="6"/>
      <w:r>
        <w:rPr>
          <w:rFonts w:hint="eastAsia" w:ascii="宋体" w:hAnsi="宋体"/>
          <w:highlight w:val="none"/>
          <w:u w:val="single"/>
        </w:rPr>
        <w:t xml:space="preserve">                                      </w:t>
      </w:r>
    </w:p>
    <w:p>
      <w:pPr>
        <w:widowControl/>
        <w:jc w:val="left"/>
        <w:rPr>
          <w:rStyle w:val="44"/>
          <w:rFonts w:ascii="宋体" w:hAnsi="宋体"/>
          <w:sz w:val="28"/>
          <w:szCs w:val="28"/>
          <w:highlight w:val="none"/>
        </w:rPr>
      </w:pPr>
      <w:r>
        <w:rPr>
          <w:rStyle w:val="44"/>
          <w:rFonts w:ascii="宋体" w:hAnsi="宋体"/>
          <w:sz w:val="28"/>
          <w:szCs w:val="28"/>
          <w:highlight w:val="none"/>
        </w:rPr>
        <w:br w:type="page"/>
      </w:r>
    </w:p>
    <w:p>
      <w:pPr>
        <w:widowControl/>
        <w:jc w:val="left"/>
        <w:rPr>
          <w:rFonts w:hint="eastAsia" w:hAnsi="宋体"/>
          <w:b/>
          <w:sz w:val="28"/>
          <w:szCs w:val="28"/>
          <w:highlight w:val="none"/>
        </w:rPr>
      </w:pPr>
      <w:r>
        <w:rPr>
          <w:rFonts w:hint="eastAsia" w:hAnsi="宋体"/>
          <w:b/>
          <w:sz w:val="28"/>
          <w:szCs w:val="28"/>
          <w:highlight w:val="none"/>
        </w:rPr>
        <w:t>附件</w:t>
      </w:r>
      <w:r>
        <w:rPr>
          <w:rFonts w:hint="eastAsia" w:hAnsi="宋体"/>
          <w:b/>
          <w:sz w:val="28"/>
          <w:szCs w:val="28"/>
          <w:highlight w:val="none"/>
          <w:lang w:val="en-US" w:eastAsia="zh-CN"/>
        </w:rPr>
        <w:t>4</w:t>
      </w:r>
      <w:r>
        <w:rPr>
          <w:rFonts w:hint="eastAsia" w:hAnsi="宋体"/>
          <w:b/>
          <w:sz w:val="28"/>
          <w:szCs w:val="28"/>
          <w:highlight w:val="none"/>
        </w:rPr>
        <w:t>：</w:t>
      </w:r>
    </w:p>
    <w:p>
      <w:pPr>
        <w:snapToGrid w:val="0"/>
        <w:spacing w:line="400" w:lineRule="exact"/>
        <w:jc w:val="center"/>
        <w:rPr>
          <w:rFonts w:hint="default"/>
          <w:b/>
          <w:sz w:val="36"/>
          <w:szCs w:val="36"/>
          <w:highlight w:val="none"/>
          <w:lang w:val="en-US" w:eastAsia="zh-CN"/>
        </w:rPr>
      </w:pPr>
      <w:r>
        <w:rPr>
          <w:rFonts w:hint="eastAsia"/>
          <w:b/>
          <w:sz w:val="36"/>
          <w:szCs w:val="36"/>
          <w:highlight w:val="none"/>
          <w:lang w:val="en-US" w:eastAsia="zh-CN"/>
        </w:rPr>
        <w:t>评 分 标 准</w:t>
      </w:r>
    </w:p>
    <w:p>
      <w:pPr>
        <w:snapToGrid w:val="0"/>
        <w:spacing w:line="400" w:lineRule="exact"/>
        <w:rPr>
          <w:rFonts w:hint="eastAsia"/>
          <w:b/>
          <w:sz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before="157" w:beforeLines="50" w:beforeAutospacing="0" w:after="157" w:afterLines="50" w:afterAutospacing="0" w:line="360" w:lineRule="auto"/>
        <w:textAlignment w:val="auto"/>
        <w:rPr>
          <w:b/>
          <w:sz w:val="24"/>
          <w:highlight w:val="none"/>
        </w:rPr>
      </w:pPr>
      <w:r>
        <w:rPr>
          <w:rFonts w:hint="eastAsia"/>
          <w:b/>
          <w:sz w:val="24"/>
          <w:highlight w:val="none"/>
          <w:lang w:val="en-US" w:eastAsia="zh-CN"/>
        </w:rPr>
        <w:t>一、</w:t>
      </w:r>
      <w:r>
        <w:rPr>
          <w:rFonts w:hint="eastAsia"/>
          <w:b/>
          <w:sz w:val="24"/>
          <w:highlight w:val="none"/>
        </w:rPr>
        <w:t>投标报价（</w:t>
      </w:r>
      <w:r>
        <w:rPr>
          <w:rFonts w:hint="eastAsia"/>
          <w:b/>
          <w:sz w:val="24"/>
          <w:highlight w:val="none"/>
          <w:lang w:val="en-US" w:eastAsia="zh-CN"/>
        </w:rPr>
        <w:t>30</w:t>
      </w:r>
      <w:r>
        <w:rPr>
          <w:rFonts w:hint="eastAsia"/>
          <w:b/>
          <w:sz w:val="24"/>
          <w:highlight w:val="none"/>
        </w:rPr>
        <w:t>分）</w:t>
      </w:r>
    </w:p>
    <w:p>
      <w:pPr>
        <w:keepNext w:val="0"/>
        <w:keepLines w:val="0"/>
        <w:pageBreakBefore w:val="0"/>
        <w:widowControl w:val="0"/>
        <w:kinsoku/>
        <w:wordWrap/>
        <w:overflowPunct/>
        <w:topLinePunct w:val="0"/>
        <w:autoSpaceDE/>
        <w:autoSpaceDN/>
        <w:bidi w:val="0"/>
        <w:adjustRightInd/>
        <w:spacing w:beforeAutospacing="0" w:afterAutospacing="0" w:line="360" w:lineRule="auto"/>
        <w:ind w:firstLine="480" w:firstLineChars="200"/>
        <w:textAlignment w:val="auto"/>
        <w:rPr>
          <w:rFonts w:hint="default" w:ascii="宋体" w:hAnsi="宋体" w:eastAsia="宋体"/>
          <w:sz w:val="24"/>
          <w:szCs w:val="30"/>
          <w:highlight w:val="none"/>
          <w:lang w:val="en-US" w:eastAsia="zh-CN"/>
        </w:rPr>
      </w:pPr>
      <w:r>
        <w:rPr>
          <w:rFonts w:hint="eastAsia" w:ascii="宋体" w:hAnsi="宋体"/>
          <w:sz w:val="24"/>
          <w:szCs w:val="30"/>
          <w:highlight w:val="none"/>
        </w:rPr>
        <w:t>按照报价表中的权重计算每家加权平均代理费率（小数点保留2位），加权平均代理费率最低的为评标基准价，该评标基准价为满分</w:t>
      </w:r>
      <w:r>
        <w:rPr>
          <w:rFonts w:hint="eastAsia" w:ascii="宋体" w:hAnsi="宋体"/>
          <w:sz w:val="24"/>
          <w:szCs w:val="30"/>
          <w:highlight w:val="none"/>
          <w:lang w:val="en-US" w:eastAsia="zh-CN"/>
        </w:rPr>
        <w:t>30</w:t>
      </w:r>
      <w:r>
        <w:rPr>
          <w:rFonts w:hint="eastAsia" w:ascii="宋体" w:hAnsi="宋体"/>
          <w:sz w:val="24"/>
          <w:szCs w:val="30"/>
          <w:highlight w:val="none"/>
        </w:rPr>
        <w:t>分。各投标人的价格分别按照下列公式计算：投标报价得分＝（评标基准价</w:t>
      </w:r>
      <w:r>
        <w:rPr>
          <w:rFonts w:ascii="宋体" w:hAnsi="宋体"/>
          <w:sz w:val="24"/>
          <w:szCs w:val="30"/>
          <w:highlight w:val="none"/>
        </w:rPr>
        <w:t>/</w:t>
      </w:r>
      <w:r>
        <w:rPr>
          <w:rFonts w:hint="eastAsia" w:ascii="宋体" w:hAnsi="宋体"/>
          <w:sz w:val="24"/>
          <w:szCs w:val="30"/>
          <w:highlight w:val="none"/>
        </w:rPr>
        <w:t>每家加权平均代理费率）</w:t>
      </w:r>
      <w:r>
        <w:rPr>
          <w:rFonts w:ascii="宋体" w:hAnsi="宋体"/>
          <w:sz w:val="24"/>
          <w:szCs w:val="30"/>
          <w:highlight w:val="none"/>
        </w:rPr>
        <w:t>×</w:t>
      </w:r>
      <w:r>
        <w:rPr>
          <w:rFonts w:hint="eastAsia" w:ascii="宋体" w:hAnsi="宋体"/>
          <w:sz w:val="24"/>
          <w:szCs w:val="30"/>
          <w:highlight w:val="none"/>
          <w:lang w:val="en-US" w:eastAsia="zh-CN"/>
        </w:rPr>
        <w:t>30</w:t>
      </w:r>
    </w:p>
    <w:tbl>
      <w:tblPr>
        <w:tblStyle w:val="18"/>
        <w:tblW w:w="85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3900"/>
        <w:gridCol w:w="1035"/>
        <w:gridCol w:w="2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809" w:type="dxa"/>
            <w:noWrap w:val="0"/>
            <w:vAlign w:val="center"/>
          </w:tcPr>
          <w:p>
            <w:pPr>
              <w:snapToGrid w:val="0"/>
              <w:spacing w:line="400" w:lineRule="exact"/>
              <w:jc w:val="center"/>
              <w:rPr>
                <w:b/>
                <w:sz w:val="24"/>
                <w:highlight w:val="none"/>
              </w:rPr>
            </w:pPr>
            <w:r>
              <w:rPr>
                <w:rFonts w:hint="eastAsia"/>
                <w:b/>
                <w:sz w:val="24"/>
                <w:highlight w:val="none"/>
              </w:rPr>
              <w:t>档列</w:t>
            </w:r>
          </w:p>
        </w:tc>
        <w:tc>
          <w:tcPr>
            <w:tcW w:w="3900" w:type="dxa"/>
            <w:noWrap w:val="0"/>
            <w:vAlign w:val="center"/>
          </w:tcPr>
          <w:p>
            <w:pPr>
              <w:snapToGrid w:val="0"/>
              <w:spacing w:line="400" w:lineRule="exact"/>
              <w:ind w:firstLine="482" w:firstLineChars="200"/>
              <w:jc w:val="center"/>
              <w:rPr>
                <w:b/>
                <w:sz w:val="24"/>
                <w:highlight w:val="none"/>
              </w:rPr>
            </w:pPr>
            <w:r>
              <w:rPr>
                <w:rFonts w:hint="eastAsia"/>
                <w:b/>
                <w:sz w:val="24"/>
                <w:highlight w:val="none"/>
              </w:rPr>
              <w:t>合同价（</w:t>
            </w:r>
            <w:r>
              <w:rPr>
                <w:rFonts w:hint="eastAsia"/>
                <w:b/>
                <w:sz w:val="24"/>
                <w:highlight w:val="none"/>
                <w:lang w:val="en-US" w:eastAsia="zh-CN"/>
              </w:rPr>
              <w:t>人民币，</w:t>
            </w:r>
            <w:r>
              <w:rPr>
                <w:rFonts w:hint="eastAsia"/>
                <w:b/>
                <w:sz w:val="24"/>
                <w:highlight w:val="none"/>
              </w:rPr>
              <w:t>单位：</w:t>
            </w:r>
            <w:r>
              <w:rPr>
                <w:rFonts w:hint="eastAsia"/>
                <w:b/>
                <w:sz w:val="24"/>
                <w:highlight w:val="none"/>
                <w:lang w:val="en-US" w:eastAsia="zh-CN"/>
              </w:rPr>
              <w:t>万</w:t>
            </w:r>
            <w:r>
              <w:rPr>
                <w:rFonts w:hint="eastAsia"/>
                <w:b/>
                <w:sz w:val="24"/>
                <w:highlight w:val="none"/>
              </w:rPr>
              <w:t>元）</w:t>
            </w:r>
          </w:p>
        </w:tc>
        <w:tc>
          <w:tcPr>
            <w:tcW w:w="1035" w:type="dxa"/>
            <w:noWrap w:val="0"/>
            <w:vAlign w:val="center"/>
          </w:tcPr>
          <w:p>
            <w:pPr>
              <w:snapToGrid w:val="0"/>
              <w:spacing w:line="400" w:lineRule="exact"/>
              <w:jc w:val="center"/>
              <w:rPr>
                <w:b/>
                <w:sz w:val="24"/>
                <w:highlight w:val="none"/>
              </w:rPr>
            </w:pPr>
            <w:r>
              <w:rPr>
                <w:rFonts w:hint="eastAsia"/>
                <w:b/>
                <w:sz w:val="24"/>
                <w:highlight w:val="none"/>
              </w:rPr>
              <w:t>权重</w:t>
            </w:r>
          </w:p>
        </w:tc>
        <w:tc>
          <w:tcPr>
            <w:tcW w:w="2780" w:type="dxa"/>
            <w:noWrap w:val="0"/>
            <w:vAlign w:val="center"/>
          </w:tcPr>
          <w:p>
            <w:pPr>
              <w:snapToGrid w:val="0"/>
              <w:spacing w:line="400" w:lineRule="exact"/>
              <w:jc w:val="center"/>
              <w:rPr>
                <w:rFonts w:hint="default" w:eastAsia="宋体"/>
                <w:b/>
                <w:sz w:val="24"/>
                <w:highlight w:val="none"/>
                <w:lang w:val="en-US" w:eastAsia="zh-CN"/>
              </w:rPr>
            </w:pPr>
            <w:r>
              <w:rPr>
                <w:rFonts w:hint="eastAsia"/>
                <w:b/>
                <w:sz w:val="24"/>
                <w:highlight w:val="none"/>
                <w:lang w:val="en-US" w:eastAsia="zh-CN"/>
              </w:rPr>
              <w:t>进口</w:t>
            </w:r>
            <w:r>
              <w:rPr>
                <w:rFonts w:hint="eastAsia"/>
                <w:b/>
                <w:sz w:val="24"/>
                <w:highlight w:val="none"/>
              </w:rPr>
              <w:t>代理费率</w:t>
            </w:r>
            <w:r>
              <w:rPr>
                <w:rFonts w:hint="eastAsia"/>
                <w:b/>
                <w:sz w:val="24"/>
                <w:highlight w:val="none"/>
                <w:lang w:eastAsia="zh-CN"/>
              </w:rPr>
              <w:t>（</w:t>
            </w:r>
            <w:r>
              <w:rPr>
                <w:rFonts w:hint="eastAsia"/>
                <w:b/>
                <w:sz w:val="24"/>
                <w:highlight w:val="none"/>
                <w:lang w:val="en-US" w:eastAsia="zh-CN"/>
              </w:rPr>
              <w:t>包干价）（%）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09" w:type="dxa"/>
            <w:noWrap w:val="0"/>
            <w:vAlign w:val="center"/>
          </w:tcPr>
          <w:p>
            <w:pPr>
              <w:snapToGrid w:val="0"/>
              <w:spacing w:line="400" w:lineRule="exact"/>
              <w:jc w:val="center"/>
              <w:rPr>
                <w:sz w:val="24"/>
                <w:highlight w:val="none"/>
              </w:rPr>
            </w:pPr>
            <w:r>
              <w:rPr>
                <w:rFonts w:hint="eastAsia"/>
                <w:sz w:val="24"/>
                <w:highlight w:val="none"/>
              </w:rPr>
              <w:t>1</w:t>
            </w:r>
          </w:p>
        </w:tc>
        <w:tc>
          <w:tcPr>
            <w:tcW w:w="3900" w:type="dxa"/>
            <w:noWrap w:val="0"/>
            <w:vAlign w:val="center"/>
          </w:tcPr>
          <w:p>
            <w:pPr>
              <w:snapToGrid w:val="0"/>
              <w:spacing w:line="400" w:lineRule="exact"/>
              <w:jc w:val="center"/>
              <w:rPr>
                <w:sz w:val="24"/>
                <w:highlight w:val="none"/>
              </w:rPr>
            </w:pPr>
            <w:r>
              <w:rPr>
                <w:rFonts w:hint="eastAsia"/>
                <w:sz w:val="24"/>
                <w:highlight w:val="none"/>
              </w:rPr>
              <w:t>合同价＜10</w:t>
            </w:r>
          </w:p>
        </w:tc>
        <w:tc>
          <w:tcPr>
            <w:tcW w:w="1035" w:type="dxa"/>
            <w:noWrap w:val="0"/>
            <w:vAlign w:val="top"/>
          </w:tcPr>
          <w:p>
            <w:pPr>
              <w:snapToGrid w:val="0"/>
              <w:spacing w:line="400" w:lineRule="exact"/>
              <w:jc w:val="center"/>
              <w:rPr>
                <w:sz w:val="24"/>
                <w:highlight w:val="none"/>
              </w:rPr>
            </w:pPr>
            <w:r>
              <w:rPr>
                <w:rFonts w:hint="eastAsia"/>
                <w:sz w:val="24"/>
                <w:highlight w:val="none"/>
                <w:lang w:val="en-US" w:eastAsia="zh-CN"/>
              </w:rPr>
              <w:t>21</w:t>
            </w:r>
            <w:r>
              <w:rPr>
                <w:rFonts w:hint="eastAsia"/>
                <w:sz w:val="24"/>
                <w:highlight w:val="none"/>
              </w:rPr>
              <w:t>%</w:t>
            </w:r>
          </w:p>
        </w:tc>
        <w:tc>
          <w:tcPr>
            <w:tcW w:w="2780" w:type="dxa"/>
            <w:noWrap w:val="0"/>
            <w:vAlign w:val="center"/>
          </w:tcPr>
          <w:p>
            <w:pPr>
              <w:snapToGrid w:val="0"/>
              <w:spacing w:line="400" w:lineRule="exact"/>
              <w:jc w:val="center"/>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09" w:type="dxa"/>
            <w:noWrap w:val="0"/>
            <w:vAlign w:val="center"/>
          </w:tcPr>
          <w:p>
            <w:pPr>
              <w:snapToGrid w:val="0"/>
              <w:spacing w:line="400" w:lineRule="exact"/>
              <w:jc w:val="center"/>
              <w:rPr>
                <w:sz w:val="24"/>
                <w:highlight w:val="none"/>
              </w:rPr>
            </w:pPr>
            <w:r>
              <w:rPr>
                <w:rFonts w:hint="eastAsia"/>
                <w:sz w:val="24"/>
                <w:highlight w:val="none"/>
              </w:rPr>
              <w:t>2</w:t>
            </w:r>
          </w:p>
        </w:tc>
        <w:tc>
          <w:tcPr>
            <w:tcW w:w="3900" w:type="dxa"/>
            <w:noWrap w:val="0"/>
            <w:vAlign w:val="center"/>
          </w:tcPr>
          <w:p>
            <w:pPr>
              <w:snapToGrid w:val="0"/>
              <w:spacing w:line="400" w:lineRule="exact"/>
              <w:jc w:val="center"/>
              <w:rPr>
                <w:sz w:val="24"/>
                <w:highlight w:val="none"/>
              </w:rPr>
            </w:pPr>
            <w:r>
              <w:rPr>
                <w:rFonts w:hint="eastAsia"/>
                <w:sz w:val="24"/>
                <w:highlight w:val="none"/>
              </w:rPr>
              <w:t>10≤合同价＜30</w:t>
            </w:r>
          </w:p>
        </w:tc>
        <w:tc>
          <w:tcPr>
            <w:tcW w:w="1035" w:type="dxa"/>
            <w:noWrap w:val="0"/>
            <w:vAlign w:val="top"/>
          </w:tcPr>
          <w:p>
            <w:pPr>
              <w:snapToGrid w:val="0"/>
              <w:spacing w:line="400" w:lineRule="exact"/>
              <w:jc w:val="center"/>
              <w:rPr>
                <w:sz w:val="24"/>
                <w:highlight w:val="none"/>
              </w:rPr>
            </w:pPr>
            <w:r>
              <w:rPr>
                <w:rFonts w:hint="eastAsia"/>
                <w:sz w:val="24"/>
                <w:highlight w:val="none"/>
                <w:lang w:val="en-US" w:eastAsia="zh-CN"/>
              </w:rPr>
              <w:t>35</w:t>
            </w:r>
            <w:r>
              <w:rPr>
                <w:rFonts w:hint="eastAsia"/>
                <w:sz w:val="24"/>
                <w:highlight w:val="none"/>
              </w:rPr>
              <w:t>%</w:t>
            </w:r>
          </w:p>
        </w:tc>
        <w:tc>
          <w:tcPr>
            <w:tcW w:w="2780" w:type="dxa"/>
            <w:noWrap w:val="0"/>
            <w:vAlign w:val="center"/>
          </w:tcPr>
          <w:p>
            <w:pPr>
              <w:snapToGrid w:val="0"/>
              <w:spacing w:line="400" w:lineRule="exact"/>
              <w:jc w:val="center"/>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09" w:type="dxa"/>
            <w:noWrap w:val="0"/>
            <w:vAlign w:val="center"/>
          </w:tcPr>
          <w:p>
            <w:pPr>
              <w:snapToGrid w:val="0"/>
              <w:spacing w:line="400" w:lineRule="exact"/>
              <w:jc w:val="center"/>
              <w:rPr>
                <w:sz w:val="24"/>
                <w:highlight w:val="none"/>
              </w:rPr>
            </w:pPr>
            <w:r>
              <w:rPr>
                <w:rFonts w:hint="eastAsia"/>
                <w:sz w:val="24"/>
                <w:highlight w:val="none"/>
              </w:rPr>
              <w:t>3</w:t>
            </w:r>
          </w:p>
        </w:tc>
        <w:tc>
          <w:tcPr>
            <w:tcW w:w="3900" w:type="dxa"/>
            <w:noWrap w:val="0"/>
            <w:vAlign w:val="center"/>
          </w:tcPr>
          <w:p>
            <w:pPr>
              <w:snapToGrid w:val="0"/>
              <w:spacing w:line="400" w:lineRule="exact"/>
              <w:jc w:val="center"/>
              <w:rPr>
                <w:sz w:val="24"/>
                <w:highlight w:val="none"/>
              </w:rPr>
            </w:pPr>
            <w:r>
              <w:rPr>
                <w:rFonts w:hint="eastAsia"/>
                <w:sz w:val="24"/>
                <w:highlight w:val="none"/>
              </w:rPr>
              <w:t>30≤合同价＜50</w:t>
            </w:r>
          </w:p>
        </w:tc>
        <w:tc>
          <w:tcPr>
            <w:tcW w:w="1035" w:type="dxa"/>
            <w:noWrap w:val="0"/>
            <w:vAlign w:val="top"/>
          </w:tcPr>
          <w:p>
            <w:pPr>
              <w:snapToGrid w:val="0"/>
              <w:spacing w:line="400" w:lineRule="exact"/>
              <w:jc w:val="center"/>
              <w:rPr>
                <w:sz w:val="24"/>
                <w:highlight w:val="none"/>
              </w:rPr>
            </w:pPr>
            <w:r>
              <w:rPr>
                <w:rFonts w:hint="eastAsia"/>
                <w:sz w:val="24"/>
                <w:highlight w:val="none"/>
                <w:lang w:val="en-US" w:eastAsia="zh-CN"/>
              </w:rPr>
              <w:t>19</w:t>
            </w:r>
            <w:r>
              <w:rPr>
                <w:rFonts w:hint="eastAsia"/>
                <w:sz w:val="24"/>
                <w:highlight w:val="none"/>
              </w:rPr>
              <w:t>%</w:t>
            </w:r>
          </w:p>
        </w:tc>
        <w:tc>
          <w:tcPr>
            <w:tcW w:w="2780" w:type="dxa"/>
            <w:noWrap w:val="0"/>
            <w:vAlign w:val="center"/>
          </w:tcPr>
          <w:p>
            <w:pPr>
              <w:snapToGrid w:val="0"/>
              <w:spacing w:line="400" w:lineRule="exact"/>
              <w:jc w:val="center"/>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809" w:type="dxa"/>
            <w:noWrap w:val="0"/>
            <w:vAlign w:val="center"/>
          </w:tcPr>
          <w:p>
            <w:pPr>
              <w:snapToGrid w:val="0"/>
              <w:spacing w:line="400" w:lineRule="exact"/>
              <w:jc w:val="center"/>
              <w:rPr>
                <w:sz w:val="24"/>
                <w:highlight w:val="none"/>
              </w:rPr>
            </w:pPr>
            <w:r>
              <w:rPr>
                <w:rFonts w:hint="eastAsia"/>
                <w:sz w:val="24"/>
                <w:highlight w:val="none"/>
              </w:rPr>
              <w:t>4</w:t>
            </w:r>
          </w:p>
        </w:tc>
        <w:tc>
          <w:tcPr>
            <w:tcW w:w="3900" w:type="dxa"/>
            <w:noWrap w:val="0"/>
            <w:vAlign w:val="center"/>
          </w:tcPr>
          <w:p>
            <w:pPr>
              <w:snapToGrid w:val="0"/>
              <w:spacing w:line="400" w:lineRule="exact"/>
              <w:jc w:val="center"/>
              <w:rPr>
                <w:sz w:val="24"/>
                <w:highlight w:val="none"/>
              </w:rPr>
            </w:pPr>
            <w:r>
              <w:rPr>
                <w:rFonts w:hint="eastAsia"/>
                <w:sz w:val="24"/>
                <w:highlight w:val="none"/>
              </w:rPr>
              <w:t>50≤合同价＜100</w:t>
            </w:r>
          </w:p>
        </w:tc>
        <w:tc>
          <w:tcPr>
            <w:tcW w:w="1035" w:type="dxa"/>
            <w:noWrap w:val="0"/>
            <w:vAlign w:val="top"/>
          </w:tcPr>
          <w:p>
            <w:pPr>
              <w:snapToGrid w:val="0"/>
              <w:spacing w:line="400" w:lineRule="exact"/>
              <w:jc w:val="center"/>
              <w:rPr>
                <w:sz w:val="24"/>
                <w:highlight w:val="none"/>
              </w:rPr>
            </w:pPr>
            <w:r>
              <w:rPr>
                <w:rFonts w:hint="eastAsia"/>
                <w:sz w:val="24"/>
                <w:highlight w:val="none"/>
                <w:lang w:val="en-US" w:eastAsia="zh-CN"/>
              </w:rPr>
              <w:t>17</w:t>
            </w:r>
            <w:r>
              <w:rPr>
                <w:rFonts w:hint="eastAsia"/>
                <w:sz w:val="24"/>
                <w:highlight w:val="none"/>
              </w:rPr>
              <w:t>%</w:t>
            </w:r>
          </w:p>
        </w:tc>
        <w:tc>
          <w:tcPr>
            <w:tcW w:w="2780" w:type="dxa"/>
            <w:noWrap w:val="0"/>
            <w:vAlign w:val="center"/>
          </w:tcPr>
          <w:p>
            <w:pPr>
              <w:snapToGrid w:val="0"/>
              <w:spacing w:line="400" w:lineRule="exact"/>
              <w:jc w:val="center"/>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09" w:type="dxa"/>
            <w:noWrap w:val="0"/>
            <w:vAlign w:val="center"/>
          </w:tcPr>
          <w:p>
            <w:pPr>
              <w:snapToGrid w:val="0"/>
              <w:spacing w:line="400" w:lineRule="exact"/>
              <w:jc w:val="center"/>
              <w:rPr>
                <w:sz w:val="24"/>
                <w:highlight w:val="none"/>
              </w:rPr>
            </w:pPr>
            <w:r>
              <w:rPr>
                <w:rFonts w:hint="eastAsia"/>
                <w:sz w:val="24"/>
                <w:highlight w:val="none"/>
              </w:rPr>
              <w:t>5</w:t>
            </w:r>
          </w:p>
        </w:tc>
        <w:tc>
          <w:tcPr>
            <w:tcW w:w="3900" w:type="dxa"/>
            <w:noWrap w:val="0"/>
            <w:vAlign w:val="center"/>
          </w:tcPr>
          <w:p>
            <w:pPr>
              <w:snapToGrid w:val="0"/>
              <w:spacing w:line="400" w:lineRule="exact"/>
              <w:jc w:val="center"/>
              <w:rPr>
                <w:sz w:val="24"/>
                <w:highlight w:val="none"/>
              </w:rPr>
            </w:pPr>
            <w:r>
              <w:rPr>
                <w:rFonts w:hint="eastAsia"/>
                <w:sz w:val="24"/>
                <w:highlight w:val="none"/>
              </w:rPr>
              <w:t>100≤合同价＜200</w:t>
            </w:r>
          </w:p>
        </w:tc>
        <w:tc>
          <w:tcPr>
            <w:tcW w:w="1035" w:type="dxa"/>
            <w:noWrap w:val="0"/>
            <w:vAlign w:val="top"/>
          </w:tcPr>
          <w:p>
            <w:pPr>
              <w:snapToGrid w:val="0"/>
              <w:spacing w:line="400" w:lineRule="exact"/>
              <w:jc w:val="center"/>
              <w:rPr>
                <w:sz w:val="24"/>
                <w:highlight w:val="none"/>
              </w:rPr>
            </w:pPr>
            <w:r>
              <w:rPr>
                <w:rFonts w:hint="eastAsia"/>
                <w:sz w:val="24"/>
                <w:highlight w:val="none"/>
                <w:lang w:val="en-US" w:eastAsia="zh-CN"/>
              </w:rPr>
              <w:t>8</w:t>
            </w:r>
            <w:r>
              <w:rPr>
                <w:rFonts w:hint="eastAsia"/>
                <w:sz w:val="24"/>
                <w:highlight w:val="none"/>
              </w:rPr>
              <w:t>%</w:t>
            </w:r>
          </w:p>
        </w:tc>
        <w:tc>
          <w:tcPr>
            <w:tcW w:w="2780" w:type="dxa"/>
            <w:noWrap w:val="0"/>
            <w:vAlign w:val="center"/>
          </w:tcPr>
          <w:p>
            <w:pPr>
              <w:snapToGrid w:val="0"/>
              <w:spacing w:line="400" w:lineRule="exact"/>
              <w:jc w:val="center"/>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5744" w:type="dxa"/>
            <w:gridSpan w:val="3"/>
            <w:noWrap w:val="0"/>
            <w:vAlign w:val="center"/>
          </w:tcPr>
          <w:p>
            <w:pPr>
              <w:tabs>
                <w:tab w:val="left" w:pos="1376"/>
              </w:tabs>
              <w:snapToGrid w:val="0"/>
              <w:spacing w:line="400" w:lineRule="exact"/>
              <w:jc w:val="left"/>
              <w:rPr>
                <w:rFonts w:hint="default"/>
                <w:sz w:val="24"/>
                <w:highlight w:val="none"/>
                <w:lang w:val="en-US" w:eastAsia="zh-CN"/>
              </w:rPr>
            </w:pPr>
            <w:r>
              <w:rPr>
                <w:rFonts w:hint="eastAsia"/>
                <w:sz w:val="24"/>
                <w:highlight w:val="none"/>
                <w:lang w:val="en-US" w:eastAsia="zh-CN"/>
              </w:rPr>
              <w:tab/>
            </w:r>
            <w:r>
              <w:rPr>
                <w:rFonts w:hint="eastAsia"/>
                <w:sz w:val="24"/>
                <w:highlight w:val="none"/>
                <w:lang w:val="en-US" w:eastAsia="zh-CN"/>
              </w:rPr>
              <w:t>各档代理费率加权平均</w:t>
            </w:r>
          </w:p>
        </w:tc>
        <w:tc>
          <w:tcPr>
            <w:tcW w:w="2780" w:type="dxa"/>
            <w:noWrap w:val="0"/>
            <w:vAlign w:val="center"/>
          </w:tcPr>
          <w:p>
            <w:pPr>
              <w:snapToGrid w:val="0"/>
              <w:spacing w:line="400" w:lineRule="exact"/>
              <w:jc w:val="center"/>
              <w:rPr>
                <w:sz w:val="24"/>
                <w:highlight w:val="none"/>
              </w:rPr>
            </w:pPr>
          </w:p>
        </w:tc>
      </w:tr>
    </w:tbl>
    <w:p>
      <w:pPr>
        <w:snapToGrid w:val="0"/>
        <w:spacing w:line="400" w:lineRule="exact"/>
        <w:ind w:firstLine="723" w:firstLineChars="300"/>
        <w:rPr>
          <w:b/>
          <w:sz w:val="24"/>
          <w:highlight w:val="none"/>
        </w:rPr>
      </w:pPr>
    </w:p>
    <w:p>
      <w:pPr>
        <w:pStyle w:val="2"/>
        <w:ind w:left="0" w:leftChars="0" w:right="372" w:rightChars="177" w:firstLine="0" w:firstLineChars="0"/>
        <w:rPr>
          <w:rFonts w:hint="default" w:ascii="宋体" w:hAnsi="宋体" w:eastAsia="宋体"/>
          <w:sz w:val="21"/>
          <w:szCs w:val="21"/>
          <w:highlight w:val="none"/>
          <w:u w:val="none"/>
          <w:lang w:val="en-US" w:eastAsia="zh-CN"/>
        </w:rPr>
      </w:pPr>
      <w:r>
        <w:rPr>
          <w:rFonts w:hint="eastAsia" w:ascii="宋体" w:hAnsi="宋体"/>
          <w:sz w:val="21"/>
          <w:szCs w:val="21"/>
          <w:highlight w:val="none"/>
          <w:u w:val="none"/>
          <w:lang w:val="en-US" w:eastAsia="zh-CN"/>
        </w:rPr>
        <w:t>注：进口设备采购中标合同价大于等于200万元人民币的，代理服务费通过协商确定。</w:t>
      </w:r>
    </w:p>
    <w:p>
      <w:pPr>
        <w:pStyle w:val="2"/>
        <w:ind w:left="0" w:leftChars="0" w:firstLine="0" w:firstLineChars="0"/>
        <w:rPr>
          <w:highlight w:val="none"/>
        </w:rPr>
      </w:pPr>
    </w:p>
    <w:p>
      <w:pPr>
        <w:keepNext w:val="0"/>
        <w:keepLines w:val="0"/>
        <w:pageBreakBefore w:val="0"/>
        <w:widowControl w:val="0"/>
        <w:numPr>
          <w:ilvl w:val="0"/>
          <w:numId w:val="2"/>
        </w:numPr>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工作方案及高校合作情况(36分）</w:t>
      </w:r>
    </w:p>
    <w:p>
      <w:pPr>
        <w:keepNext w:val="0"/>
        <w:keepLines w:val="0"/>
        <w:pageBreakBefore w:val="0"/>
        <w:numPr>
          <w:ilvl w:val="0"/>
          <w:numId w:val="3"/>
        </w:numPr>
        <w:kinsoku/>
        <w:wordWrap/>
        <w:overflowPunct/>
        <w:topLinePunct w:val="0"/>
        <w:autoSpaceDE/>
        <w:autoSpaceDN/>
        <w:bidi w:val="0"/>
        <w:spacing w:beforeAutospacing="0" w:afterAutospacing="0" w:line="360" w:lineRule="auto"/>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针对南京信息工程大学进口设备外贸代理工作方案提供详细说明描述。（20分）</w:t>
      </w:r>
    </w:p>
    <w:p>
      <w:pPr>
        <w:keepNext w:val="0"/>
        <w:keepLines w:val="0"/>
        <w:pageBreakBefore w:val="0"/>
        <w:numPr>
          <w:ilvl w:val="0"/>
          <w:numId w:val="0"/>
        </w:numPr>
        <w:kinsoku/>
        <w:wordWrap/>
        <w:overflowPunct/>
        <w:topLinePunct w:val="0"/>
        <w:autoSpaceDE/>
        <w:autoSpaceDN/>
        <w:bidi w:val="0"/>
        <w:spacing w:beforeAutospacing="0" w:afterAutospacing="0" w:line="360" w:lineRule="auto"/>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方案中下列内容必须明确：</w:t>
      </w:r>
    </w:p>
    <w:p>
      <w:pPr>
        <w:keepNext w:val="0"/>
        <w:keepLines w:val="0"/>
        <w:pageBreakBefore w:val="0"/>
        <w:widowControl/>
        <w:shd w:val="clear" w:color="auto" w:fill="FFFFFF"/>
        <w:kinsoku/>
        <w:wordWrap/>
        <w:overflowPunct/>
        <w:topLinePunct w:val="0"/>
        <w:autoSpaceDE/>
        <w:autoSpaceDN/>
        <w:bidi w:val="0"/>
        <w:spacing w:beforeAutospacing="0" w:afterAutospacing="0"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none"/>
          <w:shd w:val="clear" w:color="auto" w:fill="FFFFFF"/>
        </w:rPr>
      </w:pP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color w:val="000000"/>
          <w:kern w:val="0"/>
          <w:sz w:val="24"/>
          <w:szCs w:val="24"/>
          <w:highlight w:val="none"/>
          <w:shd w:val="clear" w:color="auto" w:fill="FFFFFF"/>
        </w:rPr>
        <w:t>是否有专人业务员负责我校相关合同等相关事宜；各项外贸代理服务的时间节点等。</w:t>
      </w:r>
    </w:p>
    <w:p>
      <w:pPr>
        <w:keepNext w:val="0"/>
        <w:keepLines w:val="0"/>
        <w:pageBreakBefore w:val="0"/>
        <w:widowControl/>
        <w:shd w:val="clear" w:color="auto" w:fill="FFFFFF"/>
        <w:kinsoku/>
        <w:wordWrap/>
        <w:overflowPunct/>
        <w:topLinePunct w:val="0"/>
        <w:autoSpaceDE/>
        <w:autoSpaceDN/>
        <w:bidi w:val="0"/>
        <w:spacing w:beforeAutospacing="0" w:afterAutospacing="0"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none"/>
          <w:shd w:val="clear" w:color="auto" w:fill="FFFFFF"/>
        </w:rPr>
      </w:pPr>
      <w:r>
        <w:rPr>
          <w:rFonts w:hint="eastAsia" w:asciiTheme="minorEastAsia" w:hAnsiTheme="minorEastAsia" w:eastAsiaTheme="minorEastAsia" w:cstheme="minorEastAsia"/>
          <w:color w:val="000000"/>
          <w:kern w:val="0"/>
          <w:sz w:val="24"/>
          <w:szCs w:val="24"/>
          <w:highlight w:val="none"/>
          <w:shd w:val="clear" w:color="auto" w:fill="FFFFFF"/>
          <w:lang w:eastAsia="zh-CN"/>
        </w:rPr>
        <w:t>（</w:t>
      </w:r>
      <w:r>
        <w:rPr>
          <w:rFonts w:hint="eastAsia" w:asciiTheme="minorEastAsia" w:hAnsiTheme="minorEastAsia" w:eastAsiaTheme="minorEastAsia" w:cstheme="minorEastAsia"/>
          <w:color w:val="000000"/>
          <w:kern w:val="0"/>
          <w:sz w:val="24"/>
          <w:szCs w:val="24"/>
          <w:highlight w:val="none"/>
          <w:shd w:val="clear" w:color="auto" w:fill="FFFFFF"/>
          <w:lang w:val="en-US" w:eastAsia="zh-CN"/>
        </w:rPr>
        <w:t>2</w:t>
      </w:r>
      <w:r>
        <w:rPr>
          <w:rFonts w:hint="eastAsia" w:asciiTheme="minorEastAsia" w:hAnsiTheme="minorEastAsia" w:eastAsiaTheme="minorEastAsia" w:cstheme="minorEastAsia"/>
          <w:color w:val="000000"/>
          <w:kern w:val="0"/>
          <w:sz w:val="24"/>
          <w:szCs w:val="24"/>
          <w:highlight w:val="none"/>
          <w:shd w:val="clear" w:color="auto" w:fill="FFFFFF"/>
          <w:lang w:eastAsia="zh-CN"/>
        </w:rPr>
        <w:t>）</w:t>
      </w:r>
      <w:r>
        <w:rPr>
          <w:rFonts w:hint="eastAsia" w:asciiTheme="minorEastAsia" w:hAnsiTheme="minorEastAsia" w:eastAsiaTheme="minorEastAsia" w:cstheme="minorEastAsia"/>
          <w:color w:val="000000"/>
          <w:kern w:val="0"/>
          <w:sz w:val="24"/>
          <w:szCs w:val="24"/>
          <w:highlight w:val="none"/>
          <w:shd w:val="clear" w:color="auto" w:fill="FFFFFF"/>
        </w:rPr>
        <w:t>是否有专人负责我校免税及商检办理，驻地何地；</w:t>
      </w:r>
    </w:p>
    <w:p>
      <w:pPr>
        <w:keepNext w:val="0"/>
        <w:keepLines w:val="0"/>
        <w:pageBreakBefore w:val="0"/>
        <w:widowControl/>
        <w:shd w:val="clear" w:color="auto" w:fill="FFFFFF"/>
        <w:kinsoku/>
        <w:wordWrap/>
        <w:overflowPunct/>
        <w:topLinePunct w:val="0"/>
        <w:autoSpaceDE/>
        <w:autoSpaceDN/>
        <w:bidi w:val="0"/>
        <w:spacing w:beforeAutospacing="0" w:afterAutospacing="0"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none"/>
          <w:shd w:val="clear" w:color="auto" w:fill="FFFFFF"/>
        </w:rPr>
      </w:pPr>
      <w:r>
        <w:rPr>
          <w:rFonts w:hint="eastAsia" w:asciiTheme="minorEastAsia" w:hAnsiTheme="minorEastAsia" w:eastAsiaTheme="minorEastAsia" w:cstheme="minorEastAsia"/>
          <w:color w:val="000000"/>
          <w:kern w:val="0"/>
          <w:sz w:val="24"/>
          <w:szCs w:val="24"/>
          <w:highlight w:val="none"/>
          <w:shd w:val="clear" w:color="auto" w:fill="FFFFFF"/>
          <w:lang w:eastAsia="zh-CN"/>
        </w:rPr>
        <w:t>（</w:t>
      </w:r>
      <w:r>
        <w:rPr>
          <w:rFonts w:hint="eastAsia" w:asciiTheme="minorEastAsia" w:hAnsiTheme="minorEastAsia" w:eastAsiaTheme="minorEastAsia" w:cstheme="minorEastAsia"/>
          <w:color w:val="000000"/>
          <w:kern w:val="0"/>
          <w:sz w:val="24"/>
          <w:szCs w:val="24"/>
          <w:highlight w:val="none"/>
          <w:shd w:val="clear" w:color="auto" w:fill="FFFFFF"/>
          <w:lang w:val="en-US" w:eastAsia="zh-CN"/>
        </w:rPr>
        <w:t>3</w:t>
      </w:r>
      <w:r>
        <w:rPr>
          <w:rFonts w:hint="eastAsia" w:asciiTheme="minorEastAsia" w:hAnsiTheme="minorEastAsia" w:eastAsiaTheme="minorEastAsia" w:cstheme="minorEastAsia"/>
          <w:color w:val="000000"/>
          <w:kern w:val="0"/>
          <w:sz w:val="24"/>
          <w:szCs w:val="24"/>
          <w:highlight w:val="none"/>
          <w:shd w:val="clear" w:color="auto" w:fill="FFFFFF"/>
          <w:lang w:eastAsia="zh-CN"/>
        </w:rPr>
        <w:t>）</w:t>
      </w:r>
      <w:r>
        <w:rPr>
          <w:rFonts w:hint="eastAsia" w:asciiTheme="minorEastAsia" w:hAnsiTheme="minorEastAsia" w:eastAsiaTheme="minorEastAsia" w:cstheme="minorEastAsia"/>
          <w:color w:val="000000"/>
          <w:kern w:val="0"/>
          <w:sz w:val="24"/>
          <w:szCs w:val="24"/>
          <w:highlight w:val="none"/>
          <w:shd w:val="clear" w:color="auto" w:fill="FFFFFF"/>
        </w:rPr>
        <w:t>是否全部专人专车送货，并保证货物包装；</w:t>
      </w:r>
    </w:p>
    <w:p>
      <w:pPr>
        <w:keepNext w:val="0"/>
        <w:keepLines w:val="0"/>
        <w:pageBreakBefore w:val="0"/>
        <w:widowControl/>
        <w:shd w:val="clear" w:color="auto" w:fill="FFFFFF"/>
        <w:kinsoku/>
        <w:wordWrap/>
        <w:overflowPunct/>
        <w:topLinePunct w:val="0"/>
        <w:autoSpaceDE/>
        <w:autoSpaceDN/>
        <w:bidi w:val="0"/>
        <w:spacing w:beforeAutospacing="0" w:afterAutospacing="0"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none"/>
          <w:shd w:val="clear" w:color="auto" w:fill="FFFFFF"/>
        </w:rPr>
      </w:pPr>
      <w:r>
        <w:rPr>
          <w:rFonts w:hint="eastAsia" w:asciiTheme="minorEastAsia" w:hAnsiTheme="minorEastAsia" w:eastAsiaTheme="minorEastAsia" w:cstheme="minorEastAsia"/>
          <w:color w:val="000000"/>
          <w:kern w:val="0"/>
          <w:sz w:val="24"/>
          <w:szCs w:val="24"/>
          <w:highlight w:val="none"/>
          <w:shd w:val="clear" w:color="auto" w:fill="FFFFFF"/>
          <w:lang w:eastAsia="zh-CN"/>
        </w:rPr>
        <w:t>（</w:t>
      </w:r>
      <w:r>
        <w:rPr>
          <w:rFonts w:hint="eastAsia" w:asciiTheme="minorEastAsia" w:hAnsiTheme="minorEastAsia" w:eastAsiaTheme="minorEastAsia" w:cstheme="minorEastAsia"/>
          <w:color w:val="000000"/>
          <w:kern w:val="0"/>
          <w:sz w:val="24"/>
          <w:szCs w:val="24"/>
          <w:highlight w:val="none"/>
          <w:shd w:val="clear" w:color="auto" w:fill="FFFFFF"/>
          <w:lang w:val="en-US" w:eastAsia="zh-CN"/>
        </w:rPr>
        <w:t>4</w:t>
      </w:r>
      <w:r>
        <w:rPr>
          <w:rFonts w:hint="eastAsia" w:asciiTheme="minorEastAsia" w:hAnsiTheme="minorEastAsia" w:eastAsiaTheme="minorEastAsia" w:cstheme="minorEastAsia"/>
          <w:color w:val="000000"/>
          <w:kern w:val="0"/>
          <w:sz w:val="24"/>
          <w:szCs w:val="24"/>
          <w:highlight w:val="none"/>
          <w:shd w:val="clear" w:color="auto" w:fill="FFFFFF"/>
          <w:lang w:eastAsia="zh-CN"/>
        </w:rPr>
        <w:t>）</w:t>
      </w:r>
      <w:r>
        <w:rPr>
          <w:rFonts w:hint="eastAsia" w:asciiTheme="minorEastAsia" w:hAnsiTheme="minorEastAsia" w:eastAsiaTheme="minorEastAsia" w:cstheme="minorEastAsia"/>
          <w:color w:val="000000"/>
          <w:kern w:val="0"/>
          <w:sz w:val="24"/>
          <w:szCs w:val="24"/>
          <w:highlight w:val="none"/>
          <w:shd w:val="clear" w:color="auto" w:fill="FFFFFF"/>
        </w:rPr>
        <w:t>送货是否运送至指定实验室；</w:t>
      </w:r>
    </w:p>
    <w:p>
      <w:pPr>
        <w:keepNext w:val="0"/>
        <w:keepLines w:val="0"/>
        <w:pageBreakBefore w:val="0"/>
        <w:widowControl/>
        <w:shd w:val="clear" w:color="auto" w:fill="FFFFFF"/>
        <w:kinsoku/>
        <w:wordWrap/>
        <w:overflowPunct/>
        <w:topLinePunct w:val="0"/>
        <w:autoSpaceDE/>
        <w:autoSpaceDN/>
        <w:bidi w:val="0"/>
        <w:spacing w:beforeAutospacing="0" w:afterAutospacing="0" w:line="360" w:lineRule="auto"/>
        <w:ind w:firstLine="600"/>
        <w:jc w:val="left"/>
        <w:textAlignment w:val="auto"/>
        <w:rPr>
          <w:rFonts w:hint="default"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shd w:val="clear" w:color="auto" w:fill="FFFFFF"/>
        </w:rPr>
        <w:t>除上述的其它说明；</w:t>
      </w:r>
      <w:r>
        <w:rPr>
          <w:rFonts w:hint="eastAsia" w:asciiTheme="minorEastAsia" w:hAnsiTheme="minorEastAsia" w:eastAsiaTheme="minorEastAsia" w:cstheme="minorEastAsia"/>
          <w:color w:val="000000"/>
          <w:sz w:val="24"/>
          <w:szCs w:val="24"/>
          <w:highlight w:val="none"/>
        </w:rPr>
        <w:t>评委根据各供应商所报的针对本项目服务方案、保障措施等的科学性、合理性、系统性等方面进行综合比较和评审</w:t>
      </w:r>
      <w:r>
        <w:rPr>
          <w:rFonts w:hint="eastAsia" w:asciiTheme="minorEastAsia" w:hAnsiTheme="minorEastAsia" w:eastAsiaTheme="minorEastAsia" w:cstheme="minorEastAsia"/>
          <w:color w:val="000000"/>
          <w:sz w:val="24"/>
          <w:szCs w:val="24"/>
          <w:highlight w:val="none"/>
          <w:lang w:eastAsia="zh-CN"/>
        </w:rPr>
        <w:t>。</w:t>
      </w:r>
      <w:r>
        <w:rPr>
          <w:rFonts w:hint="eastAsia" w:asciiTheme="minorEastAsia" w:hAnsiTheme="minorEastAsia" w:eastAsiaTheme="minorEastAsia" w:cstheme="minorEastAsia"/>
          <w:color w:val="000000"/>
          <w:sz w:val="24"/>
          <w:szCs w:val="24"/>
          <w:highlight w:val="none"/>
          <w:lang w:val="en-US" w:eastAsia="zh-CN"/>
        </w:rPr>
        <w:t>内容全面、针对性强得20分；内容较为全面、针对性一般得12分；内容不全面、针对性较差得6分；内容缺失严重或无说明描述得0分。</w:t>
      </w:r>
    </w:p>
    <w:p>
      <w:pPr>
        <w:keepNext w:val="0"/>
        <w:keepLines w:val="0"/>
        <w:pageBreakBefore w:val="0"/>
        <w:kinsoku/>
        <w:wordWrap/>
        <w:overflowPunct/>
        <w:topLinePunct w:val="0"/>
        <w:autoSpaceDE/>
        <w:autoSpaceDN/>
        <w:bidi w:val="0"/>
        <w:spacing w:beforeAutospacing="0" w:afterAutospacing="0"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项目经理的个人执业经历和业绩评价（5分）</w:t>
      </w:r>
    </w:p>
    <w:p>
      <w:pPr>
        <w:keepNext w:val="0"/>
        <w:keepLines w:val="0"/>
        <w:pageBreakBefore w:val="0"/>
        <w:kinsoku/>
        <w:wordWrap/>
        <w:overflowPunct/>
        <w:topLinePunct w:val="0"/>
        <w:autoSpaceDE/>
        <w:autoSpaceDN/>
        <w:bidi w:val="0"/>
        <w:spacing w:beforeAutospacing="0" w:afterAutospacing="0"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1）投标人</w:t>
      </w:r>
      <w:r>
        <w:rPr>
          <w:rFonts w:hint="eastAsia" w:asciiTheme="minorEastAsia" w:hAnsiTheme="minorEastAsia" w:eastAsiaTheme="minorEastAsia" w:cstheme="minorEastAsia"/>
          <w:sz w:val="24"/>
          <w:szCs w:val="24"/>
          <w:highlight w:val="none"/>
          <w:lang w:val="en-US" w:eastAsia="zh-CN"/>
        </w:rPr>
        <w:t>至少</w:t>
      </w:r>
      <w:r>
        <w:rPr>
          <w:rFonts w:hint="eastAsia" w:asciiTheme="minorEastAsia" w:hAnsiTheme="minorEastAsia" w:eastAsiaTheme="minorEastAsia" w:cstheme="minorEastAsia"/>
          <w:sz w:val="24"/>
          <w:szCs w:val="24"/>
          <w:highlight w:val="none"/>
        </w:rPr>
        <w:t>提供</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名固定人员（项目经理）专门为南京</w:t>
      </w:r>
      <w:r>
        <w:rPr>
          <w:rFonts w:hint="eastAsia" w:asciiTheme="minorEastAsia" w:hAnsiTheme="minorEastAsia" w:eastAsiaTheme="minorEastAsia" w:cstheme="minorEastAsia"/>
          <w:sz w:val="24"/>
          <w:szCs w:val="24"/>
          <w:highlight w:val="none"/>
          <w:lang w:val="en-US" w:eastAsia="zh-CN"/>
        </w:rPr>
        <w:t>信息工程</w:t>
      </w:r>
      <w:r>
        <w:rPr>
          <w:rFonts w:hint="eastAsia" w:asciiTheme="minorEastAsia" w:hAnsiTheme="minorEastAsia" w:eastAsiaTheme="minorEastAsia" w:cstheme="minorEastAsia"/>
          <w:sz w:val="24"/>
          <w:szCs w:val="24"/>
          <w:highlight w:val="none"/>
        </w:rPr>
        <w:t>大学提供服务。提供姓名、简介及资质证书等材料，得1分，不提供者不得分。本项最高得1分。</w:t>
      </w:r>
    </w:p>
    <w:p>
      <w:pPr>
        <w:keepNext w:val="0"/>
        <w:keepLines w:val="0"/>
        <w:pageBreakBefore w:val="0"/>
        <w:kinsoku/>
        <w:wordWrap/>
        <w:overflowPunct/>
        <w:topLinePunct w:val="0"/>
        <w:autoSpaceDE/>
        <w:autoSpaceDN/>
        <w:bidi w:val="0"/>
        <w:spacing w:beforeAutospacing="0" w:afterAutospacing="0"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2）项目经理的从业年限5年及以上的得1分；每个项目经理的从业年限5年以下的得0.5分；不提供者不得分。本项最高得2分。</w:t>
      </w:r>
    </w:p>
    <w:p>
      <w:pPr>
        <w:keepNext w:val="0"/>
        <w:keepLines w:val="0"/>
        <w:pageBreakBefore w:val="0"/>
        <w:kinsoku/>
        <w:wordWrap/>
        <w:overflowPunct/>
        <w:topLinePunct w:val="0"/>
        <w:autoSpaceDE/>
        <w:autoSpaceDN/>
        <w:bidi w:val="0"/>
        <w:spacing w:beforeAutospacing="0" w:afterAutospacing="0"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3）提供项目经理的业绩案例（须提供相关合同等证明材料，否则不得分），每有一个同类项目案例（代理合同金额 10 万美元及以上）可得1分，最高得 2分。</w:t>
      </w:r>
    </w:p>
    <w:p>
      <w:pPr>
        <w:keepNext w:val="0"/>
        <w:keepLines w:val="0"/>
        <w:pageBreakBefore w:val="0"/>
        <w:widowControl/>
        <w:numPr>
          <w:ilvl w:val="0"/>
          <w:numId w:val="0"/>
        </w:numPr>
        <w:shd w:val="clear" w:color="auto" w:fill="FFFFFF"/>
        <w:kinsoku/>
        <w:wordWrap/>
        <w:overflowPunct/>
        <w:topLinePunct w:val="0"/>
        <w:autoSpaceDE/>
        <w:autoSpaceDN/>
        <w:bidi w:val="0"/>
        <w:spacing w:beforeAutospacing="0" w:afterAutospacing="0" w:line="360" w:lineRule="auto"/>
        <w:ind w:leftChars="0"/>
        <w:jc w:val="left"/>
        <w:textAlignment w:val="auto"/>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从事江苏</w:t>
      </w:r>
      <w:r>
        <w:rPr>
          <w:rFonts w:hint="eastAsia" w:asciiTheme="minorEastAsia" w:hAnsiTheme="minorEastAsia" w:eastAsiaTheme="minorEastAsia" w:cstheme="minorEastAsia"/>
          <w:sz w:val="24"/>
          <w:szCs w:val="24"/>
          <w:highlight w:val="none"/>
          <w:lang w:val="en-US" w:eastAsia="zh-CN"/>
        </w:rPr>
        <w:t>地区</w:t>
      </w:r>
      <w:r>
        <w:rPr>
          <w:rFonts w:hint="eastAsia" w:asciiTheme="minorEastAsia" w:hAnsiTheme="minorEastAsia" w:eastAsiaTheme="minorEastAsia" w:cstheme="minorEastAsia"/>
          <w:sz w:val="24"/>
          <w:szCs w:val="24"/>
          <w:highlight w:val="none"/>
        </w:rPr>
        <w:t>高校外贸代理服务从业时间（</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分）</w:t>
      </w:r>
    </w:p>
    <w:p>
      <w:pPr>
        <w:keepNext w:val="0"/>
        <w:keepLines w:val="0"/>
        <w:pageBreakBefore w:val="0"/>
        <w:kinsoku/>
        <w:wordWrap/>
        <w:overflowPunct/>
        <w:topLinePunct w:val="0"/>
        <w:autoSpaceDE/>
        <w:autoSpaceDN/>
        <w:bidi w:val="0"/>
        <w:spacing w:beforeAutospacing="0" w:afterAutospacing="0" w:line="360" w:lineRule="auto"/>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10年</w:t>
      </w:r>
      <w:r>
        <w:rPr>
          <w:rFonts w:hint="eastAsia" w:asciiTheme="minorEastAsia" w:hAnsiTheme="minorEastAsia" w:eastAsiaTheme="minorEastAsia" w:cstheme="minorEastAsia"/>
          <w:sz w:val="24"/>
          <w:szCs w:val="24"/>
          <w:highlight w:val="none"/>
          <w:lang w:val="en-US" w:eastAsia="zh-CN"/>
        </w:rPr>
        <w:t>及10年</w:t>
      </w:r>
      <w:r>
        <w:rPr>
          <w:rFonts w:hint="eastAsia" w:asciiTheme="minorEastAsia" w:hAnsiTheme="minorEastAsia" w:eastAsiaTheme="minorEastAsia" w:cstheme="minorEastAsia"/>
          <w:sz w:val="24"/>
          <w:szCs w:val="24"/>
          <w:highlight w:val="none"/>
        </w:rPr>
        <w:t>以上得</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分；5</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10年</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不含</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得</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分；5年以下得1分；需附最早一份代理合同复印件。如果投标人发生公司名称变更，须提供工商名称变更证明材料。</w:t>
      </w:r>
      <w:r>
        <w:rPr>
          <w:rFonts w:hint="eastAsia" w:asciiTheme="minorEastAsia" w:hAnsiTheme="minorEastAsia" w:eastAsiaTheme="minorEastAsia" w:cstheme="minorEastAsia"/>
          <w:sz w:val="24"/>
          <w:szCs w:val="24"/>
          <w:highlight w:val="none"/>
          <w:lang w:val="en-US" w:eastAsia="zh-CN"/>
        </w:rPr>
        <w:t>统计时间截止至2020年10月31日。</w:t>
      </w:r>
    </w:p>
    <w:p>
      <w:pPr>
        <w:keepNext w:val="0"/>
        <w:keepLines w:val="0"/>
        <w:pageBreakBefore w:val="0"/>
        <w:numPr>
          <w:ilvl w:val="0"/>
          <w:numId w:val="0"/>
        </w:numPr>
        <w:kinsoku/>
        <w:wordWrap/>
        <w:overflowPunct/>
        <w:topLinePunct w:val="0"/>
        <w:autoSpaceDE/>
        <w:autoSpaceDN/>
        <w:bidi w:val="0"/>
        <w:spacing w:beforeAutospacing="0" w:afterAutospacing="0" w:line="360" w:lineRule="auto"/>
        <w:ind w:leftChars="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4、用户评价（6分）</w:t>
      </w:r>
    </w:p>
    <w:p>
      <w:pPr>
        <w:keepNext w:val="0"/>
        <w:keepLines w:val="0"/>
        <w:pageBreakBefore w:val="0"/>
        <w:numPr>
          <w:ilvl w:val="0"/>
          <w:numId w:val="0"/>
        </w:numPr>
        <w:kinsoku/>
        <w:wordWrap/>
        <w:overflowPunct/>
        <w:topLinePunct w:val="0"/>
        <w:autoSpaceDE/>
        <w:autoSpaceDN/>
        <w:bidi w:val="0"/>
        <w:spacing w:beforeAutospacing="0" w:afterAutospacing="0" w:line="360" w:lineRule="auto"/>
        <w:ind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2017年1月1日以来获得江苏</w:t>
      </w:r>
      <w:r>
        <w:rPr>
          <w:rFonts w:hint="eastAsia" w:asciiTheme="minorEastAsia" w:hAnsiTheme="minorEastAsia" w:eastAsiaTheme="minorEastAsia" w:cstheme="minorEastAsia"/>
          <w:sz w:val="24"/>
          <w:szCs w:val="24"/>
          <w:highlight w:val="none"/>
          <w:lang w:val="en-US" w:eastAsia="zh-CN"/>
        </w:rPr>
        <w:t>地区</w:t>
      </w:r>
      <w:r>
        <w:rPr>
          <w:rFonts w:hint="eastAsia" w:asciiTheme="minorEastAsia" w:hAnsiTheme="minorEastAsia" w:eastAsiaTheme="minorEastAsia" w:cstheme="minorEastAsia"/>
          <w:sz w:val="24"/>
          <w:szCs w:val="24"/>
          <w:highlight w:val="none"/>
        </w:rPr>
        <w:t>高校或其职能部门评价为优（满意）的用户评价证明：每有一份得1分，最高</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分，同一用户不重复累计。</w:t>
      </w:r>
    </w:p>
    <w:p>
      <w:pPr>
        <w:keepNext w:val="0"/>
        <w:keepLines w:val="0"/>
        <w:pageBreakBefore w:val="0"/>
        <w:widowControl w:val="0"/>
        <w:numPr>
          <w:ilvl w:val="0"/>
          <w:numId w:val="2"/>
        </w:numPr>
        <w:kinsoku/>
        <w:wordWrap/>
        <w:overflowPunct/>
        <w:topLinePunct w:val="0"/>
        <w:autoSpaceDE/>
        <w:autoSpaceDN/>
        <w:bidi w:val="0"/>
        <w:adjustRightInd/>
        <w:snapToGrid/>
        <w:spacing w:before="157" w:beforeLines="50" w:beforeAutospacing="0" w:after="157" w:afterLines="50" w:afterAutospacing="0" w:line="360" w:lineRule="auto"/>
        <w:ind w:left="0" w:leftChars="0" w:firstLine="0" w:firstLineChars="0"/>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val="en-US" w:eastAsia="zh-CN"/>
        </w:rPr>
        <w:t>授信额度、</w:t>
      </w:r>
      <w:r>
        <w:rPr>
          <w:rFonts w:hint="eastAsia" w:asciiTheme="minorEastAsia" w:hAnsiTheme="minorEastAsia" w:eastAsiaTheme="minorEastAsia" w:cstheme="minorEastAsia"/>
          <w:b/>
          <w:bCs/>
          <w:sz w:val="24"/>
          <w:szCs w:val="24"/>
          <w:highlight w:val="none"/>
        </w:rPr>
        <w:t>银行资信证明、资金安全承诺。（</w:t>
      </w:r>
      <w:r>
        <w:rPr>
          <w:rFonts w:hint="eastAsia" w:asciiTheme="minorEastAsia" w:hAnsiTheme="minorEastAsia" w:eastAsiaTheme="minorEastAsia" w:cstheme="minorEastAsia"/>
          <w:b/>
          <w:bCs/>
          <w:sz w:val="24"/>
          <w:szCs w:val="24"/>
          <w:highlight w:val="none"/>
          <w:lang w:val="en-US" w:eastAsia="zh-CN"/>
        </w:rPr>
        <w:t>11</w:t>
      </w:r>
      <w:r>
        <w:rPr>
          <w:rFonts w:hint="eastAsia" w:asciiTheme="minorEastAsia" w:hAnsiTheme="minorEastAsia" w:eastAsiaTheme="minorEastAsia" w:cstheme="minorEastAsia"/>
          <w:b/>
          <w:bCs/>
          <w:sz w:val="24"/>
          <w:szCs w:val="24"/>
          <w:highlight w:val="none"/>
        </w:rPr>
        <w:t>分）</w:t>
      </w:r>
    </w:p>
    <w:p>
      <w:pPr>
        <w:keepNext w:val="0"/>
        <w:keepLines w:val="0"/>
        <w:pageBreakBefore w:val="0"/>
        <w:numPr>
          <w:ilvl w:val="0"/>
          <w:numId w:val="4"/>
        </w:numPr>
        <w:kinsoku/>
        <w:wordWrap/>
        <w:overflowPunct/>
        <w:topLinePunct w:val="0"/>
        <w:autoSpaceDE/>
        <w:autoSpaceDN/>
        <w:bidi w:val="0"/>
        <w:spacing w:beforeAutospacing="0" w:afterAutospacing="0" w:line="360" w:lineRule="auto"/>
        <w:ind w:leftChars="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按授信额度打分：</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亿</w:t>
      </w:r>
      <w:r>
        <w:rPr>
          <w:rFonts w:hint="eastAsia" w:asciiTheme="minorEastAsia" w:hAnsiTheme="minorEastAsia" w:eastAsiaTheme="minorEastAsia" w:cstheme="minorEastAsia"/>
          <w:sz w:val="24"/>
          <w:szCs w:val="24"/>
          <w:highlight w:val="none"/>
          <w:lang w:val="en-US" w:eastAsia="zh-CN"/>
        </w:rPr>
        <w:t>及5亿</w:t>
      </w:r>
      <w:r>
        <w:rPr>
          <w:rFonts w:hint="eastAsia" w:asciiTheme="minorEastAsia" w:hAnsiTheme="minorEastAsia" w:eastAsiaTheme="minorEastAsia" w:cstheme="minorEastAsia"/>
          <w:sz w:val="24"/>
          <w:szCs w:val="24"/>
          <w:highlight w:val="none"/>
        </w:rPr>
        <w:t>人民币以上得</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分，</w:t>
      </w:r>
      <w:r>
        <w:rPr>
          <w:rFonts w:hint="eastAsia" w:asciiTheme="minorEastAsia" w:hAnsiTheme="minorEastAsia" w:eastAsiaTheme="minorEastAsia" w:cstheme="minorEastAsia"/>
          <w:sz w:val="24"/>
          <w:szCs w:val="24"/>
          <w:highlight w:val="none"/>
          <w:lang w:val="en-US" w:eastAsia="zh-CN"/>
        </w:rPr>
        <w:t>1亿</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亿</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不含</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人民币得</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分，</w:t>
      </w:r>
      <w:r>
        <w:rPr>
          <w:rFonts w:hint="eastAsia" w:asciiTheme="minorEastAsia" w:hAnsiTheme="minorEastAsia" w:eastAsiaTheme="minorEastAsia" w:cstheme="minorEastAsia"/>
          <w:sz w:val="24"/>
          <w:szCs w:val="24"/>
          <w:highlight w:val="none"/>
          <w:lang w:val="en-US" w:eastAsia="zh-CN"/>
        </w:rPr>
        <w:t>1亿</w:t>
      </w:r>
      <w:r>
        <w:rPr>
          <w:rFonts w:hint="eastAsia" w:asciiTheme="minorEastAsia" w:hAnsiTheme="minorEastAsia" w:eastAsiaTheme="minorEastAsia" w:cstheme="minorEastAsia"/>
          <w:sz w:val="24"/>
          <w:szCs w:val="24"/>
          <w:highlight w:val="none"/>
        </w:rPr>
        <w:t>人民币以下得1分。提供有效证明文件复印件。</w:t>
      </w:r>
    </w:p>
    <w:p>
      <w:pPr>
        <w:keepNext w:val="0"/>
        <w:keepLines w:val="0"/>
        <w:pageBreakBefore w:val="0"/>
        <w:numPr>
          <w:ilvl w:val="0"/>
          <w:numId w:val="4"/>
        </w:numPr>
        <w:kinsoku/>
        <w:wordWrap/>
        <w:overflowPunct/>
        <w:topLinePunct w:val="0"/>
        <w:autoSpaceDE/>
        <w:autoSpaceDN/>
        <w:bidi w:val="0"/>
        <w:spacing w:beforeAutospacing="0" w:afterAutospacing="0" w:line="360" w:lineRule="auto"/>
        <w:ind w:leftChars="0"/>
        <w:textAlignment w:val="auto"/>
        <w:rPr>
          <w:rFonts w:hint="default" w:eastAsiaTheme="minorEastAsia"/>
          <w:highlight w:val="none"/>
          <w:lang w:val="en-US" w:eastAsia="zh-CN"/>
        </w:rPr>
      </w:pPr>
      <w:r>
        <w:rPr>
          <w:rFonts w:hint="eastAsia" w:asciiTheme="minorEastAsia" w:hAnsiTheme="minorEastAsia" w:eastAsiaTheme="minorEastAsia" w:cstheme="minorEastAsia"/>
          <w:sz w:val="24"/>
          <w:szCs w:val="24"/>
          <w:highlight w:val="none"/>
        </w:rPr>
        <w:t>银行资信证明：</w:t>
      </w:r>
      <w:r>
        <w:rPr>
          <w:rFonts w:hint="eastAsia" w:asciiTheme="minorEastAsia" w:hAnsiTheme="minorEastAsia" w:eastAsiaTheme="minorEastAsia" w:cstheme="minorEastAsia"/>
          <w:sz w:val="24"/>
          <w:szCs w:val="24"/>
          <w:highlight w:val="none"/>
        </w:rPr>
        <w:t>有银行出具的资信证明</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有银行盖章</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得2分，未出具的不得分。</w:t>
      </w:r>
    </w:p>
    <w:p>
      <w:pPr>
        <w:keepNext w:val="0"/>
        <w:keepLines w:val="0"/>
        <w:pageBreakBefore w:val="0"/>
        <w:numPr>
          <w:ilvl w:val="0"/>
          <w:numId w:val="4"/>
        </w:numPr>
        <w:kinsoku/>
        <w:wordWrap/>
        <w:overflowPunct/>
        <w:topLinePunct w:val="0"/>
        <w:autoSpaceDE/>
        <w:autoSpaceDN/>
        <w:bidi w:val="0"/>
        <w:spacing w:beforeAutospacing="0" w:afterAutospacing="0" w:line="360" w:lineRule="auto"/>
        <w:ind w:leftChars="0"/>
        <w:textAlignment w:val="auto"/>
        <w:rPr>
          <w:rFonts w:hint="default" w:eastAsiaTheme="minorEastAsia"/>
          <w:highlight w:val="none"/>
          <w:lang w:val="en-US" w:eastAsia="zh-CN"/>
        </w:rPr>
      </w:pPr>
      <w:r>
        <w:rPr>
          <w:rFonts w:hint="eastAsia" w:asciiTheme="minorEastAsia" w:hAnsiTheme="minorEastAsia" w:eastAsiaTheme="minorEastAsia" w:cstheme="minorEastAsia"/>
          <w:sz w:val="24"/>
          <w:szCs w:val="24"/>
          <w:highlight w:val="none"/>
          <w:lang w:val="en-US" w:eastAsia="zh-CN"/>
        </w:rPr>
        <w:t>对开具银行保函能力以及垫资能力作出承诺并加盖单位公章得3分，不提供不得分。</w:t>
      </w:r>
    </w:p>
    <w:p>
      <w:pPr>
        <w:pStyle w:val="2"/>
        <w:keepNext w:val="0"/>
        <w:keepLines w:val="0"/>
        <w:pageBreakBefore w:val="0"/>
        <w:widowControl w:val="0"/>
        <w:numPr>
          <w:ilvl w:val="0"/>
          <w:numId w:val="2"/>
        </w:numPr>
        <w:kinsoku/>
        <w:wordWrap/>
        <w:overflowPunct/>
        <w:topLinePunct w:val="0"/>
        <w:autoSpaceDE/>
        <w:autoSpaceDN/>
        <w:bidi w:val="0"/>
        <w:adjustRightInd/>
        <w:snapToGrid/>
        <w:spacing w:before="157" w:beforeLines="50" w:after="157" w:afterLines="50" w:line="360" w:lineRule="auto"/>
        <w:ind w:left="0" w:leftChars="0" w:firstLine="0" w:firstLineChars="0"/>
        <w:textAlignment w:val="auto"/>
        <w:rPr>
          <w:rFonts w:hint="eastAsia" w:asciiTheme="minorEastAsia" w:hAnsiTheme="minorEastAsia" w:eastAsiaTheme="minorEastAsia" w:cstheme="minorEastAsia"/>
          <w:b/>
          <w:bCs/>
          <w:kern w:val="2"/>
          <w:sz w:val="24"/>
          <w:szCs w:val="24"/>
          <w:highlight w:val="none"/>
          <w:lang w:val="en-US" w:eastAsia="zh-CN" w:bidi="ar-SA"/>
        </w:rPr>
      </w:pPr>
      <w:r>
        <w:rPr>
          <w:rFonts w:hint="eastAsia" w:asciiTheme="minorEastAsia" w:hAnsiTheme="minorEastAsia" w:eastAsiaTheme="minorEastAsia" w:cstheme="minorEastAsia"/>
          <w:b/>
          <w:bCs/>
          <w:kern w:val="2"/>
          <w:sz w:val="24"/>
          <w:szCs w:val="24"/>
          <w:highlight w:val="none"/>
          <w:lang w:val="en-US" w:eastAsia="zh-CN" w:bidi="ar-SA"/>
        </w:rPr>
        <w:t>近三年南京市免税、商检等业务办理能力及经验。（4分）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jc w:val="left"/>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1、南京市免税办理经验（2分）。无南京市免税办理经验的，不得分。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jc w:val="left"/>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2、南京市商检办理经验（2分）。无南京市商检办理经验的，不得分。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jc w:val="left"/>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“办理经验”主要根据投标人提供的年度合作协议以及业务人员配置情况进行综合评价：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jc w:val="left"/>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jc w:val="left"/>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（1）配置人员需要是外贸公司自有人员；如提供人员为第三方合作公司的，扣1分；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jc w:val="left"/>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（2）人员配置情况（含职位、身份证复印件、社保记录复印件）；</w:t>
      </w:r>
    </w:p>
    <w:p>
      <w:pPr>
        <w:pStyle w:val="2"/>
        <w:numPr>
          <w:ilvl w:val="0"/>
          <w:numId w:val="0"/>
        </w:numPr>
        <w:spacing w:line="360" w:lineRule="auto"/>
        <w:ind w:leftChars="0" w:right="1470" w:rightChars="700"/>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（3）</w:t>
      </w:r>
      <w:r>
        <w:rPr>
          <w:rFonts w:hint="eastAsia" w:asciiTheme="minorEastAsia" w:hAnsiTheme="minorEastAsia" w:eastAsiaTheme="minorEastAsia" w:cstheme="minorEastAsia"/>
          <w:kern w:val="2"/>
          <w:sz w:val="24"/>
          <w:szCs w:val="24"/>
          <w:highlight w:val="none"/>
          <w:lang w:val="en-US" w:eastAsia="zh-CN" w:bidi="ar-SA"/>
        </w:rPr>
        <w:t>提供三年内办理的免表复印件</w:t>
      </w:r>
      <w:r>
        <w:rPr>
          <w:rFonts w:hint="eastAsia" w:asciiTheme="minorEastAsia" w:hAnsiTheme="minorEastAsia" w:eastAsiaTheme="minorEastAsia" w:cstheme="minorEastAsia"/>
          <w:kern w:val="2"/>
          <w:sz w:val="24"/>
          <w:szCs w:val="24"/>
          <w:highlight w:val="none"/>
          <w:lang w:val="en-US" w:eastAsia="zh-CN" w:bidi="ar-SA"/>
        </w:rPr>
        <w:t>2张及以上。</w:t>
      </w:r>
    </w:p>
    <w:p>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val="en-US" w:eastAsia="zh-CN"/>
        </w:rPr>
        <w:t>五、</w:t>
      </w:r>
      <w:r>
        <w:rPr>
          <w:rFonts w:hint="eastAsia" w:asciiTheme="minorEastAsia" w:hAnsiTheme="minorEastAsia" w:eastAsiaTheme="minorEastAsia" w:cstheme="minorEastAsia"/>
          <w:b/>
          <w:bCs/>
          <w:sz w:val="24"/>
          <w:szCs w:val="24"/>
          <w:highlight w:val="none"/>
        </w:rPr>
        <w:t>公司规模、能力等综合实力（</w:t>
      </w:r>
      <w:r>
        <w:rPr>
          <w:rFonts w:hint="eastAsia" w:asciiTheme="minorEastAsia" w:hAnsiTheme="minorEastAsia" w:eastAsiaTheme="minorEastAsia" w:cstheme="minorEastAsia"/>
          <w:b/>
          <w:bCs/>
          <w:sz w:val="24"/>
          <w:szCs w:val="24"/>
          <w:highlight w:val="none"/>
          <w:lang w:val="en-US" w:eastAsia="zh-CN"/>
        </w:rPr>
        <w:t>9</w:t>
      </w:r>
      <w:r>
        <w:rPr>
          <w:rFonts w:hint="eastAsia" w:asciiTheme="minorEastAsia" w:hAnsiTheme="minorEastAsia" w:eastAsiaTheme="minorEastAsia" w:cstheme="minorEastAsia"/>
          <w:b/>
          <w:bCs/>
          <w:sz w:val="24"/>
          <w:szCs w:val="24"/>
          <w:highlight w:val="none"/>
        </w:rPr>
        <w:t>分）</w:t>
      </w:r>
    </w:p>
    <w:p>
      <w:pPr>
        <w:keepNext w:val="0"/>
        <w:keepLines w:val="0"/>
        <w:pageBreakBefore w:val="0"/>
        <w:numPr>
          <w:ilvl w:val="0"/>
          <w:numId w:val="0"/>
        </w:numPr>
        <w:kinsoku/>
        <w:wordWrap/>
        <w:overflowPunct/>
        <w:topLinePunct w:val="0"/>
        <w:autoSpaceDE/>
        <w:autoSpaceDN/>
        <w:bidi w:val="0"/>
        <w:spacing w:beforeAutospacing="0" w:afterAutospacing="0"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按公司进出口规模、质量体系认证等打分。</w:t>
      </w:r>
    </w:p>
    <w:p>
      <w:pPr>
        <w:keepNext w:val="0"/>
        <w:keepLines w:val="0"/>
        <w:pageBreakBefore w:val="0"/>
        <w:numPr>
          <w:ilvl w:val="0"/>
          <w:numId w:val="0"/>
        </w:numPr>
        <w:kinsoku/>
        <w:wordWrap/>
        <w:overflowPunct/>
        <w:topLinePunct w:val="0"/>
        <w:autoSpaceDE/>
        <w:autoSpaceDN/>
        <w:bidi w:val="0"/>
        <w:spacing w:beforeAutospacing="0" w:afterAutospacing="0"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海关企业信用管理认证级别</w:t>
      </w:r>
      <w:r>
        <w:rPr>
          <w:rFonts w:hint="eastAsia" w:asciiTheme="minorEastAsia" w:hAnsiTheme="minorEastAsia" w:eastAsiaTheme="minorEastAsia" w:cstheme="minorEastAsia"/>
          <w:sz w:val="24"/>
          <w:szCs w:val="24"/>
          <w:highlight w:val="none"/>
        </w:rPr>
        <w:t>（3分）</w:t>
      </w:r>
    </w:p>
    <w:p>
      <w:pPr>
        <w:keepNext w:val="0"/>
        <w:keepLines w:val="0"/>
        <w:pageBreakBefore w:val="0"/>
        <w:numPr>
          <w:ilvl w:val="0"/>
          <w:numId w:val="0"/>
        </w:numPr>
        <w:kinsoku/>
        <w:wordWrap/>
        <w:overflowPunct/>
        <w:topLinePunct w:val="0"/>
        <w:autoSpaceDE/>
        <w:autoSpaceDN/>
        <w:bidi w:val="0"/>
        <w:spacing w:beforeAutospacing="0" w:afterAutospacing="0"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海关企业信用管理高级认证企业得 3分，一般认证企业得 2分，一般信用企业得 1 分，失信企业得 0 分。 </w:t>
      </w:r>
      <w:bookmarkStart w:id="7" w:name="_Hlk509834950"/>
    </w:p>
    <w:bookmarkEnd w:id="7"/>
    <w:p>
      <w:pPr>
        <w:keepNext w:val="0"/>
        <w:keepLines w:val="0"/>
        <w:pageBreakBefore w:val="0"/>
        <w:numPr>
          <w:ilvl w:val="0"/>
          <w:numId w:val="0"/>
        </w:numPr>
        <w:kinsoku/>
        <w:wordWrap/>
        <w:overflowPunct/>
        <w:topLinePunct w:val="0"/>
        <w:autoSpaceDE/>
        <w:autoSpaceDN/>
        <w:bidi w:val="0"/>
        <w:spacing w:beforeAutospacing="0" w:afterAutospacing="0"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2、具有有效期内的</w:t>
      </w:r>
      <w:r>
        <w:rPr>
          <w:rFonts w:hint="eastAsia" w:asciiTheme="minorEastAsia" w:hAnsiTheme="minorEastAsia" w:eastAsiaTheme="minorEastAsia" w:cstheme="minorEastAsia"/>
          <w:sz w:val="24"/>
          <w:szCs w:val="24"/>
          <w:highlight w:val="none"/>
        </w:rPr>
        <w:t>质量</w:t>
      </w:r>
      <w:r>
        <w:rPr>
          <w:rFonts w:hint="eastAsia" w:asciiTheme="minorEastAsia" w:hAnsiTheme="minorEastAsia" w:eastAsiaTheme="minorEastAsia" w:cstheme="minorEastAsia"/>
          <w:sz w:val="24"/>
          <w:szCs w:val="24"/>
          <w:highlight w:val="none"/>
          <w:lang w:val="en-US" w:eastAsia="zh-CN"/>
        </w:rPr>
        <w:t>管理</w:t>
      </w:r>
      <w:r>
        <w:rPr>
          <w:rFonts w:hint="eastAsia" w:asciiTheme="minorEastAsia" w:hAnsiTheme="minorEastAsia" w:eastAsiaTheme="minorEastAsia" w:cstheme="minorEastAsia"/>
          <w:sz w:val="24"/>
          <w:szCs w:val="24"/>
          <w:highlight w:val="none"/>
        </w:rPr>
        <w:t>体系认证、职业健康</w:t>
      </w:r>
      <w:r>
        <w:rPr>
          <w:rFonts w:hint="eastAsia" w:asciiTheme="minorEastAsia" w:hAnsiTheme="minorEastAsia" w:eastAsiaTheme="minorEastAsia" w:cstheme="minorEastAsia"/>
          <w:sz w:val="24"/>
          <w:szCs w:val="24"/>
          <w:highlight w:val="none"/>
          <w:lang w:val="en-US" w:eastAsia="zh-CN"/>
        </w:rPr>
        <w:t>安全管理</w:t>
      </w:r>
      <w:r>
        <w:rPr>
          <w:rFonts w:hint="eastAsia" w:asciiTheme="minorEastAsia" w:hAnsiTheme="minorEastAsia" w:eastAsiaTheme="minorEastAsia" w:cstheme="minorEastAsia"/>
          <w:sz w:val="24"/>
          <w:szCs w:val="24"/>
          <w:highlight w:val="none"/>
        </w:rPr>
        <w:t>体系</w:t>
      </w:r>
      <w:r>
        <w:rPr>
          <w:rFonts w:hint="eastAsia" w:asciiTheme="minorEastAsia" w:hAnsiTheme="minorEastAsia" w:eastAsiaTheme="minorEastAsia" w:cstheme="minorEastAsia"/>
          <w:sz w:val="24"/>
          <w:szCs w:val="24"/>
          <w:highlight w:val="none"/>
          <w:lang w:val="en-US" w:eastAsia="zh-CN"/>
        </w:rPr>
        <w:t>认证</w:t>
      </w:r>
      <w:r>
        <w:rPr>
          <w:rFonts w:hint="eastAsia" w:asciiTheme="minorEastAsia" w:hAnsiTheme="minorEastAsia" w:eastAsiaTheme="minorEastAsia" w:cstheme="minorEastAsia"/>
          <w:sz w:val="24"/>
          <w:szCs w:val="24"/>
          <w:highlight w:val="none"/>
        </w:rPr>
        <w:t>、环境</w:t>
      </w:r>
      <w:r>
        <w:rPr>
          <w:rFonts w:hint="eastAsia" w:asciiTheme="minorEastAsia" w:hAnsiTheme="minorEastAsia" w:eastAsiaTheme="minorEastAsia" w:cstheme="minorEastAsia"/>
          <w:sz w:val="24"/>
          <w:szCs w:val="24"/>
          <w:highlight w:val="none"/>
          <w:lang w:val="en-US" w:eastAsia="zh-CN"/>
        </w:rPr>
        <w:t>管理体系认证</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 xml:space="preserve">分）  </w:t>
      </w:r>
    </w:p>
    <w:p>
      <w:pPr>
        <w:keepNext w:val="0"/>
        <w:keepLines w:val="0"/>
        <w:pageBreakBefore w:val="0"/>
        <w:numPr>
          <w:ilvl w:val="0"/>
          <w:numId w:val="0"/>
        </w:numPr>
        <w:kinsoku/>
        <w:wordWrap/>
        <w:overflowPunct/>
        <w:topLinePunct w:val="0"/>
        <w:autoSpaceDE/>
        <w:autoSpaceDN/>
        <w:bidi w:val="0"/>
        <w:spacing w:beforeAutospacing="0" w:afterAutospacing="0" w:line="360" w:lineRule="auto"/>
        <w:ind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全有得</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分，缺一项得0分</w:t>
      </w:r>
      <w:r>
        <w:rPr>
          <w:rFonts w:hint="eastAsia" w:asciiTheme="minorEastAsia" w:hAnsiTheme="minorEastAsia" w:eastAsiaTheme="minorEastAsia" w:cstheme="minorEastAsia"/>
          <w:sz w:val="24"/>
          <w:szCs w:val="24"/>
          <w:highlight w:val="none"/>
          <w:lang w:eastAsia="zh-CN"/>
        </w:rPr>
        <w:t>。</w:t>
      </w:r>
    </w:p>
    <w:p>
      <w:pPr>
        <w:keepNext w:val="0"/>
        <w:keepLines w:val="0"/>
        <w:pageBreakBefore w:val="0"/>
        <w:numPr>
          <w:ilvl w:val="0"/>
          <w:numId w:val="0"/>
        </w:numPr>
        <w:kinsoku/>
        <w:wordWrap/>
        <w:overflowPunct/>
        <w:topLinePunct w:val="0"/>
        <w:autoSpaceDE/>
        <w:autoSpaceDN/>
        <w:bidi w:val="0"/>
        <w:spacing w:beforeAutospacing="0" w:afterAutospacing="0" w:line="360" w:lineRule="auto"/>
        <w:ind w:leftChars="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3、提供信用评级机构出具的</w:t>
      </w:r>
      <w:r>
        <w:rPr>
          <w:rFonts w:hint="eastAsia" w:asciiTheme="minorEastAsia" w:hAnsiTheme="minorEastAsia" w:eastAsiaTheme="minorEastAsia" w:cstheme="minorEastAsia"/>
          <w:sz w:val="24"/>
          <w:szCs w:val="24"/>
          <w:highlight w:val="none"/>
        </w:rPr>
        <w:t>企业信用等级证明</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等级为AAA的，得3分；其余得</w:t>
      </w:r>
      <w:r>
        <w:rPr>
          <w:rFonts w:hint="eastAsia" w:asciiTheme="minorEastAsia" w:hAnsiTheme="minorEastAsia" w:eastAsiaTheme="minorEastAsia" w:cstheme="minorEastAsia"/>
          <w:sz w:val="24"/>
          <w:szCs w:val="24"/>
          <w:highlight w:val="none"/>
        </w:rPr>
        <w:t>0分</w:t>
      </w:r>
      <w:r>
        <w:rPr>
          <w:rFonts w:hint="eastAsia" w:asciiTheme="minorEastAsia" w:hAnsiTheme="minorEastAsia" w:eastAsiaTheme="minorEastAsia" w:cstheme="minorEastAsia"/>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Chars="0"/>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六、业绩（8分）</w:t>
      </w:r>
    </w:p>
    <w:p>
      <w:pPr>
        <w:keepNext w:val="0"/>
        <w:keepLines w:val="0"/>
        <w:pageBreakBefore w:val="0"/>
        <w:kinsoku/>
        <w:wordWrap/>
        <w:overflowPunct/>
        <w:topLinePunct w:val="0"/>
        <w:autoSpaceDE/>
        <w:autoSpaceDN/>
        <w:bidi w:val="0"/>
        <w:spacing w:beforeAutospacing="0" w:afterAutospacing="0" w:line="360" w:lineRule="auto"/>
        <w:jc w:val="left"/>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bCs/>
          <w:sz w:val="24"/>
          <w:szCs w:val="24"/>
          <w:highlight w:val="none"/>
          <w:lang w:val="en-US" w:eastAsia="zh-CN"/>
        </w:rPr>
        <w:t>1、</w:t>
      </w:r>
      <w:r>
        <w:rPr>
          <w:rFonts w:hint="eastAsia" w:asciiTheme="minorEastAsia" w:hAnsiTheme="minorEastAsia" w:eastAsiaTheme="minorEastAsia" w:cstheme="minorEastAsia"/>
          <w:bCs/>
          <w:sz w:val="24"/>
          <w:szCs w:val="24"/>
          <w:highlight w:val="none"/>
          <w:lang w:val="en-US" w:eastAsia="zh-CN"/>
        </w:rPr>
        <w:t>2017-</w:t>
      </w:r>
      <w:r>
        <w:rPr>
          <w:rFonts w:hint="eastAsia" w:asciiTheme="minorEastAsia" w:hAnsiTheme="minorEastAsia" w:eastAsiaTheme="minorEastAsia" w:cstheme="minorEastAsia"/>
          <w:sz w:val="24"/>
          <w:szCs w:val="24"/>
          <w:highlight w:val="none"/>
        </w:rPr>
        <w:t>2019年</w:t>
      </w:r>
      <w:r>
        <w:rPr>
          <w:rFonts w:hint="eastAsia" w:asciiTheme="minorEastAsia" w:hAnsiTheme="minorEastAsia" w:eastAsiaTheme="minorEastAsia" w:cstheme="minorEastAsia"/>
          <w:sz w:val="24"/>
          <w:szCs w:val="24"/>
          <w:highlight w:val="none"/>
          <w:lang w:val="en-US" w:eastAsia="zh-CN"/>
        </w:rPr>
        <w:t>所承担的进</w:t>
      </w:r>
      <w:r>
        <w:rPr>
          <w:rFonts w:hint="eastAsia" w:asciiTheme="minorEastAsia" w:hAnsiTheme="minorEastAsia" w:eastAsiaTheme="minorEastAsia" w:cstheme="minorEastAsia"/>
          <w:sz w:val="24"/>
          <w:szCs w:val="24"/>
          <w:highlight w:val="none"/>
        </w:rPr>
        <w:t>口</w:t>
      </w:r>
      <w:r>
        <w:rPr>
          <w:rFonts w:hint="eastAsia" w:asciiTheme="minorEastAsia" w:hAnsiTheme="minorEastAsia" w:eastAsiaTheme="minorEastAsia" w:cstheme="minorEastAsia"/>
          <w:sz w:val="24"/>
          <w:szCs w:val="24"/>
          <w:highlight w:val="none"/>
          <w:lang w:val="en-US" w:eastAsia="zh-CN"/>
        </w:rPr>
        <w:t>商品</w:t>
      </w:r>
      <w:r>
        <w:rPr>
          <w:rFonts w:hint="eastAsia" w:asciiTheme="minorEastAsia" w:hAnsiTheme="minorEastAsia" w:eastAsiaTheme="minorEastAsia" w:cstheme="minorEastAsia"/>
          <w:sz w:val="24"/>
          <w:szCs w:val="24"/>
          <w:highlight w:val="none"/>
        </w:rPr>
        <w:t>代理合同总金额</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4分</w:t>
      </w:r>
      <w:r>
        <w:rPr>
          <w:rFonts w:hint="eastAsia" w:asciiTheme="minorEastAsia" w:hAnsiTheme="minorEastAsia" w:eastAsiaTheme="minorEastAsia" w:cstheme="minorEastAsia"/>
          <w:sz w:val="24"/>
          <w:szCs w:val="24"/>
          <w:highlight w:val="none"/>
          <w:lang w:eastAsia="zh-CN"/>
        </w:rPr>
        <w:t>）</w:t>
      </w:r>
    </w:p>
    <w:p>
      <w:pPr>
        <w:keepNext w:val="0"/>
        <w:keepLines w:val="0"/>
        <w:pageBreakBefore w:val="0"/>
        <w:kinsoku/>
        <w:wordWrap/>
        <w:overflowPunct/>
        <w:topLinePunct w:val="0"/>
        <w:autoSpaceDE/>
        <w:autoSpaceDN/>
        <w:bidi w:val="0"/>
        <w:spacing w:beforeAutospacing="0" w:afterAutospacing="0" w:line="360" w:lineRule="auto"/>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要求：（1）仅限于所采购的进口产品能享受海关科教用品减免税政策部分；（2）仅统计合同金额在3万美元（含）以上的合同；（3）</w:t>
      </w:r>
      <w:r>
        <w:rPr>
          <w:rFonts w:hint="eastAsia" w:asciiTheme="minorEastAsia" w:hAnsiTheme="minorEastAsia" w:eastAsiaTheme="minorEastAsia" w:cstheme="minorEastAsia"/>
          <w:sz w:val="24"/>
          <w:szCs w:val="24"/>
          <w:highlight w:val="none"/>
        </w:rPr>
        <w:t>要求提供加盖公章并编列序号的合同列表清单，内容包含</w:t>
      </w:r>
      <w:r>
        <w:rPr>
          <w:rFonts w:hint="eastAsia" w:asciiTheme="minorEastAsia" w:hAnsiTheme="minorEastAsia" w:eastAsiaTheme="minorEastAsia" w:cstheme="minorEastAsia"/>
          <w:sz w:val="24"/>
          <w:szCs w:val="24"/>
          <w:highlight w:val="none"/>
          <w:lang w:val="en-US" w:eastAsia="zh-CN"/>
        </w:rPr>
        <w:t>服务单位名称、主要商品</w:t>
      </w:r>
      <w:r>
        <w:rPr>
          <w:rFonts w:hint="eastAsia" w:asciiTheme="minorEastAsia" w:hAnsiTheme="minorEastAsia" w:eastAsiaTheme="minorEastAsia" w:cstheme="minorEastAsia"/>
          <w:sz w:val="24"/>
          <w:szCs w:val="24"/>
          <w:highlight w:val="none"/>
        </w:rPr>
        <w:t>名称、免征税证明号、进口放行日期和进口商品金额等信息</w:t>
      </w:r>
      <w:r>
        <w:rPr>
          <w:rFonts w:hint="eastAsia" w:asciiTheme="minorEastAsia" w:hAnsiTheme="minorEastAsia" w:eastAsiaTheme="minorEastAsia" w:cstheme="minorEastAsia"/>
          <w:sz w:val="24"/>
          <w:szCs w:val="24"/>
          <w:highlight w:val="none"/>
          <w:lang w:eastAsia="zh-CN"/>
        </w:rPr>
        <w:t>。</w:t>
      </w:r>
    </w:p>
    <w:p>
      <w:pPr>
        <w:keepNext w:val="0"/>
        <w:keepLines w:val="0"/>
        <w:pageBreakBefore w:val="0"/>
        <w:kinsoku/>
        <w:wordWrap/>
        <w:overflowPunct/>
        <w:topLinePunct w:val="0"/>
        <w:autoSpaceDE/>
        <w:autoSpaceDN/>
        <w:bidi w:val="0"/>
        <w:spacing w:beforeAutospacing="0" w:afterAutospacing="0"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合同总额</w:t>
      </w:r>
      <w:r>
        <w:rPr>
          <w:rFonts w:hint="eastAsia" w:asciiTheme="minorEastAsia" w:hAnsiTheme="minorEastAsia" w:eastAsiaTheme="minorEastAsia" w:cstheme="minorEastAsia"/>
          <w:sz w:val="24"/>
          <w:szCs w:val="24"/>
          <w:highlight w:val="none"/>
          <w:lang w:val="en-US" w:eastAsia="zh-CN"/>
        </w:rPr>
        <w:t>1500</w:t>
      </w:r>
      <w:r>
        <w:rPr>
          <w:rFonts w:hint="eastAsia" w:asciiTheme="minorEastAsia" w:hAnsiTheme="minorEastAsia" w:eastAsiaTheme="minorEastAsia" w:cstheme="minorEastAsia"/>
          <w:sz w:val="24"/>
          <w:szCs w:val="24"/>
          <w:highlight w:val="none"/>
        </w:rPr>
        <w:t>万美</w:t>
      </w:r>
      <w:r>
        <w:rPr>
          <w:rFonts w:hint="eastAsia" w:asciiTheme="minorEastAsia" w:hAnsiTheme="minorEastAsia" w:eastAsiaTheme="minorEastAsia" w:cstheme="minorEastAsia"/>
          <w:sz w:val="24"/>
          <w:szCs w:val="24"/>
          <w:highlight w:val="none"/>
          <w:lang w:val="en-US" w:eastAsia="zh-CN"/>
        </w:rPr>
        <w:t>元</w:t>
      </w:r>
      <w:r>
        <w:rPr>
          <w:rFonts w:hint="eastAsia" w:asciiTheme="minorEastAsia" w:hAnsiTheme="minorEastAsia" w:eastAsiaTheme="minorEastAsia" w:cstheme="minorEastAsia"/>
          <w:sz w:val="24"/>
          <w:szCs w:val="24"/>
          <w:highlight w:val="none"/>
        </w:rPr>
        <w:t>（不含）以上：4分</w:t>
      </w:r>
    </w:p>
    <w:p>
      <w:pPr>
        <w:keepNext w:val="0"/>
        <w:keepLines w:val="0"/>
        <w:pageBreakBefore w:val="0"/>
        <w:kinsoku/>
        <w:wordWrap/>
        <w:overflowPunct/>
        <w:topLinePunct w:val="0"/>
        <w:autoSpaceDE/>
        <w:autoSpaceDN/>
        <w:bidi w:val="0"/>
        <w:spacing w:beforeAutospacing="0" w:afterAutospacing="0"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合同总额</w:t>
      </w:r>
      <w:r>
        <w:rPr>
          <w:rFonts w:hint="eastAsia" w:asciiTheme="minorEastAsia" w:hAnsiTheme="minorEastAsia" w:eastAsiaTheme="minorEastAsia" w:cstheme="minorEastAsia"/>
          <w:sz w:val="24"/>
          <w:szCs w:val="24"/>
          <w:highlight w:val="none"/>
          <w:lang w:val="en-US" w:eastAsia="zh-CN"/>
        </w:rPr>
        <w:t>1500</w:t>
      </w:r>
      <w:r>
        <w:rPr>
          <w:rFonts w:hint="eastAsia" w:asciiTheme="minorEastAsia" w:hAnsiTheme="minorEastAsia" w:eastAsiaTheme="minorEastAsia" w:cstheme="minorEastAsia"/>
          <w:sz w:val="24"/>
          <w:szCs w:val="24"/>
          <w:highlight w:val="none"/>
        </w:rPr>
        <w:t>万-</w:t>
      </w:r>
      <w:r>
        <w:rPr>
          <w:rFonts w:hint="eastAsia" w:asciiTheme="minorEastAsia" w:hAnsiTheme="minorEastAsia" w:eastAsiaTheme="minorEastAsia" w:cstheme="minorEastAsia"/>
          <w:sz w:val="24"/>
          <w:szCs w:val="24"/>
          <w:highlight w:val="none"/>
          <w:lang w:val="en-US" w:eastAsia="zh-CN"/>
        </w:rPr>
        <w:t>10</w:t>
      </w:r>
      <w:r>
        <w:rPr>
          <w:rFonts w:hint="eastAsia" w:asciiTheme="minorEastAsia" w:hAnsiTheme="minorEastAsia" w:eastAsiaTheme="minorEastAsia" w:cstheme="minorEastAsia"/>
          <w:sz w:val="24"/>
          <w:szCs w:val="24"/>
          <w:highlight w:val="none"/>
        </w:rPr>
        <w:t>00万美</w:t>
      </w:r>
      <w:r>
        <w:rPr>
          <w:rFonts w:hint="eastAsia" w:asciiTheme="minorEastAsia" w:hAnsiTheme="minorEastAsia" w:eastAsiaTheme="minorEastAsia" w:cstheme="minorEastAsia"/>
          <w:sz w:val="24"/>
          <w:szCs w:val="24"/>
          <w:highlight w:val="none"/>
          <w:lang w:val="en-US" w:eastAsia="zh-CN"/>
        </w:rPr>
        <w:t>元</w:t>
      </w:r>
      <w:r>
        <w:rPr>
          <w:rFonts w:hint="eastAsia" w:asciiTheme="minorEastAsia" w:hAnsiTheme="minorEastAsia" w:eastAsiaTheme="minorEastAsia" w:cstheme="minorEastAsia"/>
          <w:sz w:val="24"/>
          <w:szCs w:val="24"/>
          <w:highlight w:val="none"/>
        </w:rPr>
        <w:t>（不含）：3分</w:t>
      </w:r>
    </w:p>
    <w:p>
      <w:pPr>
        <w:keepNext w:val="0"/>
        <w:keepLines w:val="0"/>
        <w:pageBreakBefore w:val="0"/>
        <w:kinsoku/>
        <w:wordWrap/>
        <w:overflowPunct/>
        <w:topLinePunct w:val="0"/>
        <w:autoSpaceDE/>
        <w:autoSpaceDN/>
        <w:bidi w:val="0"/>
        <w:spacing w:beforeAutospacing="0" w:afterAutospacing="0"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合同总额</w:t>
      </w:r>
      <w:r>
        <w:rPr>
          <w:rFonts w:hint="eastAsia" w:asciiTheme="minorEastAsia" w:hAnsiTheme="minorEastAsia" w:eastAsiaTheme="minorEastAsia" w:cstheme="minorEastAsia"/>
          <w:sz w:val="24"/>
          <w:szCs w:val="24"/>
          <w:highlight w:val="none"/>
          <w:lang w:val="en-US" w:eastAsia="zh-CN"/>
        </w:rPr>
        <w:t>10</w:t>
      </w:r>
      <w:r>
        <w:rPr>
          <w:rFonts w:hint="eastAsia" w:asciiTheme="minorEastAsia" w:hAnsiTheme="minorEastAsia" w:eastAsiaTheme="minorEastAsia" w:cstheme="minorEastAsia"/>
          <w:sz w:val="24"/>
          <w:szCs w:val="24"/>
          <w:highlight w:val="none"/>
        </w:rPr>
        <w:t>00万-</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0</w:t>
      </w:r>
      <w:r>
        <w:rPr>
          <w:rFonts w:hint="eastAsia" w:asciiTheme="minorEastAsia" w:hAnsiTheme="minorEastAsia" w:eastAsiaTheme="minorEastAsia" w:cstheme="minorEastAsia"/>
          <w:sz w:val="24"/>
          <w:szCs w:val="24"/>
          <w:highlight w:val="none"/>
          <w:lang w:val="en-US" w:eastAsia="zh-CN"/>
        </w:rPr>
        <w:t>0</w:t>
      </w:r>
      <w:r>
        <w:rPr>
          <w:rFonts w:hint="eastAsia" w:asciiTheme="minorEastAsia" w:hAnsiTheme="minorEastAsia" w:eastAsiaTheme="minorEastAsia" w:cstheme="minorEastAsia"/>
          <w:sz w:val="24"/>
          <w:szCs w:val="24"/>
          <w:highlight w:val="none"/>
        </w:rPr>
        <w:t>万美</w:t>
      </w:r>
      <w:r>
        <w:rPr>
          <w:rFonts w:hint="eastAsia" w:asciiTheme="minorEastAsia" w:hAnsiTheme="minorEastAsia" w:eastAsiaTheme="minorEastAsia" w:cstheme="minorEastAsia"/>
          <w:sz w:val="24"/>
          <w:szCs w:val="24"/>
          <w:highlight w:val="none"/>
          <w:lang w:val="en-US" w:eastAsia="zh-CN"/>
        </w:rPr>
        <w:t>元</w:t>
      </w:r>
      <w:r>
        <w:rPr>
          <w:rFonts w:hint="eastAsia" w:asciiTheme="minorEastAsia" w:hAnsiTheme="minorEastAsia" w:eastAsiaTheme="minorEastAsia" w:cstheme="minorEastAsia"/>
          <w:sz w:val="24"/>
          <w:szCs w:val="24"/>
          <w:highlight w:val="none"/>
        </w:rPr>
        <w:t>（不含）：2分</w:t>
      </w:r>
    </w:p>
    <w:p>
      <w:pPr>
        <w:keepNext w:val="0"/>
        <w:keepLines w:val="0"/>
        <w:pageBreakBefore w:val="0"/>
        <w:numPr>
          <w:ilvl w:val="0"/>
          <w:numId w:val="0"/>
        </w:numPr>
        <w:kinsoku/>
        <w:wordWrap/>
        <w:overflowPunct/>
        <w:topLinePunct w:val="0"/>
        <w:autoSpaceDE/>
        <w:autoSpaceDN/>
        <w:bidi w:val="0"/>
        <w:spacing w:beforeAutospacing="0" w:afterAutospacing="0" w:line="360" w:lineRule="auto"/>
        <w:ind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合同总额</w:t>
      </w:r>
      <w:r>
        <w:rPr>
          <w:rFonts w:hint="eastAsia" w:asciiTheme="minorEastAsia" w:hAnsiTheme="minorEastAsia" w:eastAsiaTheme="minorEastAsia" w:cstheme="minorEastAsia"/>
          <w:sz w:val="24"/>
          <w:szCs w:val="24"/>
          <w:highlight w:val="none"/>
          <w:lang w:val="en-US" w:eastAsia="zh-CN"/>
        </w:rPr>
        <w:t>500</w:t>
      </w:r>
      <w:r>
        <w:rPr>
          <w:rFonts w:hint="eastAsia" w:asciiTheme="minorEastAsia" w:hAnsiTheme="minorEastAsia" w:eastAsiaTheme="minorEastAsia" w:cstheme="minorEastAsia"/>
          <w:sz w:val="24"/>
          <w:szCs w:val="24"/>
          <w:highlight w:val="none"/>
        </w:rPr>
        <w:t>万美</w:t>
      </w:r>
      <w:r>
        <w:rPr>
          <w:rFonts w:hint="eastAsia" w:asciiTheme="minorEastAsia" w:hAnsiTheme="minorEastAsia" w:eastAsiaTheme="minorEastAsia" w:cstheme="minorEastAsia"/>
          <w:sz w:val="24"/>
          <w:szCs w:val="24"/>
          <w:highlight w:val="none"/>
          <w:lang w:val="en-US" w:eastAsia="zh-CN"/>
        </w:rPr>
        <w:t>元及</w:t>
      </w:r>
      <w:r>
        <w:rPr>
          <w:rFonts w:hint="eastAsia" w:asciiTheme="minorEastAsia" w:hAnsiTheme="minorEastAsia" w:eastAsiaTheme="minorEastAsia" w:cstheme="minorEastAsia"/>
          <w:sz w:val="24"/>
          <w:szCs w:val="24"/>
          <w:highlight w:val="none"/>
        </w:rPr>
        <w:t>以下：1分</w:t>
      </w:r>
    </w:p>
    <w:p>
      <w:pPr>
        <w:keepNext w:val="0"/>
        <w:keepLines w:val="0"/>
        <w:pageBreakBefore w:val="0"/>
        <w:kinsoku/>
        <w:wordWrap/>
        <w:overflowPunct/>
        <w:topLinePunct w:val="0"/>
        <w:autoSpaceDE/>
        <w:autoSpaceDN/>
        <w:bidi w:val="0"/>
        <w:spacing w:beforeAutospacing="0" w:afterAutospacing="0" w:line="360" w:lineRule="auto"/>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2、2017-</w:t>
      </w:r>
      <w:r>
        <w:rPr>
          <w:rFonts w:hint="eastAsia" w:asciiTheme="minorEastAsia" w:hAnsiTheme="minorEastAsia" w:eastAsiaTheme="minorEastAsia" w:cstheme="minorEastAsia"/>
          <w:sz w:val="24"/>
          <w:szCs w:val="24"/>
          <w:highlight w:val="none"/>
        </w:rPr>
        <w:t>2019年外贸代理合同总数量（</w:t>
      </w:r>
      <w:r>
        <w:rPr>
          <w:rFonts w:hint="eastAsia" w:asciiTheme="minorEastAsia" w:hAnsiTheme="minorEastAsia" w:eastAsiaTheme="minorEastAsia" w:cstheme="minorEastAsia"/>
          <w:sz w:val="24"/>
          <w:szCs w:val="24"/>
          <w:highlight w:val="none"/>
        </w:rPr>
        <w:t>要求</w:t>
      </w:r>
      <w:r>
        <w:rPr>
          <w:rFonts w:hint="eastAsia" w:asciiTheme="minorEastAsia" w:hAnsiTheme="minorEastAsia" w:eastAsiaTheme="minorEastAsia" w:cstheme="minorEastAsia"/>
          <w:sz w:val="24"/>
          <w:szCs w:val="24"/>
          <w:highlight w:val="none"/>
          <w:lang w:val="en-US" w:eastAsia="zh-CN"/>
        </w:rPr>
        <w:t>同上一项；</w:t>
      </w:r>
      <w:r>
        <w:rPr>
          <w:rFonts w:hint="eastAsia" w:asciiTheme="minorEastAsia" w:hAnsiTheme="minorEastAsia" w:eastAsiaTheme="minorEastAsia" w:cstheme="minorEastAsia"/>
          <w:sz w:val="24"/>
          <w:szCs w:val="24"/>
          <w:highlight w:val="none"/>
        </w:rPr>
        <w:t>可以与上一项提供相同的列表清单）</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4分）</w:t>
      </w:r>
    </w:p>
    <w:p>
      <w:pPr>
        <w:keepNext w:val="0"/>
        <w:keepLines w:val="0"/>
        <w:pageBreakBefore w:val="0"/>
        <w:kinsoku/>
        <w:wordWrap/>
        <w:overflowPunct/>
        <w:topLinePunct w:val="0"/>
        <w:autoSpaceDE/>
        <w:autoSpaceDN/>
        <w:bidi w:val="0"/>
        <w:spacing w:beforeAutospacing="0" w:afterAutospacing="0"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合同总数200个</w:t>
      </w:r>
      <w:r>
        <w:rPr>
          <w:rFonts w:hint="eastAsia" w:asciiTheme="minorEastAsia" w:hAnsiTheme="minorEastAsia" w:eastAsiaTheme="minorEastAsia" w:cstheme="minorEastAsia"/>
          <w:sz w:val="24"/>
          <w:szCs w:val="24"/>
          <w:highlight w:val="none"/>
          <w:lang w:val="en-US" w:eastAsia="zh-CN"/>
        </w:rPr>
        <w:t>及</w:t>
      </w:r>
      <w:r>
        <w:rPr>
          <w:rFonts w:hint="eastAsia" w:asciiTheme="minorEastAsia" w:hAnsiTheme="minorEastAsia" w:eastAsiaTheme="minorEastAsia" w:cstheme="minorEastAsia"/>
          <w:sz w:val="24"/>
          <w:szCs w:val="24"/>
          <w:highlight w:val="none"/>
        </w:rPr>
        <w:t>以上：4分</w:t>
      </w:r>
    </w:p>
    <w:p>
      <w:pPr>
        <w:keepNext w:val="0"/>
        <w:keepLines w:val="0"/>
        <w:pageBreakBefore w:val="0"/>
        <w:kinsoku/>
        <w:wordWrap/>
        <w:overflowPunct/>
        <w:topLinePunct w:val="0"/>
        <w:autoSpaceDE/>
        <w:autoSpaceDN/>
        <w:bidi w:val="0"/>
        <w:spacing w:beforeAutospacing="0" w:afterAutospacing="0"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合同总数100-199个：3分</w:t>
      </w:r>
    </w:p>
    <w:p>
      <w:pPr>
        <w:keepNext w:val="0"/>
        <w:keepLines w:val="0"/>
        <w:pageBreakBefore w:val="0"/>
        <w:kinsoku/>
        <w:wordWrap/>
        <w:overflowPunct/>
        <w:topLinePunct w:val="0"/>
        <w:autoSpaceDE/>
        <w:autoSpaceDN/>
        <w:bidi w:val="0"/>
        <w:spacing w:beforeAutospacing="0" w:afterAutospacing="0"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合同总数50-99个：2分</w:t>
      </w:r>
    </w:p>
    <w:p>
      <w:pPr>
        <w:keepNext w:val="0"/>
        <w:keepLines w:val="0"/>
        <w:pageBreakBefore w:val="0"/>
        <w:numPr>
          <w:ilvl w:val="0"/>
          <w:numId w:val="0"/>
        </w:numPr>
        <w:kinsoku/>
        <w:wordWrap/>
        <w:overflowPunct/>
        <w:topLinePunct w:val="0"/>
        <w:autoSpaceDE/>
        <w:autoSpaceDN/>
        <w:bidi w:val="0"/>
        <w:spacing w:beforeAutospacing="0" w:afterAutospacing="0" w:line="360" w:lineRule="auto"/>
        <w:ind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合同总数50个</w:t>
      </w:r>
      <w:r>
        <w:rPr>
          <w:rFonts w:hint="eastAsia" w:asciiTheme="minorEastAsia" w:hAnsiTheme="minorEastAsia" w:eastAsiaTheme="minorEastAsia" w:cstheme="minorEastAsia"/>
          <w:sz w:val="24"/>
          <w:szCs w:val="24"/>
          <w:highlight w:val="none"/>
          <w:lang w:val="en-US" w:eastAsia="zh-CN"/>
        </w:rPr>
        <w:t>及</w:t>
      </w:r>
      <w:r>
        <w:rPr>
          <w:rFonts w:hint="eastAsia" w:asciiTheme="minorEastAsia" w:hAnsiTheme="minorEastAsia" w:eastAsiaTheme="minorEastAsia" w:cstheme="minorEastAsia"/>
          <w:sz w:val="24"/>
          <w:szCs w:val="24"/>
          <w:highlight w:val="none"/>
        </w:rPr>
        <w:t>以下：1分</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七、投标文件质量（2分）</w:t>
      </w:r>
    </w:p>
    <w:p>
      <w:pPr>
        <w:keepNext w:val="0"/>
        <w:keepLines w:val="0"/>
        <w:pageBreakBefore w:val="0"/>
        <w:numPr>
          <w:ilvl w:val="0"/>
          <w:numId w:val="0"/>
        </w:numPr>
        <w:kinsoku/>
        <w:wordWrap/>
        <w:overflowPunct/>
        <w:topLinePunct w:val="0"/>
        <w:autoSpaceDE/>
        <w:autoSpaceDN/>
        <w:bidi w:val="0"/>
        <w:spacing w:beforeAutospacing="0" w:afterAutospacing="0" w:line="360" w:lineRule="auto"/>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根据投标文件的规范性、完整性等情况综合评定。</w:t>
      </w:r>
    </w:p>
    <w:p>
      <w:pPr>
        <w:pStyle w:val="2"/>
        <w:ind w:left="0" w:leftChars="0" w:firstLine="0" w:firstLineChars="0"/>
        <w:rPr>
          <w:rFonts w:hint="eastAsia" w:asciiTheme="minorEastAsia" w:hAnsiTheme="minorEastAsia" w:eastAsiaTheme="minorEastAsia" w:cstheme="minorEastAsia"/>
          <w:sz w:val="24"/>
          <w:szCs w:val="24"/>
          <w:highlight w:val="none"/>
          <w:lang w:val="en-US" w:eastAsia="zh-CN"/>
        </w:rPr>
      </w:pPr>
    </w:p>
    <w:p>
      <w:pPr>
        <w:pStyle w:val="2"/>
        <w:spacing w:line="360" w:lineRule="auto"/>
        <w:ind w:left="0" w:leftChars="0" w:right="-46" w:rightChars="-22" w:firstLine="482" w:firstLineChars="200"/>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备注：</w:t>
      </w:r>
      <w:r>
        <w:rPr>
          <w:rFonts w:hint="eastAsia" w:asciiTheme="minorEastAsia" w:hAnsiTheme="minorEastAsia" w:eastAsiaTheme="minorEastAsia" w:cstheme="minorEastAsia"/>
          <w:sz w:val="24"/>
          <w:szCs w:val="24"/>
          <w:highlight w:val="none"/>
          <w:lang w:val="en-US" w:eastAsia="zh-CN"/>
        </w:rPr>
        <w:t>以上所有资料和数据必须真实。如投标人存在造假行为，经核实后，学校将终止投标人中标资格，并将其列入招投标诚信“黑名单”。</w:t>
      </w:r>
    </w:p>
    <w:p>
      <w:pPr>
        <w:pStyle w:val="2"/>
        <w:ind w:left="0" w:leftChars="0" w:firstLine="0" w:firstLineChars="0"/>
        <w:rPr>
          <w:rFonts w:hint="eastAsia" w:asciiTheme="minorEastAsia" w:hAnsiTheme="minorEastAsia" w:eastAsiaTheme="minorEastAsia" w:cstheme="minorEastAsia"/>
          <w:sz w:val="24"/>
          <w:szCs w:val="24"/>
          <w:highlight w:val="none"/>
          <w:lang w:val="en-US" w:eastAsia="zh-CN"/>
        </w:rPr>
      </w:pPr>
    </w:p>
    <w:p>
      <w:pP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br w:type="page"/>
      </w:r>
    </w:p>
    <w:p>
      <w:pPr>
        <w:adjustRightInd w:val="0"/>
        <w:snapToGrid w:val="0"/>
        <w:spacing w:line="360" w:lineRule="auto"/>
        <w:jc w:val="both"/>
        <w:outlineLvl w:val="0"/>
        <w:rPr>
          <w:rFonts w:hint="default" w:ascii="宋体" w:hAnsi="宋体" w:eastAsia="宋体" w:cs="Times New Roman"/>
          <w:b/>
          <w:bCs/>
          <w:kern w:val="2"/>
          <w:sz w:val="28"/>
          <w:szCs w:val="28"/>
          <w:highlight w:val="none"/>
          <w:lang w:val="en-US" w:eastAsia="zh-CN" w:bidi="ar-SA"/>
        </w:rPr>
      </w:pPr>
      <w:bookmarkStart w:id="8" w:name="_Toc43452204"/>
      <w:r>
        <w:rPr>
          <w:rFonts w:hint="eastAsia" w:ascii="宋体" w:hAnsi="宋体" w:eastAsia="宋体" w:cs="Times New Roman"/>
          <w:b/>
          <w:bCs/>
          <w:kern w:val="2"/>
          <w:sz w:val="28"/>
          <w:szCs w:val="28"/>
          <w:highlight w:val="none"/>
          <w:lang w:val="en-US" w:eastAsia="zh-CN" w:bidi="ar-SA"/>
        </w:rPr>
        <w:t>附件5  合同</w:t>
      </w:r>
      <w:bookmarkEnd w:id="8"/>
      <w:r>
        <w:rPr>
          <w:rFonts w:hint="eastAsia" w:ascii="宋体" w:hAnsi="宋体" w:eastAsia="宋体" w:cs="Times New Roman"/>
          <w:b/>
          <w:bCs/>
          <w:kern w:val="2"/>
          <w:sz w:val="28"/>
          <w:szCs w:val="28"/>
          <w:highlight w:val="none"/>
          <w:lang w:val="en-US" w:eastAsia="zh-CN" w:bidi="ar-SA"/>
        </w:rPr>
        <w:t>参考样本</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eastAsia" w:ascii="宋体" w:hAnsi="宋体" w:eastAsia="宋体" w:cs="Times New Roman"/>
          <w:b/>
          <w:bCs/>
          <w:kern w:val="2"/>
          <w:sz w:val="32"/>
          <w:szCs w:val="32"/>
          <w:highlight w:val="none"/>
          <w:lang w:val="en-US" w:eastAsia="zh-CN" w:bidi="ar-SA"/>
        </w:rPr>
      </w:pPr>
      <w:r>
        <w:rPr>
          <w:rFonts w:hint="eastAsia" w:ascii="宋体" w:hAnsi="宋体" w:eastAsia="宋体" w:cs="Times New Roman"/>
          <w:b/>
          <w:bCs/>
          <w:kern w:val="2"/>
          <w:sz w:val="32"/>
          <w:szCs w:val="32"/>
          <w:highlight w:val="none"/>
          <w:lang w:val="en-US" w:eastAsia="zh-CN" w:bidi="ar-SA"/>
        </w:rPr>
        <w:t>南京信息工程大学进口设备外贸代理服务协议</w:t>
      </w:r>
    </w:p>
    <w:p>
      <w:pPr>
        <w:keepNext w:val="0"/>
        <w:keepLines w:val="0"/>
        <w:pageBreakBefore w:val="0"/>
        <w:kinsoku/>
        <w:wordWrap/>
        <w:overflowPunct/>
        <w:topLinePunct w:val="0"/>
        <w:autoSpaceDE/>
        <w:autoSpaceDN/>
        <w:bidi w:val="0"/>
        <w:snapToGrid w:val="0"/>
        <w:spacing w:before="157" w:beforeLines="50" w:after="157" w:afterLines="50" w:line="360" w:lineRule="auto"/>
        <w:jc w:val="left"/>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 xml:space="preserve">甲方（委托方）：南京信息工程大学                    </w:t>
      </w:r>
    </w:p>
    <w:p>
      <w:pPr>
        <w:keepNext w:val="0"/>
        <w:keepLines w:val="0"/>
        <w:pageBreakBefore w:val="0"/>
        <w:kinsoku/>
        <w:wordWrap/>
        <w:overflowPunct/>
        <w:topLinePunct w:val="0"/>
        <w:autoSpaceDE/>
        <w:autoSpaceDN/>
        <w:bidi w:val="0"/>
        <w:snapToGrid w:val="0"/>
        <w:spacing w:before="157" w:beforeLines="50" w:after="157" w:afterLines="50" w:line="360" w:lineRule="auto"/>
        <w:jc w:val="left"/>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 xml:space="preserve">乙方（受托方）：                                </w:t>
      </w:r>
    </w:p>
    <w:p>
      <w:pPr>
        <w:keepNext w:val="0"/>
        <w:keepLines w:val="0"/>
        <w:pageBreakBefore w:val="0"/>
        <w:kinsoku/>
        <w:wordWrap/>
        <w:overflowPunct/>
        <w:topLinePunct w:val="0"/>
        <w:autoSpaceDE/>
        <w:autoSpaceDN/>
        <w:bidi w:val="0"/>
        <w:snapToGrid w:val="0"/>
        <w:spacing w:before="157" w:beforeLines="50" w:after="157" w:afterLines="50" w:line="360" w:lineRule="auto"/>
        <w:ind w:firstLine="555"/>
        <w:jc w:val="left"/>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根据《中华人民共和国合同法》和《中华人民共和国对外贸易法》的有关规定，甲、乙双方就甲方委托乙方进口设备外贸代理服务事宜，经友好协商，达成如下协议。</w:t>
      </w:r>
    </w:p>
    <w:p>
      <w:pPr>
        <w:keepNext w:val="0"/>
        <w:keepLines w:val="0"/>
        <w:pageBreakBefore w:val="0"/>
        <w:numPr>
          <w:ilvl w:val="0"/>
          <w:numId w:val="5"/>
        </w:numPr>
        <w:kinsoku/>
        <w:wordWrap/>
        <w:overflowPunct/>
        <w:topLinePunct w:val="0"/>
        <w:autoSpaceDE/>
        <w:autoSpaceDN/>
        <w:bidi w:val="0"/>
        <w:adjustRightInd w:val="0"/>
        <w:snapToGrid w:val="0"/>
        <w:spacing w:before="157" w:beforeLines="50" w:after="157" w:afterLines="50" w:line="360" w:lineRule="auto"/>
        <w:jc w:val="left"/>
        <w:rPr>
          <w:rFonts w:hint="eastAsia" w:ascii="宋体" w:hAnsi="宋体" w:eastAsia="宋体" w:cs="Times New Roman"/>
          <w:b/>
          <w:bCs/>
          <w:kern w:val="2"/>
          <w:sz w:val="24"/>
          <w:szCs w:val="24"/>
          <w:highlight w:val="none"/>
          <w:lang w:val="en-US" w:eastAsia="zh-CN" w:bidi="ar-SA"/>
        </w:rPr>
      </w:pPr>
      <w:r>
        <w:rPr>
          <w:rFonts w:hint="eastAsia" w:ascii="宋体" w:hAnsi="宋体" w:eastAsia="宋体" w:cs="Times New Roman"/>
          <w:b/>
          <w:bCs/>
          <w:kern w:val="2"/>
          <w:sz w:val="24"/>
          <w:szCs w:val="24"/>
          <w:highlight w:val="none"/>
          <w:lang w:val="en-US" w:eastAsia="zh-CN" w:bidi="ar-SA"/>
        </w:rPr>
        <w:t>协议期限</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三年（2021年1月-2023年12月），代理合同一年一签。</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highlight w:val="none"/>
          <w:lang w:val="en-US" w:eastAsia="zh-CN"/>
        </w:rPr>
      </w:pPr>
      <w:r>
        <w:rPr>
          <w:rFonts w:hint="eastAsia" w:ascii="宋体" w:hAnsi="宋体" w:eastAsia="宋体" w:cs="Times New Roman"/>
          <w:kern w:val="2"/>
          <w:sz w:val="24"/>
          <w:szCs w:val="24"/>
          <w:highlight w:val="none"/>
          <w:lang w:val="en-US" w:eastAsia="zh-CN" w:bidi="ar-SA"/>
        </w:rPr>
        <w:t>根据中标的外贸代理商年度服务情况实行年度考核，年度考核合格的续签下一年度的外贸代理合同；对考核不合格的代理商，学校有权终止双方外贸代理合同。</w:t>
      </w:r>
    </w:p>
    <w:p>
      <w:pPr>
        <w:keepNext w:val="0"/>
        <w:keepLines w:val="0"/>
        <w:pageBreakBefore w:val="0"/>
        <w:numPr>
          <w:ilvl w:val="0"/>
          <w:numId w:val="0"/>
        </w:numPr>
        <w:kinsoku/>
        <w:wordWrap/>
        <w:overflowPunct/>
        <w:topLinePunct w:val="0"/>
        <w:autoSpaceDE/>
        <w:autoSpaceDN/>
        <w:bidi w:val="0"/>
        <w:adjustRightInd w:val="0"/>
        <w:snapToGrid w:val="0"/>
        <w:spacing w:before="157" w:beforeLines="50" w:after="157" w:afterLines="50" w:line="360" w:lineRule="auto"/>
        <w:ind w:leftChars="0"/>
        <w:jc w:val="left"/>
        <w:textAlignment w:val="baseline"/>
        <w:rPr>
          <w:rFonts w:hint="eastAsia" w:ascii="宋体" w:hAnsi="宋体" w:eastAsia="宋体" w:cs="Times New Roman"/>
          <w:b/>
          <w:bCs/>
          <w:kern w:val="2"/>
          <w:sz w:val="24"/>
          <w:szCs w:val="24"/>
          <w:highlight w:val="none"/>
          <w:lang w:val="en-US" w:eastAsia="zh-CN" w:bidi="ar-SA"/>
        </w:rPr>
      </w:pPr>
      <w:r>
        <w:rPr>
          <w:rFonts w:hint="eastAsia" w:ascii="宋体" w:hAnsi="宋体" w:eastAsia="宋体" w:cs="Times New Roman"/>
          <w:b/>
          <w:bCs/>
          <w:kern w:val="2"/>
          <w:sz w:val="24"/>
          <w:szCs w:val="24"/>
          <w:highlight w:val="none"/>
          <w:lang w:val="en-US" w:eastAsia="zh-CN" w:bidi="ar-SA"/>
        </w:rPr>
        <w:t>二、甲方责任及义务</w:t>
      </w:r>
    </w:p>
    <w:p>
      <w:pPr>
        <w:keepNext w:val="0"/>
        <w:keepLines w:val="0"/>
        <w:pageBreakBefore w:val="0"/>
        <w:widowControl w:val="0"/>
        <w:numPr>
          <w:ilvl w:val="1"/>
          <w:numId w:val="6"/>
        </w:numPr>
        <w:tabs>
          <w:tab w:val="left" w:pos="540"/>
          <w:tab w:val="clear" w:pos="1140"/>
        </w:tabs>
        <w:kinsoku/>
        <w:wordWrap/>
        <w:overflowPunct/>
        <w:topLinePunct w:val="0"/>
        <w:autoSpaceDE/>
        <w:autoSpaceDN/>
        <w:bidi w:val="0"/>
        <w:adjustRightInd w:val="0"/>
        <w:snapToGrid w:val="0"/>
        <w:spacing w:line="360" w:lineRule="auto"/>
        <w:ind w:left="544" w:hanging="181"/>
        <w:jc w:val="left"/>
        <w:textAlignment w:val="baseline"/>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负责及时向乙方提供最终确认的进口设备配置清单、价格、供应商和付款方式等信息，以便乙方办理进口设备的审批手续和进口报关的准备工作。</w:t>
      </w:r>
    </w:p>
    <w:p>
      <w:pPr>
        <w:keepNext w:val="0"/>
        <w:keepLines w:val="0"/>
        <w:pageBreakBefore w:val="0"/>
        <w:widowControl w:val="0"/>
        <w:numPr>
          <w:ilvl w:val="1"/>
          <w:numId w:val="6"/>
        </w:numPr>
        <w:tabs>
          <w:tab w:val="left" w:pos="540"/>
          <w:tab w:val="clear" w:pos="1140"/>
        </w:tabs>
        <w:kinsoku/>
        <w:wordWrap/>
        <w:overflowPunct/>
        <w:topLinePunct w:val="0"/>
        <w:autoSpaceDE/>
        <w:autoSpaceDN/>
        <w:bidi w:val="0"/>
        <w:adjustRightInd w:val="0"/>
        <w:snapToGrid w:val="0"/>
        <w:spacing w:line="360" w:lineRule="auto"/>
        <w:ind w:left="544" w:hanging="181"/>
        <w:jc w:val="left"/>
        <w:textAlignment w:val="baseline"/>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向乙方及时提供办理进口手续所需的材料。</w:t>
      </w:r>
    </w:p>
    <w:p>
      <w:pPr>
        <w:keepNext w:val="0"/>
        <w:keepLines w:val="0"/>
        <w:pageBreakBefore w:val="0"/>
        <w:widowControl w:val="0"/>
        <w:numPr>
          <w:ilvl w:val="1"/>
          <w:numId w:val="6"/>
        </w:numPr>
        <w:tabs>
          <w:tab w:val="left" w:pos="540"/>
          <w:tab w:val="clear" w:pos="1140"/>
        </w:tabs>
        <w:kinsoku/>
        <w:wordWrap/>
        <w:overflowPunct/>
        <w:topLinePunct w:val="0"/>
        <w:autoSpaceDE/>
        <w:autoSpaceDN/>
        <w:bidi w:val="0"/>
        <w:adjustRightInd w:val="0"/>
        <w:snapToGrid w:val="0"/>
        <w:spacing w:line="360" w:lineRule="auto"/>
        <w:ind w:left="544" w:hanging="181"/>
        <w:jc w:val="left"/>
        <w:textAlignment w:val="baseline"/>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设备抵达使用方安装、验收合格后，甲方应及时组织验收。</w:t>
      </w:r>
    </w:p>
    <w:p>
      <w:pPr>
        <w:keepNext w:val="0"/>
        <w:keepLines w:val="0"/>
        <w:pageBreakBefore w:val="0"/>
        <w:widowControl w:val="0"/>
        <w:numPr>
          <w:ilvl w:val="1"/>
          <w:numId w:val="6"/>
        </w:numPr>
        <w:tabs>
          <w:tab w:val="left" w:pos="540"/>
          <w:tab w:val="clear" w:pos="1140"/>
        </w:tabs>
        <w:kinsoku/>
        <w:wordWrap/>
        <w:overflowPunct/>
        <w:topLinePunct w:val="0"/>
        <w:autoSpaceDE/>
        <w:autoSpaceDN/>
        <w:bidi w:val="0"/>
        <w:adjustRightInd w:val="0"/>
        <w:snapToGrid w:val="0"/>
        <w:spacing w:line="360" w:lineRule="auto"/>
        <w:ind w:left="544" w:hanging="181"/>
        <w:jc w:val="left"/>
        <w:textAlignment w:val="baseline"/>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按照进口设备具体合同约定，及时将货款及代理费汇入乙方账户。</w:t>
      </w:r>
    </w:p>
    <w:p>
      <w:pPr>
        <w:keepNext w:val="0"/>
        <w:keepLines w:val="0"/>
        <w:pageBreakBefore w:val="0"/>
        <w:numPr>
          <w:ilvl w:val="0"/>
          <w:numId w:val="0"/>
        </w:numPr>
        <w:kinsoku/>
        <w:wordWrap/>
        <w:overflowPunct/>
        <w:topLinePunct w:val="0"/>
        <w:autoSpaceDE/>
        <w:autoSpaceDN/>
        <w:bidi w:val="0"/>
        <w:adjustRightInd w:val="0"/>
        <w:snapToGrid w:val="0"/>
        <w:spacing w:before="157" w:beforeLines="50" w:after="157" w:afterLines="50" w:line="360" w:lineRule="auto"/>
        <w:ind w:leftChars="0"/>
        <w:jc w:val="left"/>
        <w:textAlignment w:val="baseline"/>
        <w:rPr>
          <w:rFonts w:hint="eastAsia" w:ascii="宋体" w:hAnsi="宋体" w:eastAsia="宋体" w:cs="Times New Roman"/>
          <w:b/>
          <w:bCs/>
          <w:kern w:val="2"/>
          <w:sz w:val="24"/>
          <w:szCs w:val="24"/>
          <w:highlight w:val="none"/>
          <w:lang w:val="en-US" w:eastAsia="zh-CN" w:bidi="ar-SA"/>
        </w:rPr>
      </w:pPr>
      <w:r>
        <w:rPr>
          <w:rFonts w:hint="eastAsia" w:ascii="宋体" w:hAnsi="宋体" w:eastAsia="宋体" w:cs="Times New Roman"/>
          <w:b/>
          <w:bCs/>
          <w:kern w:val="2"/>
          <w:sz w:val="24"/>
          <w:szCs w:val="24"/>
          <w:highlight w:val="none"/>
          <w:lang w:val="en-US" w:eastAsia="zh-CN" w:bidi="ar-SA"/>
        </w:rPr>
        <w:t>三、乙方责任及义务</w:t>
      </w:r>
    </w:p>
    <w:p>
      <w:pPr>
        <w:pStyle w:val="37"/>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根据甲方授权，与外方签定外贸合同，对外开立信用证，付汇，核销，报关，商检，提货，运输等与进口有关的手续，并协助甲方办理机电产品进口证明，大型特定产品、配额产品的审批及可免税货物的免税手续。</w:t>
      </w:r>
    </w:p>
    <w:p>
      <w:pPr>
        <w:pStyle w:val="37"/>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2、保证所提供货物是从中国海关合法渠道进口，严格按合同规定的时间、数量、品种和规格供货，如有违反此项条款约定，甲方将有权取消其外贸代理资质，并保留追究其相应法律责任的权利。</w:t>
      </w:r>
    </w:p>
    <w:p>
      <w:pPr>
        <w:pStyle w:val="37"/>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3、将进口货物及时送往直接用户手中，配合协调供应商与直接用户的有关事宜，催促供应商及时供货，直接用户及时验收、结算。</w:t>
      </w:r>
    </w:p>
    <w:p>
      <w:pPr>
        <w:pStyle w:val="37"/>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4、在货物出现问题时负责代理甲方办理</w:t>
      </w:r>
      <w:r>
        <w:rPr>
          <w:rFonts w:hint="eastAsia" w:ascii="宋体" w:hAnsi="宋体" w:cs="Times New Roman"/>
          <w:kern w:val="2"/>
          <w:sz w:val="24"/>
          <w:szCs w:val="24"/>
          <w:highlight w:val="none"/>
          <w:lang w:val="en-US" w:eastAsia="zh-CN" w:bidi="ar-SA"/>
        </w:rPr>
        <w:t>货物更换、</w:t>
      </w:r>
      <w:r>
        <w:rPr>
          <w:rFonts w:hint="eastAsia" w:ascii="宋体" w:hAnsi="宋体" w:eastAsia="宋体" w:cs="Times New Roman"/>
          <w:kern w:val="2"/>
          <w:sz w:val="24"/>
          <w:szCs w:val="24"/>
          <w:highlight w:val="none"/>
          <w:lang w:val="en-US" w:eastAsia="zh-CN" w:bidi="ar-SA"/>
        </w:rPr>
        <w:t>返修、索赔等手续。</w:t>
      </w:r>
    </w:p>
    <w:p>
      <w:pPr>
        <w:pStyle w:val="37"/>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5、配合协调甲方与海关之间的相关事宜；在海关监管期内接受海关、税务等相关部门的检查，并负责及时向有关部门提供报表。</w:t>
      </w:r>
    </w:p>
    <w:p>
      <w:pPr>
        <w:pStyle w:val="37"/>
        <w:keepNext w:val="0"/>
        <w:keepLines w:val="0"/>
        <w:pageBreakBefore w:val="0"/>
        <w:kinsoku/>
        <w:wordWrap/>
        <w:overflowPunct/>
        <w:topLinePunct w:val="0"/>
        <w:autoSpaceDE/>
        <w:autoSpaceDN/>
        <w:bidi w:val="0"/>
        <w:spacing w:before="157" w:beforeLines="50" w:after="157" w:afterLines="50" w:line="360" w:lineRule="auto"/>
        <w:ind w:left="0" w:leftChars="0" w:firstLine="0" w:firstLineChars="0"/>
        <w:rPr>
          <w:rFonts w:hint="eastAsia" w:ascii="宋体" w:hAnsi="宋体" w:eastAsia="宋体" w:cs="Times New Roman"/>
          <w:b/>
          <w:bCs/>
          <w:kern w:val="2"/>
          <w:sz w:val="24"/>
          <w:szCs w:val="24"/>
          <w:highlight w:val="none"/>
          <w:lang w:val="en-US" w:eastAsia="zh-CN" w:bidi="ar-SA"/>
        </w:rPr>
      </w:pPr>
      <w:r>
        <w:rPr>
          <w:rFonts w:hint="eastAsia" w:ascii="宋体" w:hAnsi="宋体" w:eastAsia="宋体" w:cs="Times New Roman"/>
          <w:b/>
          <w:bCs/>
          <w:kern w:val="2"/>
          <w:sz w:val="24"/>
          <w:szCs w:val="24"/>
          <w:highlight w:val="none"/>
          <w:lang w:val="en-US" w:eastAsia="zh-CN" w:bidi="ar-SA"/>
        </w:rPr>
        <w:t>五、乙方在办理进口手续过程中的具体要求</w:t>
      </w:r>
    </w:p>
    <w:p>
      <w:pPr>
        <w:pStyle w:val="37"/>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1、必须安排固定的专业人员为我校提供外贸服务。</w:t>
      </w:r>
    </w:p>
    <w:p>
      <w:pPr>
        <w:pStyle w:val="37"/>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2、在甲方发出“南京信息工程大学进口货物委托代理合同”后的3个工作日内须与供应商进行沟通，商定外贸合同事宜，10个工作日内完成外贸合同的签订。</w:t>
      </w:r>
    </w:p>
    <w:p>
      <w:pPr>
        <w:pStyle w:val="37"/>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3、代理甲方对外支付货款。乙方在收到甲方预付款后应在5个工作日内开出信用证或汇出货款。包干方式结算，甲方不负责汇差。乙方同时应保留每笔购汇水单。特殊情况甲乙双方另行协商付款方式。</w:t>
      </w:r>
    </w:p>
    <w:p>
      <w:pPr>
        <w:pStyle w:val="37"/>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4、及时办理进口货物的批文、免税证明、机电产品进口许可证等相关材料。因办理免税不及时导致供货延期由乙方负责。</w:t>
      </w:r>
    </w:p>
    <w:p>
      <w:pPr>
        <w:pStyle w:val="37"/>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5、到货验收合格后，乙方应在十日内根据用户要求开具外贸代理发票完成财务结算；如因各种理由不及时办理结算手续的，甲方有权取消其外贸代理资质。</w:t>
      </w:r>
    </w:p>
    <w:p>
      <w:pPr>
        <w:pStyle w:val="37"/>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6、甲方每年有少部分境外单位赠送的设备需要进口，乙方需无偿帮助办理免税手续和提供报关委托书，不收取代理费；</w:t>
      </w:r>
    </w:p>
    <w:p>
      <w:pPr>
        <w:pStyle w:val="37"/>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7、对一万美元内的合同，外贸代理商要有垫付能力，不得因此耽误供货。</w:t>
      </w:r>
    </w:p>
    <w:p>
      <w:pPr>
        <w:pStyle w:val="37"/>
        <w:keepNext w:val="0"/>
        <w:keepLines w:val="0"/>
        <w:pageBreakBefore w:val="0"/>
        <w:kinsoku/>
        <w:wordWrap/>
        <w:overflowPunct/>
        <w:topLinePunct w:val="0"/>
        <w:autoSpaceDE/>
        <w:autoSpaceDN/>
        <w:bidi w:val="0"/>
        <w:spacing w:before="157" w:beforeLines="50" w:after="157" w:afterLines="50" w:line="360" w:lineRule="auto"/>
        <w:ind w:left="0" w:leftChars="0" w:firstLine="0" w:firstLineChars="0"/>
        <w:rPr>
          <w:rFonts w:hint="eastAsia" w:ascii="宋体" w:hAnsi="宋体" w:eastAsia="宋体" w:cs="Times New Roman"/>
          <w:b/>
          <w:bCs/>
          <w:kern w:val="2"/>
          <w:sz w:val="24"/>
          <w:szCs w:val="24"/>
          <w:highlight w:val="none"/>
          <w:lang w:val="en-US" w:eastAsia="zh-CN" w:bidi="ar-SA"/>
        </w:rPr>
      </w:pPr>
      <w:r>
        <w:rPr>
          <w:rFonts w:hint="eastAsia" w:ascii="宋体" w:hAnsi="宋体" w:eastAsia="宋体" w:cs="Times New Roman"/>
          <w:b/>
          <w:bCs/>
          <w:kern w:val="2"/>
          <w:sz w:val="24"/>
          <w:szCs w:val="24"/>
          <w:highlight w:val="none"/>
          <w:lang w:val="en-US" w:eastAsia="zh-CN" w:bidi="ar-SA"/>
        </w:rPr>
        <w:t>六、进口设备外贸代理服务费的付款原则及费用结算</w:t>
      </w:r>
    </w:p>
    <w:p>
      <w:pPr>
        <w:keepNext w:val="0"/>
        <w:keepLines w:val="0"/>
        <w:pageBreakBefore w:val="0"/>
        <w:kinsoku/>
        <w:wordWrap/>
        <w:overflowPunct/>
        <w:topLinePunct w:val="0"/>
        <w:autoSpaceDE/>
        <w:autoSpaceDN/>
        <w:bidi w:val="0"/>
        <w:snapToGrid w:val="0"/>
        <w:spacing w:before="157" w:beforeLines="50" w:after="157" w:afterLines="50" w:line="360" w:lineRule="auto"/>
        <w:ind w:firstLine="480" w:firstLineChars="200"/>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代理服务费按签订外贸委托代理合同当日中国银行外汇牌价的卖出价为基础包干方式结算，不随国家外汇汇率浮动而变化。包干总价包括开证与付汇手续费、国内运杂费、报关费、海关监管费、动植检、卫检等外贸代理业务相关服务费。</w:t>
      </w:r>
      <w:r>
        <w:rPr>
          <w:rFonts w:hint="eastAsia" w:ascii="宋体" w:hAnsi="宋体" w:eastAsia="宋体" w:cs="Times New Roman"/>
          <w:kern w:val="2"/>
          <w:sz w:val="24"/>
          <w:szCs w:val="24"/>
          <w:highlight w:val="none"/>
          <w:lang w:val="en-US" w:eastAsia="zh-CN" w:bidi="ar-SA"/>
        </w:rPr>
        <w:t>代理服务费包含在甲方进口设备采购中标金额内。</w:t>
      </w:r>
    </w:p>
    <w:p>
      <w:pPr>
        <w:pStyle w:val="2"/>
        <w:keepNext w:val="0"/>
        <w:keepLines w:val="0"/>
        <w:pageBreakBefore w:val="0"/>
        <w:kinsoku/>
        <w:wordWrap/>
        <w:overflowPunct/>
        <w:topLinePunct w:val="0"/>
        <w:autoSpaceDE/>
        <w:autoSpaceDN/>
        <w:bidi w:val="0"/>
        <w:spacing w:before="157" w:beforeLines="50" w:after="157" w:afterLines="50" w:line="360" w:lineRule="auto"/>
        <w:ind w:left="0" w:leftChars="0" w:firstLine="0" w:firstLineChars="0"/>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 xml:space="preserve">    2、进口设备外贸代理服务费率结算标准：</w:t>
      </w:r>
    </w:p>
    <w:tbl>
      <w:tblPr>
        <w:tblStyle w:val="18"/>
        <w:tblW w:w="7422" w:type="dxa"/>
        <w:tblInd w:w="3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46"/>
        <w:gridCol w:w="3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3946" w:type="dxa"/>
            <w:shd w:val="clear" w:color="auto" w:fill="auto"/>
            <w:vAlign w:val="center"/>
          </w:tcPr>
          <w:p>
            <w:pPr>
              <w:keepNext w:val="0"/>
              <w:keepLines w:val="0"/>
              <w:pageBreakBefore w:val="0"/>
              <w:widowControl w:val="0"/>
              <w:tabs>
                <w:tab w:val="left" w:pos="2400"/>
              </w:tabs>
              <w:kinsoku/>
              <w:wordWrap/>
              <w:overflowPunct/>
              <w:topLinePunct w:val="0"/>
              <w:autoSpaceDE/>
              <w:autoSpaceDN/>
              <w:bidi w:val="0"/>
              <w:adjustRightInd/>
              <w:spacing w:line="360" w:lineRule="auto"/>
              <w:jc w:val="center"/>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合同价（人民币，单位：万元）</w:t>
            </w:r>
          </w:p>
        </w:tc>
        <w:tc>
          <w:tcPr>
            <w:tcW w:w="3476" w:type="dxa"/>
            <w:shd w:val="clear" w:color="auto" w:fill="auto"/>
            <w:vAlign w:val="center"/>
          </w:tcPr>
          <w:p>
            <w:pPr>
              <w:keepNext w:val="0"/>
              <w:keepLines w:val="0"/>
              <w:pageBreakBefore w:val="0"/>
              <w:widowControl w:val="0"/>
              <w:tabs>
                <w:tab w:val="left" w:pos="2400"/>
              </w:tabs>
              <w:kinsoku/>
              <w:wordWrap/>
              <w:overflowPunct/>
              <w:topLinePunct w:val="0"/>
              <w:autoSpaceDE/>
              <w:autoSpaceDN/>
              <w:bidi w:val="0"/>
              <w:adjustRightInd/>
              <w:spacing w:line="360" w:lineRule="auto"/>
              <w:jc w:val="center"/>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进口代理服务费率（包干价）（%）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946"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合同价＜10</w:t>
            </w:r>
          </w:p>
        </w:tc>
        <w:tc>
          <w:tcPr>
            <w:tcW w:w="3476" w:type="dxa"/>
            <w:shd w:val="clear" w:color="auto" w:fill="auto"/>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Times New Roman"/>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946"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10≤合同价＜30</w:t>
            </w:r>
          </w:p>
        </w:tc>
        <w:tc>
          <w:tcPr>
            <w:tcW w:w="3476" w:type="dxa"/>
            <w:shd w:val="clear" w:color="auto" w:fill="auto"/>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Times New Roman"/>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946"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30≤合同价＜50</w:t>
            </w:r>
          </w:p>
        </w:tc>
        <w:tc>
          <w:tcPr>
            <w:tcW w:w="3476" w:type="dxa"/>
            <w:shd w:val="clear" w:color="auto" w:fill="auto"/>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Times New Roman"/>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946"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50≤合同价＜100</w:t>
            </w:r>
          </w:p>
        </w:tc>
        <w:tc>
          <w:tcPr>
            <w:tcW w:w="3476" w:type="dxa"/>
            <w:shd w:val="clear" w:color="auto" w:fill="auto"/>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Times New Roman"/>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946"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100≤合同价＜200</w:t>
            </w:r>
          </w:p>
        </w:tc>
        <w:tc>
          <w:tcPr>
            <w:tcW w:w="3476" w:type="dxa"/>
            <w:shd w:val="clear" w:color="auto" w:fill="auto"/>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Times New Roman"/>
                <w:kern w:val="2"/>
                <w:sz w:val="24"/>
                <w:szCs w:val="24"/>
                <w:highlight w:val="none"/>
                <w:lang w:val="en-US" w:eastAsia="zh-CN" w:bidi="ar-SA"/>
              </w:rPr>
            </w:pPr>
          </w:p>
        </w:tc>
      </w:tr>
    </w:tbl>
    <w:p>
      <w:pPr>
        <w:pStyle w:val="2"/>
        <w:ind w:left="0" w:leftChars="0" w:right="372" w:rightChars="177" w:firstLine="0" w:firstLineChars="0"/>
        <w:rPr>
          <w:rFonts w:hint="default" w:ascii="宋体" w:hAnsi="宋体" w:eastAsia="宋体"/>
          <w:sz w:val="21"/>
          <w:szCs w:val="21"/>
          <w:highlight w:val="none"/>
          <w:u w:val="none"/>
          <w:lang w:val="en-US" w:eastAsia="zh-CN"/>
        </w:rPr>
      </w:pPr>
      <w:r>
        <w:rPr>
          <w:rFonts w:hint="eastAsia" w:ascii="宋体" w:hAnsi="宋体"/>
          <w:sz w:val="21"/>
          <w:szCs w:val="21"/>
          <w:highlight w:val="none"/>
          <w:u w:val="none"/>
          <w:lang w:val="en-US" w:eastAsia="zh-CN"/>
        </w:rPr>
        <w:t>注：进口设备采购中标合同价大于等于200万元人民币的，代理服务费通过协商确定。</w:t>
      </w:r>
    </w:p>
    <w:p>
      <w:pPr>
        <w:keepNext w:val="0"/>
        <w:keepLines w:val="0"/>
        <w:pageBreakBefore w:val="0"/>
        <w:numPr>
          <w:ilvl w:val="0"/>
          <w:numId w:val="0"/>
        </w:numPr>
        <w:kinsoku/>
        <w:wordWrap/>
        <w:overflowPunct/>
        <w:topLinePunct w:val="0"/>
        <w:autoSpaceDE/>
        <w:autoSpaceDN/>
        <w:bidi w:val="0"/>
        <w:adjustRightInd w:val="0"/>
        <w:snapToGrid w:val="0"/>
        <w:spacing w:before="157" w:beforeLines="50" w:after="157" w:afterLines="50" w:line="360" w:lineRule="auto"/>
        <w:ind w:leftChars="0"/>
        <w:jc w:val="left"/>
        <w:textAlignment w:val="baseline"/>
        <w:rPr>
          <w:rFonts w:hint="eastAsia" w:ascii="宋体" w:hAnsi="宋体" w:eastAsia="宋体" w:cs="Times New Roman"/>
          <w:kern w:val="2"/>
          <w:sz w:val="24"/>
          <w:szCs w:val="24"/>
          <w:highlight w:val="none"/>
          <w:lang w:val="en-US" w:eastAsia="zh-CN" w:bidi="ar-SA"/>
        </w:rPr>
      </w:pPr>
    </w:p>
    <w:p>
      <w:pPr>
        <w:keepNext w:val="0"/>
        <w:keepLines w:val="0"/>
        <w:pageBreakBefore w:val="0"/>
        <w:numPr>
          <w:ilvl w:val="0"/>
          <w:numId w:val="0"/>
        </w:numPr>
        <w:kinsoku/>
        <w:wordWrap/>
        <w:overflowPunct/>
        <w:topLinePunct w:val="0"/>
        <w:autoSpaceDE/>
        <w:autoSpaceDN/>
        <w:bidi w:val="0"/>
        <w:adjustRightInd w:val="0"/>
        <w:snapToGrid w:val="0"/>
        <w:spacing w:before="157" w:beforeLines="50" w:after="157" w:afterLines="50" w:line="360" w:lineRule="auto"/>
        <w:ind w:leftChars="0" w:firstLine="480" w:firstLineChars="200"/>
        <w:jc w:val="left"/>
        <w:textAlignment w:val="baseline"/>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3、付款原则</w:t>
      </w:r>
    </w:p>
    <w:p>
      <w:pPr>
        <w:pStyle w:val="37"/>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（1）委托方原则上要求以信用证方式对外付款，合同签订后委托方预付全款至代理方，代理方收到款后五个工作日内开出信用证。电汇方式委托方应在实际付汇前将全部货款付至代理方。</w:t>
      </w:r>
    </w:p>
    <w:p>
      <w:pPr>
        <w:pStyle w:val="37"/>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（2）代理方在收到货款后开立全额信用证，90%凭装运单据支付、10%凭委托方签章的验收合格证明支付，委托方提供的技术协议另有规定的按供货合同规定的执行。</w:t>
      </w:r>
    </w:p>
    <w:p>
      <w:pPr>
        <w:pStyle w:val="37"/>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（3）具体以每项业务“进口代理合同”的约定为准。</w:t>
      </w:r>
    </w:p>
    <w:p>
      <w:pPr>
        <w:keepNext w:val="0"/>
        <w:keepLines w:val="0"/>
        <w:pageBreakBefore w:val="0"/>
        <w:numPr>
          <w:ilvl w:val="0"/>
          <w:numId w:val="0"/>
        </w:numPr>
        <w:kinsoku/>
        <w:wordWrap/>
        <w:overflowPunct/>
        <w:topLinePunct w:val="0"/>
        <w:autoSpaceDE/>
        <w:autoSpaceDN/>
        <w:bidi w:val="0"/>
        <w:adjustRightInd w:val="0"/>
        <w:snapToGrid w:val="0"/>
        <w:spacing w:before="157" w:beforeLines="50" w:after="157" w:afterLines="50" w:line="360" w:lineRule="auto"/>
        <w:ind w:leftChars="0"/>
        <w:jc w:val="left"/>
        <w:textAlignment w:val="baseline"/>
        <w:rPr>
          <w:rFonts w:hint="eastAsia" w:ascii="宋体" w:hAnsi="宋体" w:eastAsia="宋体" w:cs="Times New Roman"/>
          <w:b/>
          <w:bCs/>
          <w:kern w:val="2"/>
          <w:sz w:val="24"/>
          <w:szCs w:val="24"/>
          <w:highlight w:val="none"/>
          <w:lang w:val="en-US" w:eastAsia="zh-CN" w:bidi="ar-SA"/>
        </w:rPr>
      </w:pPr>
      <w:r>
        <w:rPr>
          <w:rFonts w:hint="eastAsia" w:ascii="宋体" w:hAnsi="宋体" w:eastAsia="宋体" w:cs="Times New Roman"/>
          <w:b/>
          <w:bCs/>
          <w:kern w:val="2"/>
          <w:sz w:val="24"/>
          <w:szCs w:val="24"/>
          <w:highlight w:val="none"/>
          <w:lang w:val="en-US" w:eastAsia="zh-CN" w:bidi="ar-SA"/>
        </w:rPr>
        <w:t>七、违约责任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1、如属甲方责任造成乙方违约所发生的损失由甲方承担。</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2、如属乙方责任给甲方造成损失的，由乙方承担。</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双方任意一方违约造成损失的，由违约方承担违约责任。</w:t>
      </w:r>
    </w:p>
    <w:p>
      <w:pPr>
        <w:keepNext w:val="0"/>
        <w:keepLines w:val="0"/>
        <w:pageBreakBefore w:val="0"/>
        <w:numPr>
          <w:ilvl w:val="0"/>
          <w:numId w:val="0"/>
        </w:numPr>
        <w:kinsoku/>
        <w:wordWrap/>
        <w:overflowPunct/>
        <w:topLinePunct w:val="0"/>
        <w:autoSpaceDE/>
        <w:autoSpaceDN/>
        <w:bidi w:val="0"/>
        <w:adjustRightInd w:val="0"/>
        <w:snapToGrid w:val="0"/>
        <w:spacing w:before="157" w:beforeLines="50" w:after="157" w:afterLines="50" w:line="360" w:lineRule="auto"/>
        <w:ind w:leftChars="0"/>
        <w:jc w:val="left"/>
        <w:textAlignment w:val="baseline"/>
        <w:rPr>
          <w:rFonts w:hint="eastAsia" w:ascii="宋体" w:hAnsi="宋体" w:eastAsia="宋体" w:cs="Times New Roman"/>
          <w:b/>
          <w:bCs/>
          <w:kern w:val="2"/>
          <w:sz w:val="24"/>
          <w:szCs w:val="24"/>
          <w:highlight w:val="none"/>
          <w:lang w:val="en-US" w:eastAsia="zh-CN" w:bidi="ar-SA"/>
        </w:rPr>
      </w:pPr>
      <w:r>
        <w:rPr>
          <w:rFonts w:hint="eastAsia" w:ascii="宋体" w:hAnsi="宋体" w:eastAsia="宋体" w:cs="Times New Roman"/>
          <w:b/>
          <w:bCs/>
          <w:kern w:val="2"/>
          <w:sz w:val="24"/>
          <w:szCs w:val="24"/>
          <w:highlight w:val="none"/>
          <w:lang w:val="en-US" w:eastAsia="zh-CN" w:bidi="ar-SA"/>
        </w:rPr>
        <w:t>八、争议解决</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1、本协议在执行过程中，双方若发生争执，应通过友好协商解决。</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2、如双方无法达成一致，任何一方均可向甲方所在地人民法院提起诉讼。</w:t>
      </w:r>
    </w:p>
    <w:p>
      <w:pPr>
        <w:keepNext w:val="0"/>
        <w:keepLines w:val="0"/>
        <w:pageBreakBefore w:val="0"/>
        <w:kinsoku/>
        <w:wordWrap/>
        <w:overflowPunct/>
        <w:topLinePunct w:val="0"/>
        <w:autoSpaceDE/>
        <w:autoSpaceDN/>
        <w:bidi w:val="0"/>
        <w:snapToGrid w:val="0"/>
        <w:spacing w:before="157" w:beforeLines="50" w:after="157" w:afterLines="50" w:line="360" w:lineRule="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b/>
          <w:bCs/>
          <w:kern w:val="2"/>
          <w:sz w:val="24"/>
          <w:szCs w:val="24"/>
          <w:highlight w:val="none"/>
          <w:lang w:val="en-US" w:eastAsia="zh-CN" w:bidi="ar-SA"/>
        </w:rPr>
        <w:t>九、 本协议一式四份，甲乙双方各持两份，具有同等法律效力。双方授权代表签字和加盖双方公章后生效。</w:t>
      </w:r>
    </w:p>
    <w:p>
      <w:pPr>
        <w:keepNext w:val="0"/>
        <w:keepLines w:val="0"/>
        <w:pageBreakBefore w:val="0"/>
        <w:kinsoku/>
        <w:wordWrap/>
        <w:overflowPunct/>
        <w:topLinePunct w:val="0"/>
        <w:autoSpaceDE/>
        <w:autoSpaceDN/>
        <w:bidi w:val="0"/>
        <w:adjustRightInd w:val="0"/>
        <w:snapToGrid w:val="0"/>
        <w:spacing w:before="157" w:beforeLines="50" w:after="157" w:afterLines="50" w:line="360" w:lineRule="auto"/>
        <w:jc w:val="left"/>
        <w:textAlignment w:val="baseline"/>
        <w:rPr>
          <w:rFonts w:hint="eastAsia" w:ascii="宋体" w:hAnsi="宋体" w:eastAsia="宋体" w:cs="Times New Roman"/>
          <w:kern w:val="2"/>
          <w:sz w:val="24"/>
          <w:szCs w:val="24"/>
          <w:highlight w:val="none"/>
          <w:lang w:val="en-US" w:eastAsia="zh-CN" w:bidi="ar-SA"/>
        </w:rPr>
      </w:pPr>
    </w:p>
    <w:p>
      <w:pPr>
        <w:keepNext w:val="0"/>
        <w:keepLines w:val="0"/>
        <w:pageBreakBefore w:val="0"/>
        <w:kinsoku/>
        <w:wordWrap/>
        <w:overflowPunct/>
        <w:topLinePunct w:val="0"/>
        <w:autoSpaceDE/>
        <w:autoSpaceDN/>
        <w:bidi w:val="0"/>
        <w:adjustRightInd w:val="0"/>
        <w:snapToGrid w:val="0"/>
        <w:spacing w:before="157" w:beforeLines="50" w:after="157" w:afterLines="50" w:line="360" w:lineRule="auto"/>
        <w:jc w:val="left"/>
        <w:textAlignment w:val="baseline"/>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甲方（公章）：南京信息工程大学       乙方（公章）：</w:t>
      </w:r>
    </w:p>
    <w:p>
      <w:pPr>
        <w:keepNext w:val="0"/>
        <w:keepLines w:val="0"/>
        <w:pageBreakBefore w:val="0"/>
        <w:kinsoku/>
        <w:wordWrap/>
        <w:overflowPunct/>
        <w:topLinePunct w:val="0"/>
        <w:autoSpaceDE/>
        <w:autoSpaceDN/>
        <w:bidi w:val="0"/>
        <w:snapToGrid w:val="0"/>
        <w:spacing w:before="157" w:beforeLines="50" w:after="157" w:afterLines="50" w:line="360" w:lineRule="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法定代表人或委托授权代表签字：      法定代表人或委托授权代表签字：</w:t>
      </w:r>
    </w:p>
    <w:p>
      <w:pPr>
        <w:keepNext w:val="0"/>
        <w:keepLines w:val="0"/>
        <w:pageBreakBefore w:val="0"/>
        <w:kinsoku/>
        <w:wordWrap/>
        <w:overflowPunct/>
        <w:topLinePunct w:val="0"/>
        <w:autoSpaceDE/>
        <w:autoSpaceDN/>
        <w:bidi w:val="0"/>
        <w:snapToGrid w:val="0"/>
        <w:spacing w:before="157" w:beforeLines="50" w:after="157" w:afterLines="50" w:line="360" w:lineRule="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日期：                              日期：</w:t>
      </w:r>
    </w:p>
    <w:p>
      <w:pPr>
        <w:pStyle w:val="2"/>
        <w:ind w:left="0" w:leftChars="0" w:firstLine="0" w:firstLineChars="0"/>
        <w:rPr>
          <w:rFonts w:hint="eastAsia" w:asciiTheme="minorEastAsia" w:hAnsiTheme="minorEastAsia" w:eastAsiaTheme="minorEastAsia" w:cstheme="minorEastAsia"/>
          <w:sz w:val="24"/>
          <w:szCs w:val="24"/>
          <w:highlight w:val="none"/>
          <w:lang w:val="en-US" w:eastAsia="zh-CN"/>
        </w:rPr>
      </w:pPr>
    </w:p>
    <w:p>
      <w:pPr>
        <w:numPr>
          <w:ilvl w:val="0"/>
          <w:numId w:val="0"/>
        </w:numPr>
        <w:spacing w:before="100" w:beforeAutospacing="1" w:after="100" w:afterAutospacing="1" w:line="540" w:lineRule="exact"/>
        <w:ind w:leftChars="0"/>
        <w:rPr>
          <w:rFonts w:hint="eastAsia" w:asciiTheme="minorEastAsia" w:hAnsiTheme="minorEastAsia" w:eastAsiaTheme="minorEastAsia" w:cstheme="minorEastAsia"/>
          <w:sz w:val="24"/>
          <w:szCs w:val="24"/>
          <w:highlight w:val="none"/>
          <w:lang w:val="en-US" w:eastAsia="zh-CN"/>
        </w:rPr>
      </w:pPr>
    </w:p>
    <w:p>
      <w:pPr>
        <w:pStyle w:val="6"/>
        <w:rPr>
          <w:highlight w:val="none"/>
        </w:rPr>
      </w:pPr>
    </w:p>
    <w:p>
      <w:pPr>
        <w:rPr>
          <w:szCs w:val="28"/>
          <w:highlight w:val="none"/>
        </w:rPr>
      </w:pPr>
    </w:p>
    <w:sectPr>
      <w:headerReference r:id="rId3" w:type="default"/>
      <w:footerReference r:id="rId4" w:type="default"/>
      <w:pgSz w:w="11906" w:h="16838"/>
      <w:pgMar w:top="1191" w:right="1247" w:bottom="1191"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b/>
      </w:rPr>
      <w:fldChar w:fldCharType="begin"/>
    </w:r>
    <w:r>
      <w:rPr>
        <w:b/>
      </w:rPr>
      <w:instrText xml:space="preserve">PAGE  \* Arabic  \* MERGEFORMAT</w:instrText>
    </w:r>
    <w:r>
      <w:rPr>
        <w:b/>
      </w:rPr>
      <w:fldChar w:fldCharType="separate"/>
    </w:r>
    <w:r>
      <w:rPr>
        <w:b/>
        <w:lang w:val="zh-CN"/>
      </w:rPr>
      <w:t>2</w:t>
    </w:r>
    <w:r>
      <w:rPr>
        <w:b/>
      </w:rPr>
      <w:fldChar w:fldCharType="end"/>
    </w:r>
    <w:r>
      <w:rPr>
        <w:lang w:val="zh-CN"/>
      </w:rPr>
      <w:t xml:space="preserve"> / </w:t>
    </w:r>
    <w:r>
      <w:fldChar w:fldCharType="begin"/>
    </w:r>
    <w:r>
      <w:instrText xml:space="preserve">NUMPAGES  \* Arabic  \* MERGEFORMAT</w:instrText>
    </w:r>
    <w:r>
      <w:fldChar w:fldCharType="separate"/>
    </w:r>
    <w:r>
      <w:rPr>
        <w:b/>
        <w:lang w:val="zh-CN"/>
      </w:rPr>
      <w:t>15</w:t>
    </w:r>
    <w:r>
      <w:rPr>
        <w:b/>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ascii="宋体" w:cs="宋体"/>
        <w:b/>
        <w:bCs/>
        <w:kern w:val="0"/>
        <w:sz w:val="15"/>
        <w:szCs w:val="15"/>
      </w:rPr>
    </w:pPr>
    <w:r>
      <w:rPr>
        <w:rFonts w:hint="eastAsia" w:ascii="宋体" w:hAnsi="宋体" w:cs="宋体"/>
        <w:b/>
        <w:bCs/>
        <w:kern w:val="0"/>
        <w:sz w:val="15"/>
        <w:szCs w:val="15"/>
      </w:rPr>
      <w:t>南京信息工程大学招标办2020年招标文件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964917"/>
    <w:multiLevelType w:val="singleLevel"/>
    <w:tmpl w:val="B1964917"/>
    <w:lvl w:ilvl="0" w:tentative="0">
      <w:start w:val="2"/>
      <w:numFmt w:val="chineseCounting"/>
      <w:suff w:val="nothing"/>
      <w:lvlText w:val="%1、"/>
      <w:lvlJc w:val="left"/>
      <w:rPr>
        <w:rFonts w:hint="eastAsia"/>
      </w:rPr>
    </w:lvl>
  </w:abstractNum>
  <w:abstractNum w:abstractNumId="1">
    <w:nsid w:val="DDAD5056"/>
    <w:multiLevelType w:val="singleLevel"/>
    <w:tmpl w:val="DDAD5056"/>
    <w:lvl w:ilvl="0" w:tentative="0">
      <w:start w:val="1"/>
      <w:numFmt w:val="decimal"/>
      <w:suff w:val="nothing"/>
      <w:lvlText w:val="%1、"/>
      <w:lvlJc w:val="left"/>
    </w:lvl>
  </w:abstractNum>
  <w:abstractNum w:abstractNumId="2">
    <w:nsid w:val="03A57FD0"/>
    <w:multiLevelType w:val="multilevel"/>
    <w:tmpl w:val="03A57FD0"/>
    <w:lvl w:ilvl="0" w:tentative="0">
      <w:start w:val="1"/>
      <w:numFmt w:val="japaneseCounting"/>
      <w:lvlText w:val="%1、"/>
      <w:lvlJc w:val="left"/>
      <w:pPr>
        <w:tabs>
          <w:tab w:val="left" w:pos="720"/>
        </w:tabs>
        <w:ind w:left="720" w:hanging="720"/>
      </w:pPr>
      <w:rPr>
        <w:rFonts w:hint="default"/>
        <w:lang w:val="en-US"/>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30EB869"/>
    <w:multiLevelType w:val="singleLevel"/>
    <w:tmpl w:val="130EB869"/>
    <w:lvl w:ilvl="0" w:tentative="0">
      <w:start w:val="1"/>
      <w:numFmt w:val="chineseCounting"/>
      <w:suff w:val="nothing"/>
      <w:lvlText w:val="%1、"/>
      <w:lvlJc w:val="left"/>
      <w:rPr>
        <w:rFonts w:hint="eastAsia"/>
      </w:rPr>
    </w:lvl>
  </w:abstractNum>
  <w:abstractNum w:abstractNumId="4">
    <w:nsid w:val="2903CFFA"/>
    <w:multiLevelType w:val="singleLevel"/>
    <w:tmpl w:val="2903CFFA"/>
    <w:lvl w:ilvl="0" w:tentative="0">
      <w:start w:val="1"/>
      <w:numFmt w:val="decimal"/>
      <w:suff w:val="nothing"/>
      <w:lvlText w:val="%1、"/>
      <w:lvlJc w:val="left"/>
    </w:lvl>
  </w:abstractNum>
  <w:abstractNum w:abstractNumId="5">
    <w:nsid w:val="3E644D16"/>
    <w:multiLevelType w:val="singleLevel"/>
    <w:tmpl w:val="3E644D16"/>
    <w:lvl w:ilvl="0" w:tentative="0">
      <w:start w:val="7"/>
      <w:numFmt w:val="decimal"/>
      <w:suff w:val="nothing"/>
      <w:lvlText w:val="（%1）"/>
      <w:lvlJc w:val="left"/>
    </w:lvl>
  </w:abstractNum>
  <w:num w:numId="1">
    <w:abstractNumId w:val="5"/>
  </w:num>
  <w:num w:numId="2">
    <w:abstractNumId w:val="0"/>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076"/>
    <w:rsid w:val="0000144D"/>
    <w:rsid w:val="000016D9"/>
    <w:rsid w:val="00002B2D"/>
    <w:rsid w:val="00003391"/>
    <w:rsid w:val="00003606"/>
    <w:rsid w:val="000054CA"/>
    <w:rsid w:val="0000571D"/>
    <w:rsid w:val="0001759B"/>
    <w:rsid w:val="00022B05"/>
    <w:rsid w:val="00023D12"/>
    <w:rsid w:val="00026E76"/>
    <w:rsid w:val="00027971"/>
    <w:rsid w:val="00030600"/>
    <w:rsid w:val="00030DF4"/>
    <w:rsid w:val="000319F3"/>
    <w:rsid w:val="00035C14"/>
    <w:rsid w:val="000430D6"/>
    <w:rsid w:val="00043F02"/>
    <w:rsid w:val="000441D9"/>
    <w:rsid w:val="000527A0"/>
    <w:rsid w:val="000531E7"/>
    <w:rsid w:val="00054A22"/>
    <w:rsid w:val="00054EE4"/>
    <w:rsid w:val="0005500B"/>
    <w:rsid w:val="00055F2F"/>
    <w:rsid w:val="0006055A"/>
    <w:rsid w:val="000607CB"/>
    <w:rsid w:val="00066441"/>
    <w:rsid w:val="00066583"/>
    <w:rsid w:val="0007020C"/>
    <w:rsid w:val="0007020F"/>
    <w:rsid w:val="00070DC7"/>
    <w:rsid w:val="00070F0A"/>
    <w:rsid w:val="000716D4"/>
    <w:rsid w:val="000774F2"/>
    <w:rsid w:val="00080B5E"/>
    <w:rsid w:val="00081175"/>
    <w:rsid w:val="000819A3"/>
    <w:rsid w:val="00085E3F"/>
    <w:rsid w:val="00087F42"/>
    <w:rsid w:val="0009319D"/>
    <w:rsid w:val="000933AE"/>
    <w:rsid w:val="00094419"/>
    <w:rsid w:val="00094479"/>
    <w:rsid w:val="000960BE"/>
    <w:rsid w:val="00096894"/>
    <w:rsid w:val="000968A9"/>
    <w:rsid w:val="000976BF"/>
    <w:rsid w:val="0009778F"/>
    <w:rsid w:val="000A0D99"/>
    <w:rsid w:val="000A1315"/>
    <w:rsid w:val="000A31F8"/>
    <w:rsid w:val="000A3663"/>
    <w:rsid w:val="000A387C"/>
    <w:rsid w:val="000A5005"/>
    <w:rsid w:val="000A57C1"/>
    <w:rsid w:val="000A649C"/>
    <w:rsid w:val="000B1E2F"/>
    <w:rsid w:val="000B4953"/>
    <w:rsid w:val="000B4F6F"/>
    <w:rsid w:val="000B5806"/>
    <w:rsid w:val="000B5F77"/>
    <w:rsid w:val="000B6607"/>
    <w:rsid w:val="000C0356"/>
    <w:rsid w:val="000C03E3"/>
    <w:rsid w:val="000C05BE"/>
    <w:rsid w:val="000C153E"/>
    <w:rsid w:val="000C22CE"/>
    <w:rsid w:val="000C35BE"/>
    <w:rsid w:val="000C3706"/>
    <w:rsid w:val="000C3B85"/>
    <w:rsid w:val="000C3E19"/>
    <w:rsid w:val="000C5121"/>
    <w:rsid w:val="000C7AC8"/>
    <w:rsid w:val="000D26E7"/>
    <w:rsid w:val="000D2CE1"/>
    <w:rsid w:val="000D4B6E"/>
    <w:rsid w:val="000D6B77"/>
    <w:rsid w:val="000D7B55"/>
    <w:rsid w:val="000E1026"/>
    <w:rsid w:val="000E12A9"/>
    <w:rsid w:val="000E1EAF"/>
    <w:rsid w:val="000E37D8"/>
    <w:rsid w:val="000E490E"/>
    <w:rsid w:val="000E794A"/>
    <w:rsid w:val="000E7B1F"/>
    <w:rsid w:val="000E7E73"/>
    <w:rsid w:val="000F0A5B"/>
    <w:rsid w:val="000F1E4F"/>
    <w:rsid w:val="000F2EDC"/>
    <w:rsid w:val="000F33C3"/>
    <w:rsid w:val="000F7C08"/>
    <w:rsid w:val="00100533"/>
    <w:rsid w:val="001007BA"/>
    <w:rsid w:val="00100F2E"/>
    <w:rsid w:val="0010216E"/>
    <w:rsid w:val="001031DE"/>
    <w:rsid w:val="001032F0"/>
    <w:rsid w:val="00103CBC"/>
    <w:rsid w:val="00104554"/>
    <w:rsid w:val="00104CAE"/>
    <w:rsid w:val="00107357"/>
    <w:rsid w:val="00107759"/>
    <w:rsid w:val="00110C58"/>
    <w:rsid w:val="00111060"/>
    <w:rsid w:val="00111C55"/>
    <w:rsid w:val="00111E38"/>
    <w:rsid w:val="00112955"/>
    <w:rsid w:val="00112D27"/>
    <w:rsid w:val="001135BC"/>
    <w:rsid w:val="00116930"/>
    <w:rsid w:val="00121365"/>
    <w:rsid w:val="00122E50"/>
    <w:rsid w:val="001238AF"/>
    <w:rsid w:val="001246CA"/>
    <w:rsid w:val="00124A77"/>
    <w:rsid w:val="00124B44"/>
    <w:rsid w:val="00125991"/>
    <w:rsid w:val="00125C94"/>
    <w:rsid w:val="00126E86"/>
    <w:rsid w:val="001272EE"/>
    <w:rsid w:val="00127BC3"/>
    <w:rsid w:val="00130B50"/>
    <w:rsid w:val="001320B9"/>
    <w:rsid w:val="0013492F"/>
    <w:rsid w:val="00137542"/>
    <w:rsid w:val="00143684"/>
    <w:rsid w:val="001448F3"/>
    <w:rsid w:val="0014591D"/>
    <w:rsid w:val="00146508"/>
    <w:rsid w:val="00147BB6"/>
    <w:rsid w:val="001502CF"/>
    <w:rsid w:val="00151817"/>
    <w:rsid w:val="0015214C"/>
    <w:rsid w:val="0015225B"/>
    <w:rsid w:val="00152BCB"/>
    <w:rsid w:val="00153196"/>
    <w:rsid w:val="001559FB"/>
    <w:rsid w:val="00155AE4"/>
    <w:rsid w:val="0016003D"/>
    <w:rsid w:val="0016077E"/>
    <w:rsid w:val="0016395E"/>
    <w:rsid w:val="00163CFF"/>
    <w:rsid w:val="0016465F"/>
    <w:rsid w:val="0016590B"/>
    <w:rsid w:val="0016658A"/>
    <w:rsid w:val="00166DEB"/>
    <w:rsid w:val="001679D2"/>
    <w:rsid w:val="00170356"/>
    <w:rsid w:val="00171002"/>
    <w:rsid w:val="00171C84"/>
    <w:rsid w:val="0017451F"/>
    <w:rsid w:val="00175E61"/>
    <w:rsid w:val="00175F6E"/>
    <w:rsid w:val="001765AA"/>
    <w:rsid w:val="00176B5A"/>
    <w:rsid w:val="001770B9"/>
    <w:rsid w:val="0018135E"/>
    <w:rsid w:val="0018161B"/>
    <w:rsid w:val="00181FC1"/>
    <w:rsid w:val="00183C53"/>
    <w:rsid w:val="00184165"/>
    <w:rsid w:val="001847AB"/>
    <w:rsid w:val="001863B0"/>
    <w:rsid w:val="001908D8"/>
    <w:rsid w:val="00191DB6"/>
    <w:rsid w:val="00191E7A"/>
    <w:rsid w:val="00192A7F"/>
    <w:rsid w:val="00192E9E"/>
    <w:rsid w:val="0019347E"/>
    <w:rsid w:val="00193B07"/>
    <w:rsid w:val="0019510E"/>
    <w:rsid w:val="00195E66"/>
    <w:rsid w:val="00196A0F"/>
    <w:rsid w:val="00196DB1"/>
    <w:rsid w:val="001973B6"/>
    <w:rsid w:val="001A200D"/>
    <w:rsid w:val="001A2963"/>
    <w:rsid w:val="001A76A0"/>
    <w:rsid w:val="001B0715"/>
    <w:rsid w:val="001B2A65"/>
    <w:rsid w:val="001B5895"/>
    <w:rsid w:val="001B6E3C"/>
    <w:rsid w:val="001C0244"/>
    <w:rsid w:val="001C0588"/>
    <w:rsid w:val="001C12A6"/>
    <w:rsid w:val="001C1966"/>
    <w:rsid w:val="001C2414"/>
    <w:rsid w:val="001C6C16"/>
    <w:rsid w:val="001D10DD"/>
    <w:rsid w:val="001D237E"/>
    <w:rsid w:val="001D2D6F"/>
    <w:rsid w:val="001D7657"/>
    <w:rsid w:val="001D76D4"/>
    <w:rsid w:val="001E2C9F"/>
    <w:rsid w:val="001E47A8"/>
    <w:rsid w:val="001E4E6B"/>
    <w:rsid w:val="001E672D"/>
    <w:rsid w:val="001F09A0"/>
    <w:rsid w:val="001F11F5"/>
    <w:rsid w:val="001F314F"/>
    <w:rsid w:val="001F328C"/>
    <w:rsid w:val="001F4242"/>
    <w:rsid w:val="001F5384"/>
    <w:rsid w:val="001F6E39"/>
    <w:rsid w:val="001F7923"/>
    <w:rsid w:val="00200A99"/>
    <w:rsid w:val="00201076"/>
    <w:rsid w:val="002023F0"/>
    <w:rsid w:val="0020277F"/>
    <w:rsid w:val="002047AF"/>
    <w:rsid w:val="00204A89"/>
    <w:rsid w:val="00205E83"/>
    <w:rsid w:val="0021174A"/>
    <w:rsid w:val="002122A3"/>
    <w:rsid w:val="00212636"/>
    <w:rsid w:val="00213000"/>
    <w:rsid w:val="00213651"/>
    <w:rsid w:val="002144B5"/>
    <w:rsid w:val="00214EF4"/>
    <w:rsid w:val="00221DE6"/>
    <w:rsid w:val="002228CD"/>
    <w:rsid w:val="002238C0"/>
    <w:rsid w:val="0022420E"/>
    <w:rsid w:val="00225151"/>
    <w:rsid w:val="00226609"/>
    <w:rsid w:val="002270A5"/>
    <w:rsid w:val="002274A2"/>
    <w:rsid w:val="00230145"/>
    <w:rsid w:val="00230940"/>
    <w:rsid w:val="002346F4"/>
    <w:rsid w:val="00235A05"/>
    <w:rsid w:val="00237A59"/>
    <w:rsid w:val="002408A3"/>
    <w:rsid w:val="00240E59"/>
    <w:rsid w:val="00241634"/>
    <w:rsid w:val="002423F2"/>
    <w:rsid w:val="00242CCB"/>
    <w:rsid w:val="002430D7"/>
    <w:rsid w:val="00243632"/>
    <w:rsid w:val="00243E27"/>
    <w:rsid w:val="0024517A"/>
    <w:rsid w:val="00247603"/>
    <w:rsid w:val="00250805"/>
    <w:rsid w:val="00250B49"/>
    <w:rsid w:val="00250C11"/>
    <w:rsid w:val="00251A77"/>
    <w:rsid w:val="0025266B"/>
    <w:rsid w:val="002526D9"/>
    <w:rsid w:val="0025396A"/>
    <w:rsid w:val="002540DE"/>
    <w:rsid w:val="002549CE"/>
    <w:rsid w:val="00255B7B"/>
    <w:rsid w:val="002567BD"/>
    <w:rsid w:val="00256A61"/>
    <w:rsid w:val="00263046"/>
    <w:rsid w:val="00263444"/>
    <w:rsid w:val="0026451A"/>
    <w:rsid w:val="00264F91"/>
    <w:rsid w:val="00266C22"/>
    <w:rsid w:val="00271C38"/>
    <w:rsid w:val="00273B4E"/>
    <w:rsid w:val="00281343"/>
    <w:rsid w:val="0028272C"/>
    <w:rsid w:val="002832EA"/>
    <w:rsid w:val="002838CB"/>
    <w:rsid w:val="00283C8F"/>
    <w:rsid w:val="00285A3E"/>
    <w:rsid w:val="00286DFD"/>
    <w:rsid w:val="00291A34"/>
    <w:rsid w:val="00292A1F"/>
    <w:rsid w:val="00294E71"/>
    <w:rsid w:val="00296169"/>
    <w:rsid w:val="00297351"/>
    <w:rsid w:val="00297829"/>
    <w:rsid w:val="00297C60"/>
    <w:rsid w:val="002A1998"/>
    <w:rsid w:val="002A1B13"/>
    <w:rsid w:val="002A1C37"/>
    <w:rsid w:val="002A23A5"/>
    <w:rsid w:val="002B0435"/>
    <w:rsid w:val="002B0445"/>
    <w:rsid w:val="002B0C9E"/>
    <w:rsid w:val="002B13F6"/>
    <w:rsid w:val="002B3512"/>
    <w:rsid w:val="002B4546"/>
    <w:rsid w:val="002B5309"/>
    <w:rsid w:val="002B5FF1"/>
    <w:rsid w:val="002B656C"/>
    <w:rsid w:val="002B6969"/>
    <w:rsid w:val="002C016C"/>
    <w:rsid w:val="002C0D56"/>
    <w:rsid w:val="002C3038"/>
    <w:rsid w:val="002C3D8F"/>
    <w:rsid w:val="002C6A0C"/>
    <w:rsid w:val="002C6B1B"/>
    <w:rsid w:val="002C724E"/>
    <w:rsid w:val="002D0833"/>
    <w:rsid w:val="002D16E8"/>
    <w:rsid w:val="002E569D"/>
    <w:rsid w:val="002E6E80"/>
    <w:rsid w:val="002E70DE"/>
    <w:rsid w:val="002F0D2A"/>
    <w:rsid w:val="002F160A"/>
    <w:rsid w:val="002F1CF2"/>
    <w:rsid w:val="002F36B1"/>
    <w:rsid w:val="002F4FFA"/>
    <w:rsid w:val="002F6BAD"/>
    <w:rsid w:val="002F7098"/>
    <w:rsid w:val="003003DE"/>
    <w:rsid w:val="00300D50"/>
    <w:rsid w:val="00302F70"/>
    <w:rsid w:val="003034BA"/>
    <w:rsid w:val="0030387A"/>
    <w:rsid w:val="00303EFB"/>
    <w:rsid w:val="00304692"/>
    <w:rsid w:val="003048F1"/>
    <w:rsid w:val="0030541B"/>
    <w:rsid w:val="003072D4"/>
    <w:rsid w:val="003076E5"/>
    <w:rsid w:val="00307F8E"/>
    <w:rsid w:val="00310DA0"/>
    <w:rsid w:val="00311CFE"/>
    <w:rsid w:val="00312104"/>
    <w:rsid w:val="00312896"/>
    <w:rsid w:val="00312CD2"/>
    <w:rsid w:val="00313155"/>
    <w:rsid w:val="003147BD"/>
    <w:rsid w:val="00316C54"/>
    <w:rsid w:val="0032353A"/>
    <w:rsid w:val="00323939"/>
    <w:rsid w:val="00324588"/>
    <w:rsid w:val="00325728"/>
    <w:rsid w:val="00325949"/>
    <w:rsid w:val="00326B86"/>
    <w:rsid w:val="00330268"/>
    <w:rsid w:val="00331A66"/>
    <w:rsid w:val="00331B2F"/>
    <w:rsid w:val="00334E11"/>
    <w:rsid w:val="0033568A"/>
    <w:rsid w:val="00335D4D"/>
    <w:rsid w:val="0033689B"/>
    <w:rsid w:val="0034221F"/>
    <w:rsid w:val="00343F9F"/>
    <w:rsid w:val="00345610"/>
    <w:rsid w:val="00345928"/>
    <w:rsid w:val="00347496"/>
    <w:rsid w:val="00347889"/>
    <w:rsid w:val="00347F6E"/>
    <w:rsid w:val="00351ABC"/>
    <w:rsid w:val="003523E6"/>
    <w:rsid w:val="00355610"/>
    <w:rsid w:val="00355701"/>
    <w:rsid w:val="003569D7"/>
    <w:rsid w:val="003601DE"/>
    <w:rsid w:val="0036296D"/>
    <w:rsid w:val="00362A6A"/>
    <w:rsid w:val="003649D6"/>
    <w:rsid w:val="00366EE4"/>
    <w:rsid w:val="00367F0F"/>
    <w:rsid w:val="00372A01"/>
    <w:rsid w:val="00372D67"/>
    <w:rsid w:val="00373E38"/>
    <w:rsid w:val="00376287"/>
    <w:rsid w:val="00377164"/>
    <w:rsid w:val="0038309B"/>
    <w:rsid w:val="00383BCB"/>
    <w:rsid w:val="00384882"/>
    <w:rsid w:val="003849F5"/>
    <w:rsid w:val="00387358"/>
    <w:rsid w:val="00387B63"/>
    <w:rsid w:val="00392E35"/>
    <w:rsid w:val="00392F4B"/>
    <w:rsid w:val="00395091"/>
    <w:rsid w:val="003A0680"/>
    <w:rsid w:val="003A2009"/>
    <w:rsid w:val="003A2540"/>
    <w:rsid w:val="003A3723"/>
    <w:rsid w:val="003A3848"/>
    <w:rsid w:val="003A4023"/>
    <w:rsid w:val="003A4F53"/>
    <w:rsid w:val="003A537E"/>
    <w:rsid w:val="003A6141"/>
    <w:rsid w:val="003A72CD"/>
    <w:rsid w:val="003B0471"/>
    <w:rsid w:val="003B15B1"/>
    <w:rsid w:val="003B198E"/>
    <w:rsid w:val="003B3B0B"/>
    <w:rsid w:val="003B4063"/>
    <w:rsid w:val="003B42A6"/>
    <w:rsid w:val="003B46FC"/>
    <w:rsid w:val="003C22BA"/>
    <w:rsid w:val="003C2407"/>
    <w:rsid w:val="003C3744"/>
    <w:rsid w:val="003C3DF2"/>
    <w:rsid w:val="003C4913"/>
    <w:rsid w:val="003C4BFF"/>
    <w:rsid w:val="003C4ECC"/>
    <w:rsid w:val="003C60AD"/>
    <w:rsid w:val="003C69C4"/>
    <w:rsid w:val="003C7948"/>
    <w:rsid w:val="003D02DE"/>
    <w:rsid w:val="003D20EB"/>
    <w:rsid w:val="003D6222"/>
    <w:rsid w:val="003D6FB8"/>
    <w:rsid w:val="003E1368"/>
    <w:rsid w:val="003E1A52"/>
    <w:rsid w:val="003E2217"/>
    <w:rsid w:val="003E4227"/>
    <w:rsid w:val="003E51F3"/>
    <w:rsid w:val="003E572A"/>
    <w:rsid w:val="003E700B"/>
    <w:rsid w:val="003F073B"/>
    <w:rsid w:val="003F1151"/>
    <w:rsid w:val="003F16B6"/>
    <w:rsid w:val="003F24C4"/>
    <w:rsid w:val="003F2F23"/>
    <w:rsid w:val="003F3D76"/>
    <w:rsid w:val="003F413C"/>
    <w:rsid w:val="003F4609"/>
    <w:rsid w:val="003F6253"/>
    <w:rsid w:val="003F79B2"/>
    <w:rsid w:val="00401623"/>
    <w:rsid w:val="004017C3"/>
    <w:rsid w:val="00402663"/>
    <w:rsid w:val="0040306E"/>
    <w:rsid w:val="0040333F"/>
    <w:rsid w:val="0040342F"/>
    <w:rsid w:val="00404C4A"/>
    <w:rsid w:val="0040541A"/>
    <w:rsid w:val="004057C2"/>
    <w:rsid w:val="00406A37"/>
    <w:rsid w:val="0041074E"/>
    <w:rsid w:val="0041179E"/>
    <w:rsid w:val="00411BAF"/>
    <w:rsid w:val="004129E0"/>
    <w:rsid w:val="0041308C"/>
    <w:rsid w:val="004140AB"/>
    <w:rsid w:val="00415750"/>
    <w:rsid w:val="00415AAB"/>
    <w:rsid w:val="00415E30"/>
    <w:rsid w:val="00417661"/>
    <w:rsid w:val="00417D19"/>
    <w:rsid w:val="004201A3"/>
    <w:rsid w:val="00420C3D"/>
    <w:rsid w:val="004220ED"/>
    <w:rsid w:val="00422573"/>
    <w:rsid w:val="00423C3B"/>
    <w:rsid w:val="00425843"/>
    <w:rsid w:val="00425C30"/>
    <w:rsid w:val="0043026A"/>
    <w:rsid w:val="004311A5"/>
    <w:rsid w:val="004326E9"/>
    <w:rsid w:val="004356B0"/>
    <w:rsid w:val="00435B13"/>
    <w:rsid w:val="00437796"/>
    <w:rsid w:val="00437939"/>
    <w:rsid w:val="00437C24"/>
    <w:rsid w:val="00437F7A"/>
    <w:rsid w:val="00441696"/>
    <w:rsid w:val="00442423"/>
    <w:rsid w:val="00443437"/>
    <w:rsid w:val="00444741"/>
    <w:rsid w:val="0044640C"/>
    <w:rsid w:val="004472FA"/>
    <w:rsid w:val="00447C24"/>
    <w:rsid w:val="00450900"/>
    <w:rsid w:val="00452C84"/>
    <w:rsid w:val="004551EC"/>
    <w:rsid w:val="00456BB9"/>
    <w:rsid w:val="004578F1"/>
    <w:rsid w:val="00460A25"/>
    <w:rsid w:val="00460FE0"/>
    <w:rsid w:val="00461656"/>
    <w:rsid w:val="00463313"/>
    <w:rsid w:val="00463944"/>
    <w:rsid w:val="00464599"/>
    <w:rsid w:val="00466713"/>
    <w:rsid w:val="00467161"/>
    <w:rsid w:val="004703D3"/>
    <w:rsid w:val="00472664"/>
    <w:rsid w:val="004734A1"/>
    <w:rsid w:val="00477371"/>
    <w:rsid w:val="00477570"/>
    <w:rsid w:val="0048022E"/>
    <w:rsid w:val="00480665"/>
    <w:rsid w:val="00480DDA"/>
    <w:rsid w:val="00480FA7"/>
    <w:rsid w:val="00481A9A"/>
    <w:rsid w:val="00482645"/>
    <w:rsid w:val="00482772"/>
    <w:rsid w:val="00482DAC"/>
    <w:rsid w:val="00483286"/>
    <w:rsid w:val="004833ED"/>
    <w:rsid w:val="004839B1"/>
    <w:rsid w:val="00483BBF"/>
    <w:rsid w:val="0048551E"/>
    <w:rsid w:val="00485675"/>
    <w:rsid w:val="00485B5B"/>
    <w:rsid w:val="0048782A"/>
    <w:rsid w:val="004926E0"/>
    <w:rsid w:val="00493785"/>
    <w:rsid w:val="0049614E"/>
    <w:rsid w:val="00497D4E"/>
    <w:rsid w:val="004A5555"/>
    <w:rsid w:val="004A5C8B"/>
    <w:rsid w:val="004A7B18"/>
    <w:rsid w:val="004A7D2B"/>
    <w:rsid w:val="004A7E23"/>
    <w:rsid w:val="004A7F50"/>
    <w:rsid w:val="004B001D"/>
    <w:rsid w:val="004B1B72"/>
    <w:rsid w:val="004B67DB"/>
    <w:rsid w:val="004B6A11"/>
    <w:rsid w:val="004B747F"/>
    <w:rsid w:val="004B7B1E"/>
    <w:rsid w:val="004C10BB"/>
    <w:rsid w:val="004C164B"/>
    <w:rsid w:val="004C2E0A"/>
    <w:rsid w:val="004C3C68"/>
    <w:rsid w:val="004D0748"/>
    <w:rsid w:val="004D0EAC"/>
    <w:rsid w:val="004D64A5"/>
    <w:rsid w:val="004D65DA"/>
    <w:rsid w:val="004D7557"/>
    <w:rsid w:val="004D765A"/>
    <w:rsid w:val="004E1C2C"/>
    <w:rsid w:val="004E1C93"/>
    <w:rsid w:val="004E2588"/>
    <w:rsid w:val="004E390B"/>
    <w:rsid w:val="004E448F"/>
    <w:rsid w:val="004E608C"/>
    <w:rsid w:val="004E779C"/>
    <w:rsid w:val="004F0339"/>
    <w:rsid w:val="004F763C"/>
    <w:rsid w:val="004F7A31"/>
    <w:rsid w:val="004F7D5E"/>
    <w:rsid w:val="00500476"/>
    <w:rsid w:val="00502577"/>
    <w:rsid w:val="00504207"/>
    <w:rsid w:val="0050554A"/>
    <w:rsid w:val="00507394"/>
    <w:rsid w:val="00507451"/>
    <w:rsid w:val="00510D48"/>
    <w:rsid w:val="005119C9"/>
    <w:rsid w:val="00511A0E"/>
    <w:rsid w:val="005143CD"/>
    <w:rsid w:val="00514476"/>
    <w:rsid w:val="0051635A"/>
    <w:rsid w:val="0051653B"/>
    <w:rsid w:val="00517953"/>
    <w:rsid w:val="00520E29"/>
    <w:rsid w:val="0052262E"/>
    <w:rsid w:val="00522BF5"/>
    <w:rsid w:val="00522C1C"/>
    <w:rsid w:val="00523679"/>
    <w:rsid w:val="0053025C"/>
    <w:rsid w:val="00531000"/>
    <w:rsid w:val="00533F15"/>
    <w:rsid w:val="005354A4"/>
    <w:rsid w:val="00537018"/>
    <w:rsid w:val="00540A3F"/>
    <w:rsid w:val="00541B97"/>
    <w:rsid w:val="00541EFA"/>
    <w:rsid w:val="00545F0F"/>
    <w:rsid w:val="00546198"/>
    <w:rsid w:val="005503C9"/>
    <w:rsid w:val="00552143"/>
    <w:rsid w:val="00552355"/>
    <w:rsid w:val="005526FE"/>
    <w:rsid w:val="00552BE2"/>
    <w:rsid w:val="00552BF3"/>
    <w:rsid w:val="00552C82"/>
    <w:rsid w:val="005554FE"/>
    <w:rsid w:val="00556203"/>
    <w:rsid w:val="0055742D"/>
    <w:rsid w:val="00557D90"/>
    <w:rsid w:val="005612CB"/>
    <w:rsid w:val="005629FF"/>
    <w:rsid w:val="00564725"/>
    <w:rsid w:val="00565862"/>
    <w:rsid w:val="00566142"/>
    <w:rsid w:val="005662B0"/>
    <w:rsid w:val="00570271"/>
    <w:rsid w:val="00571ECE"/>
    <w:rsid w:val="00572CF3"/>
    <w:rsid w:val="00576728"/>
    <w:rsid w:val="00585BC1"/>
    <w:rsid w:val="00585C5F"/>
    <w:rsid w:val="00587E68"/>
    <w:rsid w:val="00592237"/>
    <w:rsid w:val="005947A6"/>
    <w:rsid w:val="00595AEA"/>
    <w:rsid w:val="00595D26"/>
    <w:rsid w:val="00596240"/>
    <w:rsid w:val="00596D34"/>
    <w:rsid w:val="005A2886"/>
    <w:rsid w:val="005A5A31"/>
    <w:rsid w:val="005A6067"/>
    <w:rsid w:val="005A7D4D"/>
    <w:rsid w:val="005B1DD8"/>
    <w:rsid w:val="005B2D13"/>
    <w:rsid w:val="005B3222"/>
    <w:rsid w:val="005B379E"/>
    <w:rsid w:val="005B4CA2"/>
    <w:rsid w:val="005B4E50"/>
    <w:rsid w:val="005C241F"/>
    <w:rsid w:val="005C3B35"/>
    <w:rsid w:val="005C56AC"/>
    <w:rsid w:val="005D0548"/>
    <w:rsid w:val="005D1477"/>
    <w:rsid w:val="005D1562"/>
    <w:rsid w:val="005D315A"/>
    <w:rsid w:val="005D3973"/>
    <w:rsid w:val="005D43FF"/>
    <w:rsid w:val="005D449E"/>
    <w:rsid w:val="005D6939"/>
    <w:rsid w:val="005D7650"/>
    <w:rsid w:val="005D7782"/>
    <w:rsid w:val="005E4524"/>
    <w:rsid w:val="005E576B"/>
    <w:rsid w:val="005E7AEF"/>
    <w:rsid w:val="005F0057"/>
    <w:rsid w:val="005F392C"/>
    <w:rsid w:val="005F48D7"/>
    <w:rsid w:val="005F5A2C"/>
    <w:rsid w:val="005F624D"/>
    <w:rsid w:val="005F6275"/>
    <w:rsid w:val="005F75FC"/>
    <w:rsid w:val="006006F8"/>
    <w:rsid w:val="00603569"/>
    <w:rsid w:val="006040E9"/>
    <w:rsid w:val="00610391"/>
    <w:rsid w:val="006105EE"/>
    <w:rsid w:val="00610DA9"/>
    <w:rsid w:val="0061381F"/>
    <w:rsid w:val="00613CC6"/>
    <w:rsid w:val="00613E75"/>
    <w:rsid w:val="006164F1"/>
    <w:rsid w:val="00616D46"/>
    <w:rsid w:val="00616F1D"/>
    <w:rsid w:val="00620509"/>
    <w:rsid w:val="00620D7E"/>
    <w:rsid w:val="00621A53"/>
    <w:rsid w:val="00621E60"/>
    <w:rsid w:val="0062201F"/>
    <w:rsid w:val="00622CED"/>
    <w:rsid w:val="0062527C"/>
    <w:rsid w:val="00626542"/>
    <w:rsid w:val="00626C15"/>
    <w:rsid w:val="00627105"/>
    <w:rsid w:val="006277A3"/>
    <w:rsid w:val="00631332"/>
    <w:rsid w:val="00631B48"/>
    <w:rsid w:val="006332B6"/>
    <w:rsid w:val="006340FC"/>
    <w:rsid w:val="00637990"/>
    <w:rsid w:val="00637BFF"/>
    <w:rsid w:val="00637FE2"/>
    <w:rsid w:val="00641CAF"/>
    <w:rsid w:val="00646947"/>
    <w:rsid w:val="006475DC"/>
    <w:rsid w:val="00650D24"/>
    <w:rsid w:val="006519C1"/>
    <w:rsid w:val="0065630D"/>
    <w:rsid w:val="00657F59"/>
    <w:rsid w:val="0066030C"/>
    <w:rsid w:val="006615DD"/>
    <w:rsid w:val="00662ACF"/>
    <w:rsid w:val="006634D8"/>
    <w:rsid w:val="00665444"/>
    <w:rsid w:val="00665C5E"/>
    <w:rsid w:val="00666762"/>
    <w:rsid w:val="00667840"/>
    <w:rsid w:val="00670C74"/>
    <w:rsid w:val="006712CE"/>
    <w:rsid w:val="006721F1"/>
    <w:rsid w:val="00672B76"/>
    <w:rsid w:val="00674154"/>
    <w:rsid w:val="006744F7"/>
    <w:rsid w:val="0067581D"/>
    <w:rsid w:val="00675D13"/>
    <w:rsid w:val="006817D5"/>
    <w:rsid w:val="006818DB"/>
    <w:rsid w:val="0068228D"/>
    <w:rsid w:val="0068303C"/>
    <w:rsid w:val="006831B6"/>
    <w:rsid w:val="00684A9B"/>
    <w:rsid w:val="00691A38"/>
    <w:rsid w:val="00692892"/>
    <w:rsid w:val="00692C36"/>
    <w:rsid w:val="006947DF"/>
    <w:rsid w:val="00694A36"/>
    <w:rsid w:val="006951B5"/>
    <w:rsid w:val="0069524B"/>
    <w:rsid w:val="00696030"/>
    <w:rsid w:val="00697C03"/>
    <w:rsid w:val="006A00DA"/>
    <w:rsid w:val="006A1F85"/>
    <w:rsid w:val="006A210C"/>
    <w:rsid w:val="006A28E2"/>
    <w:rsid w:val="006A2B28"/>
    <w:rsid w:val="006A4D56"/>
    <w:rsid w:val="006A59A2"/>
    <w:rsid w:val="006A5ECF"/>
    <w:rsid w:val="006A669E"/>
    <w:rsid w:val="006B12E8"/>
    <w:rsid w:val="006B1B75"/>
    <w:rsid w:val="006B2014"/>
    <w:rsid w:val="006B2340"/>
    <w:rsid w:val="006B324C"/>
    <w:rsid w:val="006B449D"/>
    <w:rsid w:val="006B5088"/>
    <w:rsid w:val="006B5A78"/>
    <w:rsid w:val="006B5C08"/>
    <w:rsid w:val="006B7503"/>
    <w:rsid w:val="006B79D8"/>
    <w:rsid w:val="006C0C1E"/>
    <w:rsid w:val="006C18D2"/>
    <w:rsid w:val="006C1C3C"/>
    <w:rsid w:val="006C22D3"/>
    <w:rsid w:val="006C3882"/>
    <w:rsid w:val="006C5128"/>
    <w:rsid w:val="006C5A98"/>
    <w:rsid w:val="006C7A10"/>
    <w:rsid w:val="006D167B"/>
    <w:rsid w:val="006D358F"/>
    <w:rsid w:val="006D3851"/>
    <w:rsid w:val="006D42CC"/>
    <w:rsid w:val="006D46AA"/>
    <w:rsid w:val="006D4BE8"/>
    <w:rsid w:val="006D4C79"/>
    <w:rsid w:val="006D52A9"/>
    <w:rsid w:val="006D5989"/>
    <w:rsid w:val="006D662E"/>
    <w:rsid w:val="006D6C7B"/>
    <w:rsid w:val="006E079B"/>
    <w:rsid w:val="006E1024"/>
    <w:rsid w:val="006E1220"/>
    <w:rsid w:val="006E1F92"/>
    <w:rsid w:val="006E2598"/>
    <w:rsid w:val="006E4FEE"/>
    <w:rsid w:val="006E6356"/>
    <w:rsid w:val="006E67FB"/>
    <w:rsid w:val="006E6C8E"/>
    <w:rsid w:val="006F132D"/>
    <w:rsid w:val="006F3003"/>
    <w:rsid w:val="006F3A48"/>
    <w:rsid w:val="006F3DB1"/>
    <w:rsid w:val="006F4515"/>
    <w:rsid w:val="006F49B6"/>
    <w:rsid w:val="006F542E"/>
    <w:rsid w:val="006F5A99"/>
    <w:rsid w:val="007002AA"/>
    <w:rsid w:val="00700921"/>
    <w:rsid w:val="00700E1F"/>
    <w:rsid w:val="00705D43"/>
    <w:rsid w:val="0070628E"/>
    <w:rsid w:val="00707A12"/>
    <w:rsid w:val="0071054C"/>
    <w:rsid w:val="0071116F"/>
    <w:rsid w:val="00711296"/>
    <w:rsid w:val="00711489"/>
    <w:rsid w:val="00711E10"/>
    <w:rsid w:val="00712F7B"/>
    <w:rsid w:val="00713DFB"/>
    <w:rsid w:val="00714916"/>
    <w:rsid w:val="00714D2D"/>
    <w:rsid w:val="00715EC6"/>
    <w:rsid w:val="00717CEF"/>
    <w:rsid w:val="0072021A"/>
    <w:rsid w:val="00722284"/>
    <w:rsid w:val="0072296C"/>
    <w:rsid w:val="00722E81"/>
    <w:rsid w:val="00723FB7"/>
    <w:rsid w:val="00730ACA"/>
    <w:rsid w:val="00730C03"/>
    <w:rsid w:val="00732152"/>
    <w:rsid w:val="00733E6E"/>
    <w:rsid w:val="007344A9"/>
    <w:rsid w:val="00734575"/>
    <w:rsid w:val="00735CFC"/>
    <w:rsid w:val="00735D71"/>
    <w:rsid w:val="00736148"/>
    <w:rsid w:val="00736B32"/>
    <w:rsid w:val="00737A0E"/>
    <w:rsid w:val="007401E7"/>
    <w:rsid w:val="00743156"/>
    <w:rsid w:val="00745E15"/>
    <w:rsid w:val="007475EE"/>
    <w:rsid w:val="007478D2"/>
    <w:rsid w:val="00751019"/>
    <w:rsid w:val="00757520"/>
    <w:rsid w:val="007577E7"/>
    <w:rsid w:val="007605A9"/>
    <w:rsid w:val="0076167D"/>
    <w:rsid w:val="0076289B"/>
    <w:rsid w:val="00763E0D"/>
    <w:rsid w:val="0076475D"/>
    <w:rsid w:val="007649AC"/>
    <w:rsid w:val="00766EBB"/>
    <w:rsid w:val="00767293"/>
    <w:rsid w:val="007722FA"/>
    <w:rsid w:val="0077380F"/>
    <w:rsid w:val="007743CA"/>
    <w:rsid w:val="00776403"/>
    <w:rsid w:val="00777B4C"/>
    <w:rsid w:val="00781923"/>
    <w:rsid w:val="00784009"/>
    <w:rsid w:val="00784CB0"/>
    <w:rsid w:val="0078524F"/>
    <w:rsid w:val="0078544C"/>
    <w:rsid w:val="00785558"/>
    <w:rsid w:val="007868B0"/>
    <w:rsid w:val="00786F12"/>
    <w:rsid w:val="0078751B"/>
    <w:rsid w:val="007902F5"/>
    <w:rsid w:val="00790968"/>
    <w:rsid w:val="00790CF3"/>
    <w:rsid w:val="00794717"/>
    <w:rsid w:val="00795A02"/>
    <w:rsid w:val="0079648C"/>
    <w:rsid w:val="00797105"/>
    <w:rsid w:val="007978CE"/>
    <w:rsid w:val="00797D07"/>
    <w:rsid w:val="007A0729"/>
    <w:rsid w:val="007A3C25"/>
    <w:rsid w:val="007A4717"/>
    <w:rsid w:val="007A7508"/>
    <w:rsid w:val="007C1C1A"/>
    <w:rsid w:val="007C1EAE"/>
    <w:rsid w:val="007C2E80"/>
    <w:rsid w:val="007C3DF3"/>
    <w:rsid w:val="007C47D1"/>
    <w:rsid w:val="007C5873"/>
    <w:rsid w:val="007C5CBD"/>
    <w:rsid w:val="007C671F"/>
    <w:rsid w:val="007D0A59"/>
    <w:rsid w:val="007D0D89"/>
    <w:rsid w:val="007D52A8"/>
    <w:rsid w:val="007D52CD"/>
    <w:rsid w:val="007D5FAC"/>
    <w:rsid w:val="007D6479"/>
    <w:rsid w:val="007D7BC7"/>
    <w:rsid w:val="007E2EBE"/>
    <w:rsid w:val="007E2F82"/>
    <w:rsid w:val="007E3568"/>
    <w:rsid w:val="007E543F"/>
    <w:rsid w:val="007E552C"/>
    <w:rsid w:val="007F0464"/>
    <w:rsid w:val="007F141A"/>
    <w:rsid w:val="007F2D72"/>
    <w:rsid w:val="007F3D00"/>
    <w:rsid w:val="007F3D98"/>
    <w:rsid w:val="007F4654"/>
    <w:rsid w:val="007F5FF0"/>
    <w:rsid w:val="007F794E"/>
    <w:rsid w:val="00801FBF"/>
    <w:rsid w:val="00803D3C"/>
    <w:rsid w:val="0080591C"/>
    <w:rsid w:val="0081037F"/>
    <w:rsid w:val="008109D2"/>
    <w:rsid w:val="008111F7"/>
    <w:rsid w:val="00813477"/>
    <w:rsid w:val="00814876"/>
    <w:rsid w:val="00814B12"/>
    <w:rsid w:val="008152E2"/>
    <w:rsid w:val="008169FD"/>
    <w:rsid w:val="00821CB7"/>
    <w:rsid w:val="00821FFD"/>
    <w:rsid w:val="008220BA"/>
    <w:rsid w:val="0082252B"/>
    <w:rsid w:val="008228FA"/>
    <w:rsid w:val="008236DB"/>
    <w:rsid w:val="00823E33"/>
    <w:rsid w:val="008248B3"/>
    <w:rsid w:val="00827A4C"/>
    <w:rsid w:val="00830E6E"/>
    <w:rsid w:val="0083138A"/>
    <w:rsid w:val="00833FFC"/>
    <w:rsid w:val="00834277"/>
    <w:rsid w:val="008346FE"/>
    <w:rsid w:val="00834AC5"/>
    <w:rsid w:val="00837C07"/>
    <w:rsid w:val="00840686"/>
    <w:rsid w:val="00842E41"/>
    <w:rsid w:val="00845335"/>
    <w:rsid w:val="008465C2"/>
    <w:rsid w:val="00847371"/>
    <w:rsid w:val="00847915"/>
    <w:rsid w:val="008508A7"/>
    <w:rsid w:val="008509FE"/>
    <w:rsid w:val="0085211F"/>
    <w:rsid w:val="00853C48"/>
    <w:rsid w:val="00853DFF"/>
    <w:rsid w:val="0085573E"/>
    <w:rsid w:val="00861129"/>
    <w:rsid w:val="00865DB7"/>
    <w:rsid w:val="008661E8"/>
    <w:rsid w:val="0086668C"/>
    <w:rsid w:val="008709E1"/>
    <w:rsid w:val="00871AEF"/>
    <w:rsid w:val="00872F1F"/>
    <w:rsid w:val="008738A6"/>
    <w:rsid w:val="00873FFC"/>
    <w:rsid w:val="008744DC"/>
    <w:rsid w:val="008754B1"/>
    <w:rsid w:val="00877C5C"/>
    <w:rsid w:val="00881142"/>
    <w:rsid w:val="00881AB0"/>
    <w:rsid w:val="00881FB4"/>
    <w:rsid w:val="008823EA"/>
    <w:rsid w:val="00884C1F"/>
    <w:rsid w:val="00884D9A"/>
    <w:rsid w:val="008900A0"/>
    <w:rsid w:val="0089106B"/>
    <w:rsid w:val="008926F5"/>
    <w:rsid w:val="00893F4F"/>
    <w:rsid w:val="00894645"/>
    <w:rsid w:val="00894D7F"/>
    <w:rsid w:val="0089500F"/>
    <w:rsid w:val="00896BB7"/>
    <w:rsid w:val="008972FD"/>
    <w:rsid w:val="008A02F5"/>
    <w:rsid w:val="008A14AB"/>
    <w:rsid w:val="008A321F"/>
    <w:rsid w:val="008A39DF"/>
    <w:rsid w:val="008A41EB"/>
    <w:rsid w:val="008A6249"/>
    <w:rsid w:val="008A6840"/>
    <w:rsid w:val="008B0B83"/>
    <w:rsid w:val="008B225F"/>
    <w:rsid w:val="008B3077"/>
    <w:rsid w:val="008B3765"/>
    <w:rsid w:val="008C0020"/>
    <w:rsid w:val="008C10D8"/>
    <w:rsid w:val="008C144B"/>
    <w:rsid w:val="008C1BE9"/>
    <w:rsid w:val="008C4B4E"/>
    <w:rsid w:val="008C4EC6"/>
    <w:rsid w:val="008C5BDB"/>
    <w:rsid w:val="008C5BDF"/>
    <w:rsid w:val="008C67F8"/>
    <w:rsid w:val="008C77DF"/>
    <w:rsid w:val="008D04B1"/>
    <w:rsid w:val="008D12CF"/>
    <w:rsid w:val="008D1981"/>
    <w:rsid w:val="008D1F63"/>
    <w:rsid w:val="008D2C83"/>
    <w:rsid w:val="008D526F"/>
    <w:rsid w:val="008D626F"/>
    <w:rsid w:val="008D68E6"/>
    <w:rsid w:val="008D6996"/>
    <w:rsid w:val="008D6B7B"/>
    <w:rsid w:val="008D6C88"/>
    <w:rsid w:val="008D7010"/>
    <w:rsid w:val="008D7B86"/>
    <w:rsid w:val="008E0503"/>
    <w:rsid w:val="008E113E"/>
    <w:rsid w:val="008E1CA2"/>
    <w:rsid w:val="008E2DEA"/>
    <w:rsid w:val="008E3001"/>
    <w:rsid w:val="008E3B98"/>
    <w:rsid w:val="008E3E7D"/>
    <w:rsid w:val="008E4CE6"/>
    <w:rsid w:val="008E4DF6"/>
    <w:rsid w:val="008E7D85"/>
    <w:rsid w:val="008E7FC4"/>
    <w:rsid w:val="008F00C5"/>
    <w:rsid w:val="008F18F6"/>
    <w:rsid w:val="008F27E6"/>
    <w:rsid w:val="008F3832"/>
    <w:rsid w:val="008F3E40"/>
    <w:rsid w:val="008F6300"/>
    <w:rsid w:val="008F69C7"/>
    <w:rsid w:val="008F6BF4"/>
    <w:rsid w:val="00903200"/>
    <w:rsid w:val="00903978"/>
    <w:rsid w:val="00903B9A"/>
    <w:rsid w:val="00903E7B"/>
    <w:rsid w:val="009048A7"/>
    <w:rsid w:val="00904C79"/>
    <w:rsid w:val="00905847"/>
    <w:rsid w:val="009073FE"/>
    <w:rsid w:val="009104BD"/>
    <w:rsid w:val="00910F33"/>
    <w:rsid w:val="00912F81"/>
    <w:rsid w:val="00914405"/>
    <w:rsid w:val="00915964"/>
    <w:rsid w:val="00916E45"/>
    <w:rsid w:val="00917880"/>
    <w:rsid w:val="00920199"/>
    <w:rsid w:val="009201B5"/>
    <w:rsid w:val="00923965"/>
    <w:rsid w:val="009243AC"/>
    <w:rsid w:val="0092721C"/>
    <w:rsid w:val="009302BC"/>
    <w:rsid w:val="009302E2"/>
    <w:rsid w:val="009305D2"/>
    <w:rsid w:val="00930F17"/>
    <w:rsid w:val="00932637"/>
    <w:rsid w:val="00934021"/>
    <w:rsid w:val="00934830"/>
    <w:rsid w:val="00935252"/>
    <w:rsid w:val="00936E3B"/>
    <w:rsid w:val="0094013C"/>
    <w:rsid w:val="00942FE6"/>
    <w:rsid w:val="00943762"/>
    <w:rsid w:val="00943D55"/>
    <w:rsid w:val="009441C5"/>
    <w:rsid w:val="00944B21"/>
    <w:rsid w:val="00944F62"/>
    <w:rsid w:val="009473FE"/>
    <w:rsid w:val="00951C1B"/>
    <w:rsid w:val="0095244B"/>
    <w:rsid w:val="00952BB4"/>
    <w:rsid w:val="00954550"/>
    <w:rsid w:val="00956513"/>
    <w:rsid w:val="00956EF4"/>
    <w:rsid w:val="00957B12"/>
    <w:rsid w:val="0096067C"/>
    <w:rsid w:val="00960E03"/>
    <w:rsid w:val="00963E09"/>
    <w:rsid w:val="00966797"/>
    <w:rsid w:val="00967F78"/>
    <w:rsid w:val="00970C17"/>
    <w:rsid w:val="0097160A"/>
    <w:rsid w:val="00972A26"/>
    <w:rsid w:val="00973706"/>
    <w:rsid w:val="009772D5"/>
    <w:rsid w:val="00980230"/>
    <w:rsid w:val="0098055C"/>
    <w:rsid w:val="00980AE6"/>
    <w:rsid w:val="0098171A"/>
    <w:rsid w:val="00982C89"/>
    <w:rsid w:val="00987CEF"/>
    <w:rsid w:val="00990A91"/>
    <w:rsid w:val="00990BFB"/>
    <w:rsid w:val="00992262"/>
    <w:rsid w:val="00993A92"/>
    <w:rsid w:val="009948F7"/>
    <w:rsid w:val="0099682B"/>
    <w:rsid w:val="009A0CB9"/>
    <w:rsid w:val="009A4472"/>
    <w:rsid w:val="009A723F"/>
    <w:rsid w:val="009B0674"/>
    <w:rsid w:val="009B1174"/>
    <w:rsid w:val="009B4732"/>
    <w:rsid w:val="009B5355"/>
    <w:rsid w:val="009B5D2C"/>
    <w:rsid w:val="009B5E85"/>
    <w:rsid w:val="009B7C1E"/>
    <w:rsid w:val="009B7FB8"/>
    <w:rsid w:val="009C018C"/>
    <w:rsid w:val="009C4FC6"/>
    <w:rsid w:val="009C6B79"/>
    <w:rsid w:val="009C6CAB"/>
    <w:rsid w:val="009C70D4"/>
    <w:rsid w:val="009D0A67"/>
    <w:rsid w:val="009D0BDD"/>
    <w:rsid w:val="009D30D9"/>
    <w:rsid w:val="009D4CB2"/>
    <w:rsid w:val="009D4DA2"/>
    <w:rsid w:val="009D6922"/>
    <w:rsid w:val="009E1A9A"/>
    <w:rsid w:val="009E375D"/>
    <w:rsid w:val="009E3D58"/>
    <w:rsid w:val="009E45D0"/>
    <w:rsid w:val="009E6F30"/>
    <w:rsid w:val="009F25A3"/>
    <w:rsid w:val="009F3D7E"/>
    <w:rsid w:val="009F3F56"/>
    <w:rsid w:val="009F5F09"/>
    <w:rsid w:val="009F612D"/>
    <w:rsid w:val="009F62E4"/>
    <w:rsid w:val="009F68F9"/>
    <w:rsid w:val="009F6D13"/>
    <w:rsid w:val="009F7780"/>
    <w:rsid w:val="00A01DFD"/>
    <w:rsid w:val="00A03AEF"/>
    <w:rsid w:val="00A04DA3"/>
    <w:rsid w:val="00A05C2D"/>
    <w:rsid w:val="00A06278"/>
    <w:rsid w:val="00A06EF1"/>
    <w:rsid w:val="00A0716D"/>
    <w:rsid w:val="00A07274"/>
    <w:rsid w:val="00A0733D"/>
    <w:rsid w:val="00A10A7C"/>
    <w:rsid w:val="00A13AEC"/>
    <w:rsid w:val="00A14EA1"/>
    <w:rsid w:val="00A17335"/>
    <w:rsid w:val="00A2064C"/>
    <w:rsid w:val="00A208EE"/>
    <w:rsid w:val="00A233D2"/>
    <w:rsid w:val="00A23AE3"/>
    <w:rsid w:val="00A240CA"/>
    <w:rsid w:val="00A24485"/>
    <w:rsid w:val="00A2538D"/>
    <w:rsid w:val="00A257F7"/>
    <w:rsid w:val="00A2623E"/>
    <w:rsid w:val="00A27277"/>
    <w:rsid w:val="00A27722"/>
    <w:rsid w:val="00A27FB2"/>
    <w:rsid w:val="00A309D6"/>
    <w:rsid w:val="00A312EA"/>
    <w:rsid w:val="00A31753"/>
    <w:rsid w:val="00A31C4C"/>
    <w:rsid w:val="00A32878"/>
    <w:rsid w:val="00A332A0"/>
    <w:rsid w:val="00A33CC4"/>
    <w:rsid w:val="00A346EC"/>
    <w:rsid w:val="00A346FD"/>
    <w:rsid w:val="00A34931"/>
    <w:rsid w:val="00A3529C"/>
    <w:rsid w:val="00A3632A"/>
    <w:rsid w:val="00A36D07"/>
    <w:rsid w:val="00A36D9A"/>
    <w:rsid w:val="00A40A2B"/>
    <w:rsid w:val="00A42BC4"/>
    <w:rsid w:val="00A4334E"/>
    <w:rsid w:val="00A43640"/>
    <w:rsid w:val="00A43F31"/>
    <w:rsid w:val="00A441CE"/>
    <w:rsid w:val="00A44750"/>
    <w:rsid w:val="00A46220"/>
    <w:rsid w:val="00A46DA5"/>
    <w:rsid w:val="00A477B0"/>
    <w:rsid w:val="00A512D9"/>
    <w:rsid w:val="00A513FD"/>
    <w:rsid w:val="00A51D42"/>
    <w:rsid w:val="00A54A51"/>
    <w:rsid w:val="00A560A6"/>
    <w:rsid w:val="00A56335"/>
    <w:rsid w:val="00A56B4D"/>
    <w:rsid w:val="00A6110E"/>
    <w:rsid w:val="00A61E93"/>
    <w:rsid w:val="00A6304F"/>
    <w:rsid w:val="00A66067"/>
    <w:rsid w:val="00A669C1"/>
    <w:rsid w:val="00A66F4B"/>
    <w:rsid w:val="00A72112"/>
    <w:rsid w:val="00A72F6A"/>
    <w:rsid w:val="00A73A48"/>
    <w:rsid w:val="00A75943"/>
    <w:rsid w:val="00A7625D"/>
    <w:rsid w:val="00A77FD7"/>
    <w:rsid w:val="00A81FBB"/>
    <w:rsid w:val="00A821D0"/>
    <w:rsid w:val="00A82AD6"/>
    <w:rsid w:val="00A82EAB"/>
    <w:rsid w:val="00A834B1"/>
    <w:rsid w:val="00A84F36"/>
    <w:rsid w:val="00A8670C"/>
    <w:rsid w:val="00A867CB"/>
    <w:rsid w:val="00A87F97"/>
    <w:rsid w:val="00A91007"/>
    <w:rsid w:val="00A9196D"/>
    <w:rsid w:val="00A92E86"/>
    <w:rsid w:val="00A96138"/>
    <w:rsid w:val="00A962FD"/>
    <w:rsid w:val="00A96858"/>
    <w:rsid w:val="00A969FF"/>
    <w:rsid w:val="00AA0CDA"/>
    <w:rsid w:val="00AA1F6E"/>
    <w:rsid w:val="00AA370E"/>
    <w:rsid w:val="00AA37F8"/>
    <w:rsid w:val="00AA5193"/>
    <w:rsid w:val="00AA59B3"/>
    <w:rsid w:val="00AA606B"/>
    <w:rsid w:val="00AA7571"/>
    <w:rsid w:val="00AB0E30"/>
    <w:rsid w:val="00AB212C"/>
    <w:rsid w:val="00AB3919"/>
    <w:rsid w:val="00AB3E66"/>
    <w:rsid w:val="00AB477D"/>
    <w:rsid w:val="00AB5229"/>
    <w:rsid w:val="00AB5DE7"/>
    <w:rsid w:val="00AB6D04"/>
    <w:rsid w:val="00AB6D78"/>
    <w:rsid w:val="00AB72A6"/>
    <w:rsid w:val="00AC0403"/>
    <w:rsid w:val="00AC1D1B"/>
    <w:rsid w:val="00AC2218"/>
    <w:rsid w:val="00AC6326"/>
    <w:rsid w:val="00AC67C7"/>
    <w:rsid w:val="00AD3AEE"/>
    <w:rsid w:val="00AD6A7E"/>
    <w:rsid w:val="00AE0219"/>
    <w:rsid w:val="00AE1233"/>
    <w:rsid w:val="00AE1E9B"/>
    <w:rsid w:val="00AE23FD"/>
    <w:rsid w:val="00AE326B"/>
    <w:rsid w:val="00AE3990"/>
    <w:rsid w:val="00AE6369"/>
    <w:rsid w:val="00AE63DE"/>
    <w:rsid w:val="00AF1F50"/>
    <w:rsid w:val="00AF26B3"/>
    <w:rsid w:val="00AF55EC"/>
    <w:rsid w:val="00AF65A2"/>
    <w:rsid w:val="00AF6936"/>
    <w:rsid w:val="00AF771D"/>
    <w:rsid w:val="00B00AB4"/>
    <w:rsid w:val="00B00CD9"/>
    <w:rsid w:val="00B014A0"/>
    <w:rsid w:val="00B0153F"/>
    <w:rsid w:val="00B03135"/>
    <w:rsid w:val="00B04178"/>
    <w:rsid w:val="00B048CC"/>
    <w:rsid w:val="00B04A34"/>
    <w:rsid w:val="00B06FE2"/>
    <w:rsid w:val="00B07095"/>
    <w:rsid w:val="00B074F2"/>
    <w:rsid w:val="00B11259"/>
    <w:rsid w:val="00B112C8"/>
    <w:rsid w:val="00B11E90"/>
    <w:rsid w:val="00B123F1"/>
    <w:rsid w:val="00B127DF"/>
    <w:rsid w:val="00B13A9C"/>
    <w:rsid w:val="00B14184"/>
    <w:rsid w:val="00B151D8"/>
    <w:rsid w:val="00B154ED"/>
    <w:rsid w:val="00B1613E"/>
    <w:rsid w:val="00B16AC2"/>
    <w:rsid w:val="00B16B19"/>
    <w:rsid w:val="00B17AE7"/>
    <w:rsid w:val="00B20BE1"/>
    <w:rsid w:val="00B2139C"/>
    <w:rsid w:val="00B25177"/>
    <w:rsid w:val="00B25434"/>
    <w:rsid w:val="00B25A20"/>
    <w:rsid w:val="00B26902"/>
    <w:rsid w:val="00B26C68"/>
    <w:rsid w:val="00B30171"/>
    <w:rsid w:val="00B302F5"/>
    <w:rsid w:val="00B30302"/>
    <w:rsid w:val="00B30C99"/>
    <w:rsid w:val="00B33E5B"/>
    <w:rsid w:val="00B355AB"/>
    <w:rsid w:val="00B36F20"/>
    <w:rsid w:val="00B37719"/>
    <w:rsid w:val="00B40729"/>
    <w:rsid w:val="00B42B5E"/>
    <w:rsid w:val="00B43266"/>
    <w:rsid w:val="00B45827"/>
    <w:rsid w:val="00B461F9"/>
    <w:rsid w:val="00B474D0"/>
    <w:rsid w:val="00B52167"/>
    <w:rsid w:val="00B53218"/>
    <w:rsid w:val="00B546E3"/>
    <w:rsid w:val="00B55087"/>
    <w:rsid w:val="00B55158"/>
    <w:rsid w:val="00B559EC"/>
    <w:rsid w:val="00B55E04"/>
    <w:rsid w:val="00B5600C"/>
    <w:rsid w:val="00B569DE"/>
    <w:rsid w:val="00B57069"/>
    <w:rsid w:val="00B57CE0"/>
    <w:rsid w:val="00B60612"/>
    <w:rsid w:val="00B61596"/>
    <w:rsid w:val="00B64BC3"/>
    <w:rsid w:val="00B661C0"/>
    <w:rsid w:val="00B66FDF"/>
    <w:rsid w:val="00B70712"/>
    <w:rsid w:val="00B70BB7"/>
    <w:rsid w:val="00B724E2"/>
    <w:rsid w:val="00B744CF"/>
    <w:rsid w:val="00B75363"/>
    <w:rsid w:val="00B766EE"/>
    <w:rsid w:val="00B8029F"/>
    <w:rsid w:val="00B8226C"/>
    <w:rsid w:val="00B84962"/>
    <w:rsid w:val="00B851ED"/>
    <w:rsid w:val="00B856E6"/>
    <w:rsid w:val="00B86940"/>
    <w:rsid w:val="00B86DF8"/>
    <w:rsid w:val="00B8706D"/>
    <w:rsid w:val="00B91CDD"/>
    <w:rsid w:val="00B92B28"/>
    <w:rsid w:val="00B9722B"/>
    <w:rsid w:val="00B972CE"/>
    <w:rsid w:val="00BA0166"/>
    <w:rsid w:val="00BA1570"/>
    <w:rsid w:val="00BA2BDC"/>
    <w:rsid w:val="00BA3F55"/>
    <w:rsid w:val="00BA4270"/>
    <w:rsid w:val="00BA508D"/>
    <w:rsid w:val="00BB0F3A"/>
    <w:rsid w:val="00BB1D52"/>
    <w:rsid w:val="00BB1F7B"/>
    <w:rsid w:val="00BB2086"/>
    <w:rsid w:val="00BB5974"/>
    <w:rsid w:val="00BB652B"/>
    <w:rsid w:val="00BC15E1"/>
    <w:rsid w:val="00BC1B9A"/>
    <w:rsid w:val="00BC47DD"/>
    <w:rsid w:val="00BC538C"/>
    <w:rsid w:val="00BC67EE"/>
    <w:rsid w:val="00BD222E"/>
    <w:rsid w:val="00BD6961"/>
    <w:rsid w:val="00BE0A11"/>
    <w:rsid w:val="00BE0E84"/>
    <w:rsid w:val="00BE1ECE"/>
    <w:rsid w:val="00BE249A"/>
    <w:rsid w:val="00BE3F9A"/>
    <w:rsid w:val="00BE4F0A"/>
    <w:rsid w:val="00BE573B"/>
    <w:rsid w:val="00BE60AA"/>
    <w:rsid w:val="00BF0A32"/>
    <w:rsid w:val="00BF1B0B"/>
    <w:rsid w:val="00BF35F6"/>
    <w:rsid w:val="00BF5E90"/>
    <w:rsid w:val="00BF6FE2"/>
    <w:rsid w:val="00BF7470"/>
    <w:rsid w:val="00BF7C3D"/>
    <w:rsid w:val="00C006F0"/>
    <w:rsid w:val="00C015AA"/>
    <w:rsid w:val="00C062D0"/>
    <w:rsid w:val="00C11682"/>
    <w:rsid w:val="00C1294A"/>
    <w:rsid w:val="00C16B79"/>
    <w:rsid w:val="00C17D57"/>
    <w:rsid w:val="00C17E03"/>
    <w:rsid w:val="00C214AD"/>
    <w:rsid w:val="00C21BD8"/>
    <w:rsid w:val="00C24629"/>
    <w:rsid w:val="00C3003A"/>
    <w:rsid w:val="00C31819"/>
    <w:rsid w:val="00C31A61"/>
    <w:rsid w:val="00C32017"/>
    <w:rsid w:val="00C33BE7"/>
    <w:rsid w:val="00C35694"/>
    <w:rsid w:val="00C404ED"/>
    <w:rsid w:val="00C41CF2"/>
    <w:rsid w:val="00C433ED"/>
    <w:rsid w:val="00C44819"/>
    <w:rsid w:val="00C44E07"/>
    <w:rsid w:val="00C452A5"/>
    <w:rsid w:val="00C45B94"/>
    <w:rsid w:val="00C45BF6"/>
    <w:rsid w:val="00C45F59"/>
    <w:rsid w:val="00C50414"/>
    <w:rsid w:val="00C50808"/>
    <w:rsid w:val="00C513F6"/>
    <w:rsid w:val="00C51AFF"/>
    <w:rsid w:val="00C53120"/>
    <w:rsid w:val="00C536DE"/>
    <w:rsid w:val="00C53AF3"/>
    <w:rsid w:val="00C55064"/>
    <w:rsid w:val="00C56D72"/>
    <w:rsid w:val="00C57147"/>
    <w:rsid w:val="00C5794A"/>
    <w:rsid w:val="00C61197"/>
    <w:rsid w:val="00C62EF1"/>
    <w:rsid w:val="00C65F8F"/>
    <w:rsid w:val="00C666CE"/>
    <w:rsid w:val="00C6714F"/>
    <w:rsid w:val="00C674FD"/>
    <w:rsid w:val="00C675D7"/>
    <w:rsid w:val="00C7077B"/>
    <w:rsid w:val="00C72499"/>
    <w:rsid w:val="00C729CD"/>
    <w:rsid w:val="00C73CBE"/>
    <w:rsid w:val="00C7631A"/>
    <w:rsid w:val="00C8251B"/>
    <w:rsid w:val="00C82AFE"/>
    <w:rsid w:val="00C8350E"/>
    <w:rsid w:val="00C86370"/>
    <w:rsid w:val="00C866C5"/>
    <w:rsid w:val="00C8703B"/>
    <w:rsid w:val="00C905CD"/>
    <w:rsid w:val="00C90997"/>
    <w:rsid w:val="00C92654"/>
    <w:rsid w:val="00C926CE"/>
    <w:rsid w:val="00C92D00"/>
    <w:rsid w:val="00C938A2"/>
    <w:rsid w:val="00C96DDA"/>
    <w:rsid w:val="00CA3091"/>
    <w:rsid w:val="00CA526E"/>
    <w:rsid w:val="00CA5861"/>
    <w:rsid w:val="00CA7DF1"/>
    <w:rsid w:val="00CB063E"/>
    <w:rsid w:val="00CB46CA"/>
    <w:rsid w:val="00CB4EC5"/>
    <w:rsid w:val="00CB52A4"/>
    <w:rsid w:val="00CB7BA1"/>
    <w:rsid w:val="00CC0C69"/>
    <w:rsid w:val="00CC31B6"/>
    <w:rsid w:val="00CC4AC7"/>
    <w:rsid w:val="00CC6087"/>
    <w:rsid w:val="00CC7630"/>
    <w:rsid w:val="00CC7C8D"/>
    <w:rsid w:val="00CD0071"/>
    <w:rsid w:val="00CD1EC5"/>
    <w:rsid w:val="00CD2FD4"/>
    <w:rsid w:val="00CD346D"/>
    <w:rsid w:val="00CD4000"/>
    <w:rsid w:val="00CD4769"/>
    <w:rsid w:val="00CD4C4B"/>
    <w:rsid w:val="00CD65F7"/>
    <w:rsid w:val="00CD688D"/>
    <w:rsid w:val="00CD6EF8"/>
    <w:rsid w:val="00CD7375"/>
    <w:rsid w:val="00CE2071"/>
    <w:rsid w:val="00CE5AED"/>
    <w:rsid w:val="00CE5E68"/>
    <w:rsid w:val="00CE656F"/>
    <w:rsid w:val="00CE68FC"/>
    <w:rsid w:val="00CE7222"/>
    <w:rsid w:val="00CF109F"/>
    <w:rsid w:val="00CF1C41"/>
    <w:rsid w:val="00CF447A"/>
    <w:rsid w:val="00CF4BE7"/>
    <w:rsid w:val="00CF5A1E"/>
    <w:rsid w:val="00CF6285"/>
    <w:rsid w:val="00D01F8B"/>
    <w:rsid w:val="00D0286D"/>
    <w:rsid w:val="00D0390E"/>
    <w:rsid w:val="00D049D3"/>
    <w:rsid w:val="00D04E98"/>
    <w:rsid w:val="00D05476"/>
    <w:rsid w:val="00D06517"/>
    <w:rsid w:val="00D06A73"/>
    <w:rsid w:val="00D07EA6"/>
    <w:rsid w:val="00D10DAF"/>
    <w:rsid w:val="00D118B2"/>
    <w:rsid w:val="00D11C4A"/>
    <w:rsid w:val="00D126AB"/>
    <w:rsid w:val="00D13768"/>
    <w:rsid w:val="00D14795"/>
    <w:rsid w:val="00D16B57"/>
    <w:rsid w:val="00D21726"/>
    <w:rsid w:val="00D21DC1"/>
    <w:rsid w:val="00D22A42"/>
    <w:rsid w:val="00D22D88"/>
    <w:rsid w:val="00D243D3"/>
    <w:rsid w:val="00D26C2F"/>
    <w:rsid w:val="00D34FD3"/>
    <w:rsid w:val="00D35E01"/>
    <w:rsid w:val="00D36556"/>
    <w:rsid w:val="00D377DE"/>
    <w:rsid w:val="00D417FD"/>
    <w:rsid w:val="00D41D0F"/>
    <w:rsid w:val="00D43E03"/>
    <w:rsid w:val="00D44009"/>
    <w:rsid w:val="00D44C57"/>
    <w:rsid w:val="00D44D36"/>
    <w:rsid w:val="00D45438"/>
    <w:rsid w:val="00D46B14"/>
    <w:rsid w:val="00D46CB7"/>
    <w:rsid w:val="00D46EC5"/>
    <w:rsid w:val="00D47B2F"/>
    <w:rsid w:val="00D47F12"/>
    <w:rsid w:val="00D519C5"/>
    <w:rsid w:val="00D51ECF"/>
    <w:rsid w:val="00D52A58"/>
    <w:rsid w:val="00D53ED9"/>
    <w:rsid w:val="00D564CA"/>
    <w:rsid w:val="00D6024C"/>
    <w:rsid w:val="00D61761"/>
    <w:rsid w:val="00D63C15"/>
    <w:rsid w:val="00D64928"/>
    <w:rsid w:val="00D70444"/>
    <w:rsid w:val="00D70DB5"/>
    <w:rsid w:val="00D75CED"/>
    <w:rsid w:val="00D80D4D"/>
    <w:rsid w:val="00D81F1F"/>
    <w:rsid w:val="00D8279E"/>
    <w:rsid w:val="00D83ED0"/>
    <w:rsid w:val="00D84206"/>
    <w:rsid w:val="00D848A7"/>
    <w:rsid w:val="00D84B8D"/>
    <w:rsid w:val="00D850DA"/>
    <w:rsid w:val="00D85520"/>
    <w:rsid w:val="00D860C3"/>
    <w:rsid w:val="00D86291"/>
    <w:rsid w:val="00D86770"/>
    <w:rsid w:val="00D87F19"/>
    <w:rsid w:val="00D90A28"/>
    <w:rsid w:val="00D96690"/>
    <w:rsid w:val="00D974D3"/>
    <w:rsid w:val="00D975E7"/>
    <w:rsid w:val="00D97757"/>
    <w:rsid w:val="00DA0916"/>
    <w:rsid w:val="00DA2723"/>
    <w:rsid w:val="00DA5080"/>
    <w:rsid w:val="00DA6452"/>
    <w:rsid w:val="00DA695E"/>
    <w:rsid w:val="00DA6ADA"/>
    <w:rsid w:val="00DA6C53"/>
    <w:rsid w:val="00DA7DC5"/>
    <w:rsid w:val="00DB02AD"/>
    <w:rsid w:val="00DB071D"/>
    <w:rsid w:val="00DB2081"/>
    <w:rsid w:val="00DB2715"/>
    <w:rsid w:val="00DB3635"/>
    <w:rsid w:val="00DB4AD1"/>
    <w:rsid w:val="00DC0B85"/>
    <w:rsid w:val="00DC18B4"/>
    <w:rsid w:val="00DC23C5"/>
    <w:rsid w:val="00DC2D2C"/>
    <w:rsid w:val="00DC6751"/>
    <w:rsid w:val="00DC7051"/>
    <w:rsid w:val="00DD0DB2"/>
    <w:rsid w:val="00DD1196"/>
    <w:rsid w:val="00DD1D64"/>
    <w:rsid w:val="00DD6B1F"/>
    <w:rsid w:val="00DD759C"/>
    <w:rsid w:val="00DD799E"/>
    <w:rsid w:val="00DE099D"/>
    <w:rsid w:val="00DE0AE4"/>
    <w:rsid w:val="00DE0BB8"/>
    <w:rsid w:val="00DE3399"/>
    <w:rsid w:val="00DE41DB"/>
    <w:rsid w:val="00DF27E2"/>
    <w:rsid w:val="00DF2896"/>
    <w:rsid w:val="00DF637A"/>
    <w:rsid w:val="00DF74C6"/>
    <w:rsid w:val="00E00B59"/>
    <w:rsid w:val="00E02998"/>
    <w:rsid w:val="00E029A1"/>
    <w:rsid w:val="00E02D97"/>
    <w:rsid w:val="00E0577E"/>
    <w:rsid w:val="00E07816"/>
    <w:rsid w:val="00E117CD"/>
    <w:rsid w:val="00E11D84"/>
    <w:rsid w:val="00E11E11"/>
    <w:rsid w:val="00E1267E"/>
    <w:rsid w:val="00E1286F"/>
    <w:rsid w:val="00E12AFA"/>
    <w:rsid w:val="00E12B6B"/>
    <w:rsid w:val="00E13523"/>
    <w:rsid w:val="00E14A6F"/>
    <w:rsid w:val="00E15E5F"/>
    <w:rsid w:val="00E167EC"/>
    <w:rsid w:val="00E2565F"/>
    <w:rsid w:val="00E34A48"/>
    <w:rsid w:val="00E3574E"/>
    <w:rsid w:val="00E363D5"/>
    <w:rsid w:val="00E36957"/>
    <w:rsid w:val="00E373F8"/>
    <w:rsid w:val="00E37982"/>
    <w:rsid w:val="00E379D9"/>
    <w:rsid w:val="00E41376"/>
    <w:rsid w:val="00E42FC6"/>
    <w:rsid w:val="00E43F1F"/>
    <w:rsid w:val="00E4494C"/>
    <w:rsid w:val="00E45B25"/>
    <w:rsid w:val="00E502BA"/>
    <w:rsid w:val="00E511AC"/>
    <w:rsid w:val="00E5360E"/>
    <w:rsid w:val="00E617B0"/>
    <w:rsid w:val="00E6205C"/>
    <w:rsid w:val="00E6252B"/>
    <w:rsid w:val="00E64653"/>
    <w:rsid w:val="00E65519"/>
    <w:rsid w:val="00E65BBF"/>
    <w:rsid w:val="00E66729"/>
    <w:rsid w:val="00E67A36"/>
    <w:rsid w:val="00E71C71"/>
    <w:rsid w:val="00E746D4"/>
    <w:rsid w:val="00E749A3"/>
    <w:rsid w:val="00E749A5"/>
    <w:rsid w:val="00E74D1E"/>
    <w:rsid w:val="00E75779"/>
    <w:rsid w:val="00E757B5"/>
    <w:rsid w:val="00E7641F"/>
    <w:rsid w:val="00E811D2"/>
    <w:rsid w:val="00E867B8"/>
    <w:rsid w:val="00E87DB5"/>
    <w:rsid w:val="00E922E2"/>
    <w:rsid w:val="00E94C27"/>
    <w:rsid w:val="00E95454"/>
    <w:rsid w:val="00E9548A"/>
    <w:rsid w:val="00EA0247"/>
    <w:rsid w:val="00EA111A"/>
    <w:rsid w:val="00EA185B"/>
    <w:rsid w:val="00EA318F"/>
    <w:rsid w:val="00EA384C"/>
    <w:rsid w:val="00EA3A97"/>
    <w:rsid w:val="00EA4049"/>
    <w:rsid w:val="00EA6C34"/>
    <w:rsid w:val="00EA78A8"/>
    <w:rsid w:val="00EA7D16"/>
    <w:rsid w:val="00EB0E3E"/>
    <w:rsid w:val="00EB1064"/>
    <w:rsid w:val="00EB12A4"/>
    <w:rsid w:val="00EB16BB"/>
    <w:rsid w:val="00EB1980"/>
    <w:rsid w:val="00EB2A53"/>
    <w:rsid w:val="00EB3AD6"/>
    <w:rsid w:val="00EB51AA"/>
    <w:rsid w:val="00EB6291"/>
    <w:rsid w:val="00EB7344"/>
    <w:rsid w:val="00EB7898"/>
    <w:rsid w:val="00EB795C"/>
    <w:rsid w:val="00EC1D88"/>
    <w:rsid w:val="00EC3155"/>
    <w:rsid w:val="00EC402D"/>
    <w:rsid w:val="00EC4EF1"/>
    <w:rsid w:val="00EC6BAE"/>
    <w:rsid w:val="00ED041C"/>
    <w:rsid w:val="00ED0447"/>
    <w:rsid w:val="00ED287D"/>
    <w:rsid w:val="00ED7113"/>
    <w:rsid w:val="00ED7B5A"/>
    <w:rsid w:val="00EE1004"/>
    <w:rsid w:val="00EE2E38"/>
    <w:rsid w:val="00EE45E5"/>
    <w:rsid w:val="00EE4733"/>
    <w:rsid w:val="00EE4C5E"/>
    <w:rsid w:val="00EE547A"/>
    <w:rsid w:val="00EE582B"/>
    <w:rsid w:val="00EE6739"/>
    <w:rsid w:val="00EE7894"/>
    <w:rsid w:val="00EF0969"/>
    <w:rsid w:val="00EF1E6E"/>
    <w:rsid w:val="00EF22DD"/>
    <w:rsid w:val="00EF62FC"/>
    <w:rsid w:val="00EF7252"/>
    <w:rsid w:val="00F00EF4"/>
    <w:rsid w:val="00F021F4"/>
    <w:rsid w:val="00F02FB9"/>
    <w:rsid w:val="00F0301E"/>
    <w:rsid w:val="00F037D9"/>
    <w:rsid w:val="00F06DB3"/>
    <w:rsid w:val="00F07799"/>
    <w:rsid w:val="00F1100E"/>
    <w:rsid w:val="00F11288"/>
    <w:rsid w:val="00F115D6"/>
    <w:rsid w:val="00F146EC"/>
    <w:rsid w:val="00F14A31"/>
    <w:rsid w:val="00F14F56"/>
    <w:rsid w:val="00F1528B"/>
    <w:rsid w:val="00F1617E"/>
    <w:rsid w:val="00F16303"/>
    <w:rsid w:val="00F16D9D"/>
    <w:rsid w:val="00F176B6"/>
    <w:rsid w:val="00F20002"/>
    <w:rsid w:val="00F232A6"/>
    <w:rsid w:val="00F251AF"/>
    <w:rsid w:val="00F25526"/>
    <w:rsid w:val="00F26B20"/>
    <w:rsid w:val="00F30682"/>
    <w:rsid w:val="00F30DB5"/>
    <w:rsid w:val="00F3271C"/>
    <w:rsid w:val="00F32826"/>
    <w:rsid w:val="00F337DD"/>
    <w:rsid w:val="00F33E31"/>
    <w:rsid w:val="00F43740"/>
    <w:rsid w:val="00F43D0D"/>
    <w:rsid w:val="00F43EAE"/>
    <w:rsid w:val="00F45AC0"/>
    <w:rsid w:val="00F476C6"/>
    <w:rsid w:val="00F47BFB"/>
    <w:rsid w:val="00F501FE"/>
    <w:rsid w:val="00F50E8F"/>
    <w:rsid w:val="00F53BE1"/>
    <w:rsid w:val="00F56293"/>
    <w:rsid w:val="00F57EC5"/>
    <w:rsid w:val="00F60FAB"/>
    <w:rsid w:val="00F611D4"/>
    <w:rsid w:val="00F61782"/>
    <w:rsid w:val="00F63F55"/>
    <w:rsid w:val="00F6535B"/>
    <w:rsid w:val="00F66669"/>
    <w:rsid w:val="00F66CAA"/>
    <w:rsid w:val="00F70717"/>
    <w:rsid w:val="00F710C1"/>
    <w:rsid w:val="00F71552"/>
    <w:rsid w:val="00F718A8"/>
    <w:rsid w:val="00F71EFB"/>
    <w:rsid w:val="00F7340B"/>
    <w:rsid w:val="00F745D4"/>
    <w:rsid w:val="00F74814"/>
    <w:rsid w:val="00F74AFD"/>
    <w:rsid w:val="00F76B94"/>
    <w:rsid w:val="00F80C33"/>
    <w:rsid w:val="00F81941"/>
    <w:rsid w:val="00F8226F"/>
    <w:rsid w:val="00F905AB"/>
    <w:rsid w:val="00F969CF"/>
    <w:rsid w:val="00FA0486"/>
    <w:rsid w:val="00FA1CF2"/>
    <w:rsid w:val="00FA27FD"/>
    <w:rsid w:val="00FA3E55"/>
    <w:rsid w:val="00FA5295"/>
    <w:rsid w:val="00FA5FDC"/>
    <w:rsid w:val="00FA660A"/>
    <w:rsid w:val="00FA6AA0"/>
    <w:rsid w:val="00FA6CDD"/>
    <w:rsid w:val="00FA7824"/>
    <w:rsid w:val="00FB09F9"/>
    <w:rsid w:val="00FB0C6B"/>
    <w:rsid w:val="00FB1117"/>
    <w:rsid w:val="00FB338E"/>
    <w:rsid w:val="00FB3B75"/>
    <w:rsid w:val="00FB4D67"/>
    <w:rsid w:val="00FB51BB"/>
    <w:rsid w:val="00FB63CD"/>
    <w:rsid w:val="00FB6AF9"/>
    <w:rsid w:val="00FB6CA7"/>
    <w:rsid w:val="00FC1918"/>
    <w:rsid w:val="00FC2280"/>
    <w:rsid w:val="00FC2322"/>
    <w:rsid w:val="00FC2877"/>
    <w:rsid w:val="00FC2DC3"/>
    <w:rsid w:val="00FC4F3C"/>
    <w:rsid w:val="00FC558C"/>
    <w:rsid w:val="00FC624B"/>
    <w:rsid w:val="00FC6C4A"/>
    <w:rsid w:val="00FD013C"/>
    <w:rsid w:val="00FD095F"/>
    <w:rsid w:val="00FD14D6"/>
    <w:rsid w:val="00FD43B7"/>
    <w:rsid w:val="00FD5ACD"/>
    <w:rsid w:val="00FD5D53"/>
    <w:rsid w:val="00FD5E28"/>
    <w:rsid w:val="00FE1C74"/>
    <w:rsid w:val="00FE2591"/>
    <w:rsid w:val="00FE307B"/>
    <w:rsid w:val="00FE353A"/>
    <w:rsid w:val="00FE4EBA"/>
    <w:rsid w:val="00FE53A8"/>
    <w:rsid w:val="00FE55B9"/>
    <w:rsid w:val="00FE5B68"/>
    <w:rsid w:val="00FE5C60"/>
    <w:rsid w:val="00FF0C63"/>
    <w:rsid w:val="00FF0EC6"/>
    <w:rsid w:val="00FF1DAB"/>
    <w:rsid w:val="00FF394A"/>
    <w:rsid w:val="00FF3DF8"/>
    <w:rsid w:val="03927D33"/>
    <w:rsid w:val="04FB7E5E"/>
    <w:rsid w:val="056D18F0"/>
    <w:rsid w:val="05C06639"/>
    <w:rsid w:val="06423A68"/>
    <w:rsid w:val="081366B8"/>
    <w:rsid w:val="0DE454B2"/>
    <w:rsid w:val="0F797371"/>
    <w:rsid w:val="10030133"/>
    <w:rsid w:val="113F727E"/>
    <w:rsid w:val="116A1936"/>
    <w:rsid w:val="11E5455D"/>
    <w:rsid w:val="136F2349"/>
    <w:rsid w:val="14871A7B"/>
    <w:rsid w:val="15796810"/>
    <w:rsid w:val="15A32A25"/>
    <w:rsid w:val="1B167D7E"/>
    <w:rsid w:val="1DD05E16"/>
    <w:rsid w:val="1F6C6CA5"/>
    <w:rsid w:val="200E2120"/>
    <w:rsid w:val="22870E2F"/>
    <w:rsid w:val="262427CC"/>
    <w:rsid w:val="26D76490"/>
    <w:rsid w:val="28F32F45"/>
    <w:rsid w:val="297F2F74"/>
    <w:rsid w:val="2A903D69"/>
    <w:rsid w:val="2B395108"/>
    <w:rsid w:val="2B7D6422"/>
    <w:rsid w:val="2CE81BAF"/>
    <w:rsid w:val="312F5141"/>
    <w:rsid w:val="31EB52BC"/>
    <w:rsid w:val="32E42A4C"/>
    <w:rsid w:val="33477064"/>
    <w:rsid w:val="33BD1A77"/>
    <w:rsid w:val="34BD6F1E"/>
    <w:rsid w:val="34FC643F"/>
    <w:rsid w:val="355A5FD2"/>
    <w:rsid w:val="36571275"/>
    <w:rsid w:val="36CA658A"/>
    <w:rsid w:val="376D18BE"/>
    <w:rsid w:val="38F33167"/>
    <w:rsid w:val="3BB32D5F"/>
    <w:rsid w:val="3C750428"/>
    <w:rsid w:val="3C963D43"/>
    <w:rsid w:val="3D007023"/>
    <w:rsid w:val="3D6231DB"/>
    <w:rsid w:val="402232E1"/>
    <w:rsid w:val="42AB6A51"/>
    <w:rsid w:val="44991F8D"/>
    <w:rsid w:val="44CD5DE0"/>
    <w:rsid w:val="44E41EB4"/>
    <w:rsid w:val="44EF42FE"/>
    <w:rsid w:val="45CF2526"/>
    <w:rsid w:val="4732620B"/>
    <w:rsid w:val="49A37274"/>
    <w:rsid w:val="4A1F05BA"/>
    <w:rsid w:val="4AF35C31"/>
    <w:rsid w:val="4BD46A4E"/>
    <w:rsid w:val="4D005218"/>
    <w:rsid w:val="4D63442B"/>
    <w:rsid w:val="4EA021C6"/>
    <w:rsid w:val="4F3C3DB0"/>
    <w:rsid w:val="506A1849"/>
    <w:rsid w:val="55432304"/>
    <w:rsid w:val="571078F6"/>
    <w:rsid w:val="5A863847"/>
    <w:rsid w:val="5BB92A8A"/>
    <w:rsid w:val="5C0D5EF6"/>
    <w:rsid w:val="5C556F87"/>
    <w:rsid w:val="5C9926A6"/>
    <w:rsid w:val="5D445730"/>
    <w:rsid w:val="5DC52492"/>
    <w:rsid w:val="60FD34BD"/>
    <w:rsid w:val="63112326"/>
    <w:rsid w:val="63FD6FA4"/>
    <w:rsid w:val="647559F8"/>
    <w:rsid w:val="64B01C97"/>
    <w:rsid w:val="650B0F11"/>
    <w:rsid w:val="658A4546"/>
    <w:rsid w:val="67311D73"/>
    <w:rsid w:val="67A859A2"/>
    <w:rsid w:val="67F93A54"/>
    <w:rsid w:val="691848B6"/>
    <w:rsid w:val="6BC1702A"/>
    <w:rsid w:val="6C1E65E6"/>
    <w:rsid w:val="6FAB5603"/>
    <w:rsid w:val="71070381"/>
    <w:rsid w:val="720C4779"/>
    <w:rsid w:val="7316211F"/>
    <w:rsid w:val="7351328C"/>
    <w:rsid w:val="75BE6EB5"/>
    <w:rsid w:val="77D53777"/>
    <w:rsid w:val="78B55752"/>
    <w:rsid w:val="79B2168D"/>
    <w:rsid w:val="7D4F5572"/>
    <w:rsid w:val="7DE24E9C"/>
    <w:rsid w:val="7EEF6C2A"/>
    <w:rsid w:val="7F074C20"/>
    <w:rsid w:val="7F521A51"/>
    <w:rsid w:val="7FF35B0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0"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qFormat="1" w:uiPriority="99" w:semiHidden="0" w:name="Block Text" w:locked="1"/>
    <w:lsdException w:qFormat="1" w:unhideWhenUsed="0" w:uiPriority="99" w:semiHidden="0" w:name="Hyperlink"/>
    <w:lsdException w:qFormat="1"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9"/>
    <w:pPr>
      <w:keepNext/>
      <w:keepLines/>
      <w:spacing w:before="340" w:after="330" w:line="578" w:lineRule="auto"/>
      <w:outlineLvl w:val="0"/>
    </w:pPr>
    <w:rPr>
      <w:b/>
      <w:kern w:val="44"/>
      <w:sz w:val="44"/>
      <w:szCs w:val="20"/>
    </w:rPr>
  </w:style>
  <w:style w:type="paragraph" w:styleId="4">
    <w:name w:val="heading 2"/>
    <w:basedOn w:val="1"/>
    <w:next w:val="1"/>
    <w:qFormat/>
    <w:uiPriority w:val="0"/>
    <w:pPr>
      <w:keepNext/>
      <w:keepLines/>
      <w:spacing w:before="60" w:after="60" w:line="360" w:lineRule="auto"/>
      <w:jc w:val="center"/>
      <w:outlineLvl w:val="1"/>
    </w:pPr>
    <w:rPr>
      <w:rFonts w:ascii="宋体" w:hAnsi="宋体"/>
      <w:b/>
      <w:bCs/>
      <w:sz w:val="28"/>
      <w:szCs w:val="32"/>
      <w:lang w:val="zh-CN"/>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lock Text"/>
    <w:basedOn w:val="1"/>
    <w:unhideWhenUsed/>
    <w:qFormat/>
    <w:locked/>
    <w:uiPriority w:val="99"/>
    <w:pPr>
      <w:spacing w:after="120"/>
      <w:ind w:left="1440" w:leftChars="700" w:right="1440" w:rightChars="700"/>
    </w:pPr>
  </w:style>
  <w:style w:type="paragraph" w:styleId="6">
    <w:name w:val="Normal Indent"/>
    <w:basedOn w:val="1"/>
    <w:link w:val="51"/>
    <w:unhideWhenUsed/>
    <w:qFormat/>
    <w:locked/>
    <w:uiPriority w:val="0"/>
    <w:pPr>
      <w:ind w:firstLine="420" w:firstLineChars="200"/>
    </w:pPr>
  </w:style>
  <w:style w:type="paragraph" w:styleId="7">
    <w:name w:val="annotation text"/>
    <w:basedOn w:val="1"/>
    <w:link w:val="27"/>
    <w:qFormat/>
    <w:uiPriority w:val="99"/>
    <w:pPr>
      <w:jc w:val="left"/>
    </w:pPr>
    <w:rPr>
      <w:sz w:val="24"/>
      <w:szCs w:val="20"/>
    </w:rPr>
  </w:style>
  <w:style w:type="paragraph" w:styleId="8">
    <w:name w:val="Body Text"/>
    <w:basedOn w:val="1"/>
    <w:link w:val="46"/>
    <w:unhideWhenUsed/>
    <w:qFormat/>
    <w:locked/>
    <w:uiPriority w:val="99"/>
    <w:pPr>
      <w:spacing w:after="120"/>
    </w:pPr>
  </w:style>
  <w:style w:type="paragraph" w:styleId="9">
    <w:name w:val="Body Text Indent"/>
    <w:basedOn w:val="1"/>
    <w:link w:val="28"/>
    <w:qFormat/>
    <w:uiPriority w:val="99"/>
    <w:pPr>
      <w:ind w:firstLine="575" w:firstLineChars="274"/>
    </w:pPr>
    <w:rPr>
      <w:rFonts w:ascii="等线" w:eastAsia="等线"/>
      <w:sz w:val="22"/>
      <w:szCs w:val="20"/>
    </w:rPr>
  </w:style>
  <w:style w:type="paragraph" w:styleId="10">
    <w:name w:val="index 4"/>
    <w:basedOn w:val="1"/>
    <w:next w:val="1"/>
    <w:qFormat/>
    <w:uiPriority w:val="99"/>
    <w:pPr>
      <w:ind w:left="600" w:leftChars="600"/>
    </w:pPr>
    <w:rPr>
      <w:rFonts w:ascii="Verdana" w:hAnsi="Verdana"/>
    </w:rPr>
  </w:style>
  <w:style w:type="paragraph" w:styleId="11">
    <w:name w:val="Plain Text"/>
    <w:basedOn w:val="1"/>
    <w:link w:val="29"/>
    <w:qFormat/>
    <w:uiPriority w:val="0"/>
    <w:rPr>
      <w:rFonts w:ascii="宋体" w:hAnsi="Courier New"/>
      <w:szCs w:val="20"/>
    </w:rPr>
  </w:style>
  <w:style w:type="paragraph" w:styleId="12">
    <w:name w:val="Date"/>
    <w:basedOn w:val="1"/>
    <w:next w:val="1"/>
    <w:link w:val="30"/>
    <w:qFormat/>
    <w:uiPriority w:val="99"/>
    <w:pPr>
      <w:ind w:left="100" w:leftChars="2500"/>
    </w:pPr>
    <w:rPr>
      <w:sz w:val="24"/>
      <w:szCs w:val="20"/>
    </w:rPr>
  </w:style>
  <w:style w:type="paragraph" w:styleId="13">
    <w:name w:val="Balloon Text"/>
    <w:basedOn w:val="1"/>
    <w:link w:val="31"/>
    <w:semiHidden/>
    <w:qFormat/>
    <w:uiPriority w:val="99"/>
    <w:rPr>
      <w:kern w:val="0"/>
      <w:sz w:val="2"/>
      <w:szCs w:val="20"/>
    </w:rPr>
  </w:style>
  <w:style w:type="paragraph" w:styleId="14">
    <w:name w:val="footer"/>
    <w:basedOn w:val="1"/>
    <w:link w:val="32"/>
    <w:qFormat/>
    <w:uiPriority w:val="99"/>
    <w:pPr>
      <w:tabs>
        <w:tab w:val="center" w:pos="4153"/>
        <w:tab w:val="right" w:pos="8306"/>
      </w:tabs>
      <w:snapToGrid w:val="0"/>
      <w:jc w:val="left"/>
    </w:pPr>
    <w:rPr>
      <w:kern w:val="0"/>
      <w:sz w:val="18"/>
      <w:szCs w:val="18"/>
    </w:rPr>
  </w:style>
  <w:style w:type="paragraph" w:styleId="15">
    <w:name w:val="header"/>
    <w:basedOn w:val="1"/>
    <w:link w:val="33"/>
    <w:qFormat/>
    <w:uiPriority w:val="99"/>
    <w:pPr>
      <w:pBdr>
        <w:bottom w:val="single" w:color="auto" w:sz="6" w:space="1"/>
      </w:pBdr>
      <w:tabs>
        <w:tab w:val="center" w:pos="4153"/>
        <w:tab w:val="right" w:pos="8306"/>
      </w:tabs>
      <w:snapToGrid w:val="0"/>
      <w:jc w:val="center"/>
    </w:pPr>
    <w:rPr>
      <w:sz w:val="18"/>
      <w:szCs w:val="20"/>
    </w:rPr>
  </w:style>
  <w:style w:type="paragraph" w:styleId="16">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7">
    <w:name w:val="annotation subject"/>
    <w:basedOn w:val="7"/>
    <w:next w:val="7"/>
    <w:link w:val="34"/>
    <w:qFormat/>
    <w:uiPriority w:val="99"/>
    <w:rPr>
      <w:b/>
    </w:rPr>
  </w:style>
  <w:style w:type="table" w:styleId="19">
    <w:name w:val="Table Grid"/>
    <w:basedOn w:val="1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rPr>
  </w:style>
  <w:style w:type="character" w:styleId="22">
    <w:name w:val="page number"/>
    <w:basedOn w:val="20"/>
    <w:qFormat/>
    <w:locked/>
    <w:uiPriority w:val="0"/>
  </w:style>
  <w:style w:type="character" w:styleId="23">
    <w:name w:val="FollowedHyperlink"/>
    <w:basedOn w:val="20"/>
    <w:semiHidden/>
    <w:unhideWhenUsed/>
    <w:qFormat/>
    <w:locked/>
    <w:uiPriority w:val="99"/>
    <w:rPr>
      <w:color w:val="800080" w:themeColor="followedHyperlink"/>
      <w:u w:val="single"/>
      <w14:textFill>
        <w14:solidFill>
          <w14:schemeClr w14:val="folHlink"/>
        </w14:solidFill>
      </w14:textFill>
    </w:rPr>
  </w:style>
  <w:style w:type="character" w:styleId="24">
    <w:name w:val="Hyperlink"/>
    <w:qFormat/>
    <w:uiPriority w:val="99"/>
    <w:rPr>
      <w:rFonts w:cs="Times New Roman"/>
      <w:color w:val="0563C1"/>
      <w:u w:val="single"/>
    </w:rPr>
  </w:style>
  <w:style w:type="character" w:styleId="25">
    <w:name w:val="annotation reference"/>
    <w:qFormat/>
    <w:uiPriority w:val="99"/>
    <w:rPr>
      <w:rFonts w:cs="Times New Roman"/>
      <w:sz w:val="21"/>
    </w:rPr>
  </w:style>
  <w:style w:type="character" w:customStyle="1" w:styleId="26">
    <w:name w:val="标题 1 Char"/>
    <w:link w:val="3"/>
    <w:qFormat/>
    <w:locked/>
    <w:uiPriority w:val="99"/>
    <w:rPr>
      <w:rFonts w:cs="Times New Roman"/>
      <w:b/>
      <w:kern w:val="44"/>
      <w:sz w:val="44"/>
    </w:rPr>
  </w:style>
  <w:style w:type="character" w:customStyle="1" w:styleId="27">
    <w:name w:val="批注文字 Char"/>
    <w:link w:val="7"/>
    <w:qFormat/>
    <w:locked/>
    <w:uiPriority w:val="99"/>
    <w:rPr>
      <w:rFonts w:cs="Times New Roman"/>
      <w:kern w:val="2"/>
      <w:sz w:val="24"/>
    </w:rPr>
  </w:style>
  <w:style w:type="character" w:customStyle="1" w:styleId="28">
    <w:name w:val="正文文本缩进 Char"/>
    <w:link w:val="9"/>
    <w:qFormat/>
    <w:locked/>
    <w:uiPriority w:val="99"/>
    <w:rPr>
      <w:rFonts w:ascii="等线" w:eastAsia="等线" w:cs="Times New Roman"/>
      <w:kern w:val="2"/>
      <w:sz w:val="22"/>
    </w:rPr>
  </w:style>
  <w:style w:type="character" w:customStyle="1" w:styleId="29">
    <w:name w:val="纯文本 Char"/>
    <w:link w:val="11"/>
    <w:qFormat/>
    <w:locked/>
    <w:uiPriority w:val="0"/>
    <w:rPr>
      <w:rFonts w:ascii="宋体" w:hAnsi="Courier New" w:cs="Times New Roman"/>
      <w:kern w:val="2"/>
      <w:sz w:val="21"/>
    </w:rPr>
  </w:style>
  <w:style w:type="character" w:customStyle="1" w:styleId="30">
    <w:name w:val="日期 Char"/>
    <w:link w:val="12"/>
    <w:qFormat/>
    <w:locked/>
    <w:uiPriority w:val="99"/>
    <w:rPr>
      <w:rFonts w:cs="Times New Roman"/>
      <w:kern w:val="2"/>
      <w:sz w:val="24"/>
    </w:rPr>
  </w:style>
  <w:style w:type="character" w:customStyle="1" w:styleId="31">
    <w:name w:val="批注框文本 Char"/>
    <w:link w:val="13"/>
    <w:semiHidden/>
    <w:qFormat/>
    <w:locked/>
    <w:uiPriority w:val="99"/>
    <w:rPr>
      <w:rFonts w:cs="Times New Roman"/>
      <w:sz w:val="2"/>
    </w:rPr>
  </w:style>
  <w:style w:type="character" w:customStyle="1" w:styleId="32">
    <w:name w:val="页脚 Char"/>
    <w:link w:val="14"/>
    <w:semiHidden/>
    <w:qFormat/>
    <w:locked/>
    <w:uiPriority w:val="99"/>
    <w:rPr>
      <w:rFonts w:cs="Times New Roman"/>
      <w:sz w:val="18"/>
      <w:szCs w:val="18"/>
    </w:rPr>
  </w:style>
  <w:style w:type="character" w:customStyle="1" w:styleId="33">
    <w:name w:val="页眉 Char"/>
    <w:link w:val="15"/>
    <w:qFormat/>
    <w:locked/>
    <w:uiPriority w:val="99"/>
    <w:rPr>
      <w:rFonts w:cs="Times New Roman"/>
      <w:kern w:val="2"/>
      <w:sz w:val="18"/>
    </w:rPr>
  </w:style>
  <w:style w:type="character" w:customStyle="1" w:styleId="34">
    <w:name w:val="批注主题 Char"/>
    <w:link w:val="17"/>
    <w:qFormat/>
    <w:locked/>
    <w:uiPriority w:val="99"/>
    <w:rPr>
      <w:rFonts w:cs="Times New Roman"/>
      <w:b/>
      <w:kern w:val="2"/>
      <w:sz w:val="24"/>
    </w:rPr>
  </w:style>
  <w:style w:type="paragraph" w:customStyle="1" w:styleId="35">
    <w:name w:val="Char"/>
    <w:basedOn w:val="1"/>
    <w:qFormat/>
    <w:uiPriority w:val="99"/>
    <w:pPr>
      <w:tabs>
        <w:tab w:val="left" w:pos="360"/>
      </w:tabs>
    </w:pPr>
    <w:rPr>
      <w:sz w:val="24"/>
    </w:rPr>
  </w:style>
  <w:style w:type="character" w:customStyle="1" w:styleId="36">
    <w:name w:val="列出段落 Char"/>
    <w:link w:val="37"/>
    <w:qFormat/>
    <w:locked/>
    <w:uiPriority w:val="0"/>
  </w:style>
  <w:style w:type="paragraph" w:styleId="37">
    <w:name w:val="List Paragraph"/>
    <w:basedOn w:val="1"/>
    <w:link w:val="36"/>
    <w:qFormat/>
    <w:uiPriority w:val="0"/>
    <w:pPr>
      <w:widowControl/>
      <w:ind w:firstLine="420" w:firstLineChars="200"/>
      <w:jc w:val="left"/>
    </w:pPr>
    <w:rPr>
      <w:kern w:val="0"/>
      <w:sz w:val="20"/>
      <w:szCs w:val="20"/>
    </w:rPr>
  </w:style>
  <w:style w:type="table" w:customStyle="1" w:styleId="38">
    <w:name w:val="网格型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Placeholder Text"/>
    <w:semiHidden/>
    <w:qFormat/>
    <w:uiPriority w:val="99"/>
    <w:rPr>
      <w:rFonts w:cs="Times New Roman"/>
      <w:color w:val="808080"/>
    </w:rPr>
  </w:style>
  <w:style w:type="paragraph" w:customStyle="1" w:styleId="40">
    <w:name w:val="列出段落1"/>
    <w:qFormat/>
    <w:uiPriority w:val="99"/>
    <w:pPr>
      <w:widowControl w:val="0"/>
      <w:ind w:firstLine="420"/>
      <w:jc w:val="both"/>
    </w:pPr>
    <w:rPr>
      <w:rFonts w:ascii="Calibri" w:hAnsi="Calibri" w:eastAsia="宋体" w:cs="Calibri"/>
      <w:color w:val="000000"/>
      <w:kern w:val="2"/>
      <w:sz w:val="21"/>
      <w:szCs w:val="21"/>
      <w:u w:color="000000"/>
      <w:lang w:val="en-US" w:eastAsia="zh-CN" w:bidi="ar-SA"/>
    </w:rPr>
  </w:style>
  <w:style w:type="paragraph" w:customStyle="1" w:styleId="41">
    <w:name w:val="正文 New New New New"/>
    <w:qFormat/>
    <w:uiPriority w:val="99"/>
    <w:pPr>
      <w:widowControl w:val="0"/>
      <w:jc w:val="both"/>
    </w:pPr>
    <w:rPr>
      <w:rFonts w:ascii="Times New Roman" w:hAnsi="Times New Roman" w:eastAsia="宋体" w:cs="Arial Unicode MS"/>
      <w:color w:val="000000"/>
      <w:u w:color="000000"/>
      <w:lang w:val="en-US" w:eastAsia="zh-CN" w:bidi="ar-SA"/>
    </w:rPr>
  </w:style>
  <w:style w:type="table" w:customStyle="1" w:styleId="42">
    <w:name w:val="网格型1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3">
    <w:name w:val="列出段落2"/>
    <w:basedOn w:val="1"/>
    <w:qFormat/>
    <w:uiPriority w:val="99"/>
    <w:pPr>
      <w:ind w:firstLine="420" w:firstLineChars="200"/>
    </w:pPr>
    <w:rPr>
      <w:rFonts w:ascii="Calibri" w:hAnsi="Calibri"/>
      <w:szCs w:val="22"/>
    </w:rPr>
  </w:style>
  <w:style w:type="character" w:customStyle="1" w:styleId="44">
    <w:name w:val="标题 2 Char Char Char"/>
    <w:qFormat/>
    <w:uiPriority w:val="99"/>
    <w:rPr>
      <w:rFonts w:ascii="Arial" w:hAnsi="Arial" w:eastAsia="黑体"/>
      <w:b/>
      <w:kern w:val="2"/>
      <w:sz w:val="32"/>
      <w:lang w:val="en-US" w:eastAsia="zh-CN"/>
    </w:rPr>
  </w:style>
  <w:style w:type="paragraph" w:customStyle="1" w:styleId="45">
    <w:name w:val="pp"/>
    <w:basedOn w:val="1"/>
    <w:qFormat/>
    <w:uiPriority w:val="99"/>
    <w:pPr>
      <w:widowControl/>
      <w:spacing w:before="100" w:beforeAutospacing="1" w:after="100" w:afterAutospacing="1" w:line="360" w:lineRule="atLeast"/>
      <w:ind w:firstLine="420"/>
      <w:jc w:val="left"/>
    </w:pPr>
    <w:rPr>
      <w:rFonts w:ascii="宋体" w:hAnsi="宋体" w:cs="宋体"/>
      <w:color w:val="000000"/>
      <w:kern w:val="0"/>
      <w:sz w:val="24"/>
    </w:rPr>
  </w:style>
  <w:style w:type="character" w:customStyle="1" w:styleId="46">
    <w:name w:val="正文文本 Char"/>
    <w:link w:val="8"/>
    <w:qFormat/>
    <w:uiPriority w:val="99"/>
    <w:rPr>
      <w:kern w:val="2"/>
      <w:sz w:val="21"/>
      <w:szCs w:val="24"/>
    </w:rPr>
  </w:style>
  <w:style w:type="paragraph" w:customStyle="1" w:styleId="47">
    <w:name w:val="正文1"/>
    <w:basedOn w:val="1"/>
    <w:qFormat/>
    <w:uiPriority w:val="0"/>
    <w:pPr>
      <w:widowControl/>
      <w:spacing w:after="200" w:line="300" w:lineRule="atLeast"/>
      <w:jc w:val="left"/>
    </w:pPr>
    <w:rPr>
      <w:rFonts w:ascii="Calibri" w:hAnsi="Calibri" w:cs="宋体"/>
      <w:kern w:val="0"/>
      <w:sz w:val="22"/>
      <w:szCs w:val="22"/>
    </w:rPr>
  </w:style>
  <w:style w:type="character" w:customStyle="1" w:styleId="48">
    <w:name w:val="font212"/>
    <w:basedOn w:val="20"/>
    <w:qFormat/>
    <w:uiPriority w:val="0"/>
    <w:rPr>
      <w:rFonts w:hint="eastAsia" w:ascii="宋体" w:hAnsi="宋体" w:eastAsia="宋体" w:cs="宋体"/>
      <w:color w:val="000000"/>
      <w:sz w:val="18"/>
      <w:szCs w:val="18"/>
      <w:u w:val="none"/>
    </w:rPr>
  </w:style>
  <w:style w:type="character" w:customStyle="1" w:styleId="49">
    <w:name w:val="font231"/>
    <w:basedOn w:val="20"/>
    <w:qFormat/>
    <w:uiPriority w:val="0"/>
    <w:rPr>
      <w:rFonts w:hint="eastAsia" w:ascii="宋体" w:hAnsi="宋体" w:eastAsia="宋体" w:cs="宋体"/>
      <w:b/>
      <w:color w:val="FF0000"/>
      <w:sz w:val="18"/>
      <w:szCs w:val="18"/>
      <w:u w:val="none"/>
    </w:rPr>
  </w:style>
  <w:style w:type="paragraph" w:customStyle="1" w:styleId="50">
    <w:name w:val="表格样式"/>
    <w:basedOn w:val="1"/>
    <w:qFormat/>
    <w:uiPriority w:val="0"/>
    <w:pPr>
      <w:spacing w:beforeLines="30" w:afterLines="30"/>
      <w:jc w:val="left"/>
    </w:pPr>
    <w:rPr>
      <w:szCs w:val="21"/>
      <w:lang w:val="zh-CN"/>
    </w:rPr>
  </w:style>
  <w:style w:type="character" w:customStyle="1" w:styleId="51">
    <w:name w:val="正文缩进 Char"/>
    <w:link w:val="6"/>
    <w:qFormat/>
    <w:uiPriority w:val="0"/>
    <w:rPr>
      <w:rFonts w:ascii="Times New Roman" w:hAnsi="Times New Roman"/>
      <w:kern w:val="2"/>
      <w:sz w:val="21"/>
      <w:szCs w:val="24"/>
    </w:rPr>
  </w:style>
  <w:style w:type="paragraph" w:customStyle="1" w:styleId="52">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30172F-A774-44CF-9E35-FF065D30FE4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15</Pages>
  <Words>1006</Words>
  <Characters>5739</Characters>
  <Lines>47</Lines>
  <Paragraphs>13</Paragraphs>
  <TotalTime>7</TotalTime>
  <ScaleCrop>false</ScaleCrop>
  <LinksUpToDate>false</LinksUpToDate>
  <CharactersWithSpaces>6732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2020-09-14T01:51:00Z</dcterms:created>
  <dc:creator>微软用户</dc:creator>
  <cp:lastModifiedBy>罗玉</cp:lastModifiedBy>
  <cp:lastPrinted>2020-08-07T01:34:00Z</cp:lastPrinted>
  <dcterms:modified xsi:type="dcterms:W3CDTF">2020-11-13T07:06:42Z</dcterms:modified>
  <dc:title>淮海工学院A8-10号楼学生宿舍家具招标书</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