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highlight w:val="none"/>
        </w:rPr>
      </w:pPr>
      <w:bookmarkStart w:id="0" w:name="OLE_LINK1"/>
      <w:bookmarkStart w:id="1" w:name="OLE_LINK2"/>
      <w:r>
        <w:rPr>
          <w:b/>
          <w:color w:val="auto"/>
          <w:sz w:val="44"/>
          <w:szCs w:val="44"/>
          <w:highlight w:val="none"/>
        </w:rPr>
        <w:t>南京信息工程大学</w:t>
      </w:r>
      <w:bookmarkEnd w:id="0"/>
      <w:bookmarkEnd w:id="1"/>
      <w:r>
        <w:rPr>
          <w:rFonts w:hint="eastAsia" w:asciiTheme="majorEastAsia" w:hAnsiTheme="majorEastAsia" w:eastAsiaTheme="majorEastAsia" w:cstheme="majorEastAsia"/>
          <w:b/>
          <w:color w:val="auto"/>
          <w:spacing w:val="-20"/>
          <w:sz w:val="44"/>
          <w:szCs w:val="44"/>
          <w:highlight w:val="none"/>
        </w:rPr>
        <w:t>滨江学院（无锡校区）</w:t>
      </w:r>
      <w:r>
        <w:rPr>
          <w:b/>
          <w:color w:val="auto"/>
          <w:sz w:val="44"/>
          <w:szCs w:val="44"/>
          <w:highlight w:val="none"/>
        </w:rPr>
        <w:t>智慧实验室综合信息管理平台采购项目招标文件</w:t>
      </w:r>
    </w:p>
    <w:p>
      <w:pPr>
        <w:jc w:val="center"/>
        <w:rPr>
          <w:b/>
          <w:color w:val="auto"/>
          <w:sz w:val="44"/>
          <w:szCs w:val="44"/>
          <w:highlight w:val="none"/>
        </w:rPr>
      </w:pPr>
    </w:p>
    <w:p>
      <w:pPr>
        <w:adjustRightInd w:val="0"/>
        <w:snapToGrid w:val="0"/>
        <w:spacing w:line="360" w:lineRule="auto"/>
        <w:jc w:val="center"/>
        <w:rPr>
          <w:rFonts w:asci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u w:val="single"/>
        </w:rPr>
        <w:t>BJ</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20009</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20年09月02日</w:t>
      </w:r>
      <w:r>
        <w:rPr>
          <w:rFonts w:hint="eastAsia" w:ascii="宋体" w:hAnsi="宋体" w:cs="仿宋"/>
          <w:color w:val="auto"/>
          <w:sz w:val="28"/>
          <w:szCs w:val="28"/>
          <w:highlight w:val="none"/>
          <w:u w:val="single"/>
          <w:lang w:val="en-US" w:eastAsia="zh-CN"/>
        </w:rPr>
        <w:t>16</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spacing w:line="360" w:lineRule="auto"/>
        <w:ind w:firstLine="570"/>
        <w:jc w:val="left"/>
        <w:rPr>
          <w:color w:val="auto"/>
          <w:kern w:val="0"/>
          <w:sz w:val="28"/>
          <w:szCs w:val="28"/>
          <w:highlight w:val="none"/>
        </w:rPr>
      </w:pPr>
      <w:r>
        <w:rPr>
          <w:rFonts w:hint="eastAsia"/>
          <w:color w:val="auto"/>
          <w:kern w:val="0"/>
          <w:sz w:val="28"/>
          <w:szCs w:val="28"/>
          <w:highlight w:val="none"/>
        </w:rPr>
        <w:t>为满足学院信息化建设的需要，提高实验室的信息化管理水平，受滨江学院（无锡校区）委托，就其智慧实验室综合信息管理平台采购项目进行公开招标，欢迎符合条件的供应商报名投标，现将有关情况说明如下：</w:t>
      </w:r>
    </w:p>
    <w:p>
      <w:pPr>
        <w:pStyle w:val="33"/>
        <w:spacing w:line="360" w:lineRule="auto"/>
        <w:ind w:firstLine="0" w:firstLineChars="0"/>
        <w:jc w:val="center"/>
        <w:rPr>
          <w:rFonts w:eastAsia="黑体"/>
          <w:color w:val="auto"/>
          <w:sz w:val="28"/>
          <w:szCs w:val="28"/>
          <w:highlight w:val="none"/>
        </w:rPr>
      </w:pPr>
      <w:r>
        <w:rPr>
          <w:rFonts w:eastAsia="黑体"/>
          <w:color w:val="auto"/>
          <w:sz w:val="28"/>
          <w:szCs w:val="28"/>
          <w:highlight w:val="none"/>
        </w:rPr>
        <w:t>一、招标项目名称及简要说明</w:t>
      </w:r>
    </w:p>
    <w:p>
      <w:pPr>
        <w:spacing w:line="360" w:lineRule="auto"/>
        <w:ind w:firstLine="570"/>
        <w:jc w:val="left"/>
        <w:rPr>
          <w:rFonts w:ascii="宋体" w:hAnsi="宋体"/>
          <w:color w:val="auto"/>
          <w:sz w:val="28"/>
          <w:szCs w:val="28"/>
          <w:highlight w:val="none"/>
        </w:rPr>
      </w:pPr>
      <w:r>
        <w:rPr>
          <w:rFonts w:hint="eastAsia" w:ascii="宋体" w:hAnsi="宋体"/>
          <w:color w:val="auto"/>
          <w:sz w:val="28"/>
          <w:szCs w:val="28"/>
          <w:highlight w:val="none"/>
        </w:rPr>
        <w:t>1.招标项目名称：南京信息工程大学滨江学院（无锡校区）智慧实验室综合信息管理平台采购项目。</w:t>
      </w:r>
    </w:p>
    <w:p>
      <w:pPr>
        <w:adjustRightInd w:val="0"/>
        <w:snapToGrid w:val="0"/>
        <w:spacing w:line="360" w:lineRule="auto"/>
        <w:ind w:firstLine="560" w:firstLineChars="200"/>
        <w:rPr>
          <w:rFonts w:ascii="宋体" w:cs="仿宋"/>
          <w:color w:val="auto"/>
          <w:sz w:val="28"/>
          <w:szCs w:val="28"/>
          <w:highlight w:val="none"/>
        </w:rPr>
      </w:pPr>
      <w:r>
        <w:rPr>
          <w:rFonts w:hint="eastAsia" w:ascii="宋体" w:hAnsi="宋体"/>
          <w:color w:val="auto"/>
          <w:sz w:val="28"/>
          <w:szCs w:val="28"/>
          <w:highlight w:val="none"/>
        </w:rPr>
        <w:t>2.项目说明：本次招标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w:t>
      </w:r>
      <w:r>
        <w:rPr>
          <w:rFonts w:ascii="宋体" w:hAnsi="宋体" w:cs="仿宋"/>
          <w:color w:val="auto"/>
          <w:sz w:val="28"/>
          <w:szCs w:val="28"/>
          <w:highlight w:val="none"/>
        </w:rPr>
        <w:t>20%</w:t>
      </w:r>
      <w:r>
        <w:rPr>
          <w:rFonts w:hint="eastAsia" w:ascii="宋体" w:hAnsi="宋体" w:cs="仿宋"/>
          <w:color w:val="auto"/>
          <w:sz w:val="28"/>
          <w:szCs w:val="28"/>
          <w:highlight w:val="none"/>
        </w:rPr>
        <w:t>的违约金，由此所造成的一切后果和经济损失均由中标人自行负责和承担。</w:t>
      </w:r>
    </w:p>
    <w:p>
      <w:pPr>
        <w:spacing w:line="360" w:lineRule="auto"/>
        <w:ind w:firstLine="570"/>
        <w:jc w:val="left"/>
        <w:rPr>
          <w:rFonts w:ascii="宋体" w:hAnsi="宋体"/>
          <w:color w:val="auto"/>
          <w:sz w:val="28"/>
          <w:szCs w:val="28"/>
          <w:highlight w:val="none"/>
        </w:rPr>
      </w:pPr>
      <w:r>
        <w:rPr>
          <w:rFonts w:hint="eastAsia" w:ascii="宋体" w:hAnsi="宋体"/>
          <w:color w:val="auto"/>
          <w:sz w:val="28"/>
          <w:szCs w:val="28"/>
          <w:highlight w:val="none"/>
        </w:rPr>
        <w:t>项目地址：无锡市锡山区锡山大道333号滨江学院校内；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color w:val="auto"/>
          <w:sz w:val="24"/>
          <w:szCs w:val="28"/>
          <w:highlight w:val="none"/>
        </w:rPr>
        <w:t>zbc.nuist.edu.cn</w:t>
      </w:r>
      <w:r>
        <w:rPr>
          <w:rFonts w:ascii="宋体" w:hAnsi="宋体"/>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adjustRightInd w:val="0"/>
        <w:snapToGrid w:val="0"/>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招标文件由我校项目使用单位、项目归口管理部门和招标办联合起草,经学校相关职能部门会审通过形成正式招标文件。同时打印</w:t>
      </w:r>
      <w:r>
        <w:rPr>
          <w:rFonts w:ascii="宋体" w:hAnsi="宋体"/>
          <w:color w:val="auto"/>
          <w:sz w:val="28"/>
          <w:szCs w:val="28"/>
          <w:highlight w:val="none"/>
        </w:rPr>
        <w:t>3份纸质的正式招标文件，由学校招标办工作人员和财务处负责人同时签字</w:t>
      </w:r>
      <w:r>
        <w:rPr>
          <w:rFonts w:hint="eastAsia" w:ascii="宋体" w:hAnsi="宋体"/>
          <w:color w:val="auto"/>
          <w:sz w:val="28"/>
          <w:szCs w:val="28"/>
          <w:highlight w:val="none"/>
        </w:rPr>
        <w:t>并加盖学校招标办骑缝章后，分别交学校招标办和滨江学院（无锡校区）财务处、项目使用单位各</w:t>
      </w:r>
      <w:r>
        <w:rPr>
          <w:rFonts w:ascii="宋体" w:hAnsi="宋体"/>
          <w:color w:val="auto"/>
          <w:sz w:val="28"/>
          <w:szCs w:val="28"/>
          <w:highlight w:val="none"/>
        </w:rPr>
        <w:t>1份，</w:t>
      </w:r>
      <w:r>
        <w:rPr>
          <w:rFonts w:hint="eastAsia" w:ascii="宋体" w:hAnsi="宋体"/>
          <w:color w:val="auto"/>
          <w:sz w:val="28"/>
          <w:szCs w:val="28"/>
          <w:highlight w:val="none"/>
        </w:rPr>
        <w:t>作为相关部门存档、合同签订、项目考核验收，以及处理纠纷的依据。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w:t>
      </w:r>
      <w:r>
        <w:rPr>
          <w:rFonts w:ascii="宋体" w:hAnsi="宋体" w:cs="仿宋"/>
          <w:b/>
          <w:bCs/>
          <w:color w:val="auto"/>
          <w:sz w:val="28"/>
          <w:szCs w:val="28"/>
          <w:highlight w:val="none"/>
        </w:rPr>
        <w:t xml:space="preserve"> </w:t>
      </w:r>
      <w:r>
        <w:rPr>
          <w:rFonts w:hint="eastAsia" w:ascii="宋体" w:hAnsi="宋体" w:cs="仿宋"/>
          <w:b/>
          <w:bCs/>
          <w:color w:val="auto"/>
          <w:sz w:val="28"/>
          <w:szCs w:val="28"/>
          <w:highlight w:val="none"/>
        </w:rPr>
        <w:t>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Arial"/>
          <w:i/>
          <w:iCs/>
          <w:color w:val="auto"/>
          <w:sz w:val="28"/>
          <w:szCs w:val="28"/>
          <w:highlight w:val="none"/>
          <w:u w:val="single"/>
        </w:rPr>
        <w:t>1.具有独立承担民事责任的能力</w:t>
      </w:r>
      <w:r>
        <w:rPr>
          <w:rFonts w:hint="eastAsia" w:ascii="宋体" w:hAnsi="宋体"/>
          <w:i/>
          <w:iCs/>
          <w:color w:val="auto"/>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2.具有良好的商业信誉和健全的财务会计制度</w:t>
      </w:r>
      <w:r>
        <w:rPr>
          <w:rFonts w:hint="eastAsia" w:ascii="宋体" w:hAnsi="宋体"/>
          <w:i/>
          <w:iCs/>
          <w:color w:val="auto"/>
          <w:sz w:val="28"/>
          <w:szCs w:val="28"/>
          <w:highlight w:val="none"/>
          <w:u w:val="single"/>
        </w:rPr>
        <w:t>：需提供参加本次投标活动前近六个月内（2020年3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4.有依法缴纳税收和社会保障资金的良好记录</w:t>
      </w:r>
      <w:r>
        <w:rPr>
          <w:rFonts w:hint="eastAsia" w:ascii="宋体" w:hAnsi="宋体"/>
          <w:i/>
          <w:iCs/>
          <w:color w:val="auto"/>
          <w:sz w:val="28"/>
          <w:szCs w:val="28"/>
          <w:highlight w:val="none"/>
          <w:u w:val="single"/>
        </w:rPr>
        <w:t>：提供参加本次投标活动前近六个月内（2020年3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5.参加政府采购活动前三年内，在经营活动中没有重大违法记录</w:t>
      </w:r>
      <w:r>
        <w:rPr>
          <w:rFonts w:hint="eastAsia" w:ascii="宋体" w:hAnsi="宋体"/>
          <w:i/>
          <w:iCs/>
          <w:color w:val="auto"/>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（二）投标人不得存在下列情形之一</w:t>
      </w:r>
      <w:r>
        <w:rPr>
          <w:rFonts w:hint="eastAsia" w:ascii="宋体" w:hAnsi="宋体"/>
          <w:b/>
          <w:bCs/>
          <w:i/>
          <w:iCs/>
          <w:color w:val="auto"/>
          <w:sz w:val="28"/>
          <w:szCs w:val="28"/>
          <w:highlight w:val="none"/>
          <w:u w:val="single"/>
        </w:rPr>
        <w:t>（提供加盖投标人公章的承诺书）</w:t>
      </w:r>
      <w:r>
        <w:rPr>
          <w:rFonts w:hint="eastAsia" w:ascii="宋体" w:hAnsi="宋体" w:cs="宋体"/>
          <w:i/>
          <w:iCs/>
          <w:color w:val="auto"/>
          <w:kern w:val="0"/>
          <w:sz w:val="28"/>
          <w:szCs w:val="28"/>
          <w:highlight w:val="none"/>
          <w:u w:val="single"/>
        </w:rPr>
        <w:t>：</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（5）投标人近3年内有行贿犯罪行为且被记录，或者法定代表人有行贿犯罪记录且自记录之日起未超过5年的。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（三）</w:t>
      </w:r>
      <w:r>
        <w:rPr>
          <w:rFonts w:hint="eastAsia" w:ascii="宋体" w:hAnsi="宋体" w:cs="宋体"/>
          <w:bCs/>
          <w:i/>
          <w:iCs/>
          <w:color w:val="auto"/>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color w:val="auto"/>
          <w:kern w:val="0"/>
          <w:sz w:val="28"/>
          <w:szCs w:val="28"/>
          <w:highlight w:val="none"/>
          <w:u w:val="single"/>
        </w:rPr>
      </w:pPr>
      <w:r>
        <w:rPr>
          <w:rFonts w:hint="eastAsia" w:ascii="宋体" w:hAnsi="宋体" w:cs="宋体"/>
          <w:i/>
          <w:iCs/>
          <w:color w:val="auto"/>
          <w:sz w:val="28"/>
          <w:szCs w:val="28"/>
          <w:highlight w:val="none"/>
          <w:u w:val="single"/>
        </w:rPr>
        <w:t>供应商被“信用中国”网站（www.creditchina.gov.cn）、“中国政府采购网"(www.ccgp.gov.cn)列入失信被执行人、重大税收违法案件当事人名单、政府采购严重违法失信行为记录名单。</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Pr>
          <w:rFonts w:ascii="宋体" w:hAnsi="宋体" w:cs="宋体"/>
          <w:color w:val="auto"/>
          <w:sz w:val="28"/>
          <w:szCs w:val="28"/>
          <w:highlight w:val="none"/>
        </w:rPr>
        <w:t>45</w:t>
      </w:r>
      <w:r>
        <w:rPr>
          <w:rFonts w:hint="eastAsia" w:ascii="宋体" w:hAnsi="宋体" w:cs="宋体"/>
          <w:color w:val="auto"/>
          <w:sz w:val="28"/>
          <w:szCs w:val="28"/>
          <w:highlight w:val="none"/>
        </w:rPr>
        <w:t>天内完成设备运输（含上、下力）、安装调试等，所有费用由供方承担，安装调试完毕后需方用户负责试用并签收。</w:t>
      </w:r>
    </w:p>
    <w:p>
      <w:pPr>
        <w:pStyle w:val="41"/>
        <w:adjustRightInd w:val="0"/>
        <w:snapToGrid w:val="0"/>
        <w:spacing w:before="0" w:beforeAutospacing="0" w:after="0" w:afterAutospacing="0" w:line="360" w:lineRule="auto"/>
        <w:ind w:firstLine="560" w:firstLineChars="200"/>
        <w:rPr>
          <w:color w:val="auto"/>
          <w:sz w:val="28"/>
          <w:szCs w:val="28"/>
          <w:highlight w:val="none"/>
        </w:rPr>
      </w:pPr>
      <w:r>
        <w:rPr>
          <w:rFonts w:hint="eastAsia"/>
          <w:color w:val="auto"/>
          <w:sz w:val="28"/>
          <w:szCs w:val="28"/>
          <w:highlight w:val="none"/>
        </w:rPr>
        <w:t>六、</w:t>
      </w:r>
      <w:r>
        <w:rPr>
          <w:rFonts w:hint="eastAsia" w:cs="Times New Roman"/>
          <w:color w:val="auto"/>
          <w:kern w:val="2"/>
          <w:sz w:val="28"/>
          <w:szCs w:val="28"/>
          <w:highlight w:val="none"/>
        </w:rPr>
        <w:t>本项目预算价为95</w:t>
      </w:r>
      <w:r>
        <w:rPr>
          <w:rFonts w:cs="Times New Roman"/>
          <w:color w:val="auto"/>
          <w:kern w:val="2"/>
          <w:sz w:val="28"/>
          <w:szCs w:val="28"/>
          <w:highlight w:val="none"/>
        </w:rPr>
        <w:t>.8</w:t>
      </w:r>
      <w:r>
        <w:rPr>
          <w:rFonts w:hint="eastAsia" w:cs="Times New Roman"/>
          <w:color w:val="auto"/>
          <w:kern w:val="2"/>
          <w:sz w:val="28"/>
          <w:szCs w:val="28"/>
          <w:highlight w:val="none"/>
          <w:lang w:val="en-US" w:eastAsia="zh-CN"/>
        </w:rPr>
        <w:t>0</w:t>
      </w:r>
      <w:r>
        <w:rPr>
          <w:rFonts w:hint="eastAsia" w:cs="Times New Roman"/>
          <w:color w:val="auto"/>
          <w:kern w:val="2"/>
          <w:sz w:val="28"/>
          <w:szCs w:val="28"/>
          <w:highlight w:val="none"/>
        </w:rPr>
        <w:t>万元，</w:t>
      </w:r>
      <w:r>
        <w:rPr>
          <w:rFonts w:hint="eastAsia"/>
          <w:color w:val="auto"/>
          <w:sz w:val="28"/>
          <w:szCs w:val="28"/>
          <w:highlight w:val="none"/>
        </w:rPr>
        <w:t>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bookmarkEnd w:id="4"/>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投标人必须投本标书所有标段的设备，不允许分标段投标；标书中标</w:t>
      </w:r>
      <w:r>
        <w:rPr>
          <w:rFonts w:hint="eastAsia" w:ascii="宋体" w:hAnsi="宋体" w:cs="Arial"/>
          <w:color w:val="auto"/>
          <w:kern w:val="0"/>
          <w:sz w:val="18"/>
          <w:szCs w:val="18"/>
          <w:highlight w:val="none"/>
        </w:rPr>
        <w:t>“★”</w:t>
      </w:r>
      <w:r>
        <w:rPr>
          <w:rFonts w:hint="eastAsia"/>
          <w:color w:val="auto"/>
          <w:sz w:val="28"/>
          <w:szCs w:val="28"/>
          <w:highlight w:val="none"/>
        </w:rPr>
        <w:t>的参数为实质性参数，必须满足，否则视为无效标书；标书中标“▲”的参数为重要参数</w:t>
      </w:r>
      <w:r>
        <w:rPr>
          <w:rFonts w:hint="eastAsia" w:ascii="宋体" w:cs="宋体"/>
          <w:color w:val="auto"/>
          <w:sz w:val="28"/>
          <w:szCs w:val="28"/>
          <w:highlight w:val="none"/>
        </w:rPr>
        <w:t>；本次采购的项目免费保质期为2年，中标后在签订合同前必须提供原厂质保书，否则取消中标资格。</w:t>
      </w:r>
    </w:p>
    <w:p>
      <w:pPr>
        <w:spacing w:line="360" w:lineRule="auto"/>
        <w:ind w:firstLine="548" w:firstLineChars="196"/>
        <w:rPr>
          <w:rFonts w:ascii="宋体" w:cs="宋体"/>
          <w:color w:val="auto"/>
          <w:sz w:val="28"/>
          <w:szCs w:val="28"/>
          <w:highlight w:val="none"/>
        </w:rPr>
      </w:pPr>
      <w:r>
        <w:rPr>
          <w:rFonts w:ascii="宋体" w:cs="宋体"/>
          <w:color w:val="auto"/>
          <w:sz w:val="28"/>
          <w:szCs w:val="28"/>
          <w:highlight w:val="none"/>
        </w:rPr>
        <w:t>6.</w:t>
      </w:r>
      <w:r>
        <w:rPr>
          <w:rFonts w:hint="eastAsia" w:ascii="宋体" w:cs="宋体"/>
          <w:color w:val="auto"/>
          <w:sz w:val="28"/>
          <w:szCs w:val="28"/>
          <w:highlight w:val="none"/>
        </w:rPr>
        <w:t>投标人在投</w:t>
      </w:r>
      <w:r>
        <w:rPr>
          <w:rFonts w:hint="eastAsia" w:ascii="宋体" w:hAnsi="宋体" w:cs="宋体"/>
          <w:color w:val="auto"/>
          <w:sz w:val="28"/>
          <w:szCs w:val="28"/>
          <w:highlight w:val="none"/>
        </w:rPr>
        <w:t>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招标文件给出评标办法（见附件4）</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ascii="宋体" w:hAnsi="宋体" w:cs="宋体"/>
          <w:b/>
          <w:color w:val="auto"/>
          <w:sz w:val="28"/>
          <w:szCs w:val="28"/>
          <w:highlight w:val="none"/>
        </w:rPr>
        <w:t>BJ20</w:t>
      </w:r>
      <w:r>
        <w:rPr>
          <w:rFonts w:hint="eastAsia" w:ascii="宋体" w:hAnsi="宋体" w:cs="宋体"/>
          <w:b/>
          <w:color w:val="auto"/>
          <w:sz w:val="28"/>
          <w:szCs w:val="28"/>
          <w:highlight w:val="none"/>
        </w:rPr>
        <w:t>20009资料费”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本着“质量第一、价格合理、服务优异、保障有力”的原则，由采购人、项目归口管理部门和招标办从报价、技术、服务、业绩、信誉等五个方面提出评标办法（见附件4）。</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个工作日内，中标单位须及时缴纳5</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元履约保证金并前来我校领取《中标通知书》（一式二份）。</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 xml:space="preserve"> 2.</w:t>
      </w:r>
      <w:r>
        <w:rPr>
          <w:rFonts w:hint="eastAsia" w:ascii="宋体" w:hAnsi="宋体" w:cs="宋体"/>
          <w:color w:val="auto"/>
          <w:sz w:val="28"/>
          <w:szCs w:val="28"/>
          <w:highlight w:val="none"/>
        </w:rPr>
        <w:t>服务地点：南京信息工程大学滨江学院（无锡校区）内。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 xml:space="preserve"> 3.</w:t>
      </w:r>
      <w:r>
        <w:rPr>
          <w:rFonts w:hint="eastAsia" w:ascii="宋体" w:hAnsi="宋体" w:cs="宋体"/>
          <w:color w:val="auto"/>
          <w:sz w:val="28"/>
          <w:szCs w:val="28"/>
          <w:highlight w:val="none"/>
        </w:rPr>
        <w:t>付款方式：</w:t>
      </w:r>
    </w:p>
    <w:p>
      <w:pPr>
        <w:adjustRightInd w:val="0"/>
        <w:snapToGrid w:val="0"/>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现场安装调试，验收合格后，提供全额税务发票，凭最终签字和盖章的验收合格报告，付款至合同价的95%，余款5%在质保期满后，并经有关单位确认无质量问题后，一次性无息支付完毕。具体内容以最终签署的合同约定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hAnsi="宋体" w:cs="宋体"/>
          <w:color w:val="auto"/>
          <w:sz w:val="28"/>
          <w:szCs w:val="28"/>
          <w:highlight w:val="none"/>
        </w:rPr>
      </w:pPr>
      <w:r>
        <w:rPr>
          <w:rFonts w:hint="eastAsia" w:ascii="宋体" w:hAnsi="宋体"/>
          <w:color w:val="auto"/>
          <w:sz w:val="28"/>
          <w:szCs w:val="28"/>
          <w:highlight w:val="none"/>
          <w:shd w:val="clear" w:color="auto" w:fill="FFFFFF"/>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“BJ2020009资料费”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ascii="宋体" w:hAnsi="宋体" w:cs="宋体"/>
          <w:color w:val="auto"/>
          <w:sz w:val="28"/>
          <w:szCs w:val="28"/>
          <w:highlight w:val="none"/>
          <w:u w:val="single"/>
        </w:rPr>
        <w:t>5000</w:t>
      </w:r>
      <w:r>
        <w:rPr>
          <w:rFonts w:hint="eastAsia" w:ascii="宋体" w:hAnsi="宋体" w:cs="宋体"/>
          <w:color w:val="auto"/>
          <w:sz w:val="28"/>
          <w:szCs w:val="28"/>
          <w:highlight w:val="none"/>
          <w:u w:val="single"/>
        </w:rPr>
        <w:t>元</w:t>
      </w:r>
      <w:r>
        <w:rPr>
          <w:rFonts w:hint="eastAsia" w:ascii="宋体" w:hAnsi="宋体" w:cs="宋体"/>
          <w:color w:val="auto"/>
          <w:sz w:val="28"/>
          <w:szCs w:val="28"/>
          <w:highlight w:val="none"/>
        </w:rPr>
        <w:t>整。</w:t>
      </w:r>
    </w:p>
    <w:p>
      <w:pPr>
        <w:spacing w:line="360" w:lineRule="auto"/>
        <w:ind w:firstLine="548" w:firstLineChars="196"/>
        <w:rPr>
          <w:rFonts w:ascii="宋体" w:cs="宋体"/>
          <w:color w:val="auto"/>
          <w:sz w:val="28"/>
          <w:szCs w:val="28"/>
          <w:highlight w:val="none"/>
        </w:rPr>
      </w:pPr>
      <w:bookmarkStart w:id="6" w:name="_Hlk9866833"/>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color w:val="auto"/>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pStyle w:val="2"/>
        <w:jc w:val="both"/>
        <w:rPr>
          <w:color w:val="auto"/>
          <w:highlight w:val="none"/>
          <w:lang w:val="en-US"/>
        </w:rPr>
      </w:pPr>
      <w:r>
        <w:rPr>
          <w:rFonts w:hint="eastAsia"/>
          <w:color w:val="auto"/>
          <w:highlight w:val="none"/>
          <w:lang w:val="en-US"/>
        </w:rPr>
        <w:t xml:space="preserve">    </w:t>
      </w:r>
      <w:r>
        <w:rPr>
          <w:rFonts w:hint="eastAsia" w:cs="宋体"/>
          <w:b w:val="0"/>
          <w:bCs w:val="0"/>
          <w:color w:val="auto"/>
          <w:szCs w:val="28"/>
          <w:highlight w:val="none"/>
          <w:lang w:val="en-US"/>
        </w:rPr>
        <w:t>7</w:t>
      </w:r>
      <w:r>
        <w:rPr>
          <w:rFonts w:cs="宋体"/>
          <w:b w:val="0"/>
          <w:bCs w:val="0"/>
          <w:color w:val="auto"/>
          <w:szCs w:val="28"/>
          <w:highlight w:val="none"/>
        </w:rPr>
        <w:t>.</w:t>
      </w:r>
      <w:r>
        <w:rPr>
          <w:rFonts w:hint="eastAsia" w:cs="宋体"/>
          <w:b w:val="0"/>
          <w:bCs w:val="0"/>
          <w:color w:val="auto"/>
          <w:szCs w:val="28"/>
          <w:highlight w:val="none"/>
        </w:rPr>
        <w:t>本次采购的</w:t>
      </w:r>
      <w:r>
        <w:rPr>
          <w:rFonts w:hint="eastAsia" w:cs="宋体"/>
          <w:b w:val="0"/>
          <w:bCs w:val="0"/>
          <w:color w:val="auto"/>
          <w:szCs w:val="28"/>
          <w:highlight w:val="none"/>
          <w:lang w:val="en-US"/>
        </w:rPr>
        <w:t>项目</w:t>
      </w:r>
      <w:r>
        <w:rPr>
          <w:rFonts w:hint="eastAsia" w:cs="宋体"/>
          <w:b w:val="0"/>
          <w:bCs w:val="0"/>
          <w:color w:val="auto"/>
          <w:szCs w:val="28"/>
          <w:highlight w:val="none"/>
        </w:rPr>
        <w:t>免费保质期为</w:t>
      </w:r>
      <w:r>
        <w:rPr>
          <w:rFonts w:hint="eastAsia" w:cs="宋体"/>
          <w:b w:val="0"/>
          <w:bCs w:val="0"/>
          <w:color w:val="auto"/>
          <w:szCs w:val="28"/>
          <w:highlight w:val="none"/>
          <w:lang w:val="en-US"/>
        </w:rPr>
        <w:t>2</w:t>
      </w:r>
      <w:r>
        <w:rPr>
          <w:rFonts w:hint="eastAsia" w:cs="宋体"/>
          <w:b w:val="0"/>
          <w:bCs w:val="0"/>
          <w:color w:val="auto"/>
          <w:szCs w:val="28"/>
          <w:highlight w:val="none"/>
        </w:rPr>
        <w:t>年。</w:t>
      </w:r>
    </w:p>
    <w:p>
      <w:pPr>
        <w:spacing w:before="312" w:beforeLines="100" w:after="312" w:afterLines="100"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答疑时间</w:t>
      </w:r>
    </w:p>
    <w:p>
      <w:pPr>
        <w:spacing w:line="360" w:lineRule="auto"/>
        <w:rPr>
          <w:rFonts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color w:val="auto"/>
          <w:sz w:val="28"/>
          <w:szCs w:val="28"/>
          <w:highlight w:val="none"/>
        </w:rPr>
        <w:t>20</w:t>
      </w:r>
      <w:r>
        <w:rPr>
          <w:rFonts w:hint="eastAsia" w:ascii="宋体" w:hAnsi="宋体"/>
          <w:color w:val="auto"/>
          <w:sz w:val="28"/>
          <w:szCs w:val="28"/>
          <w:highlight w:val="none"/>
        </w:rPr>
        <w:t>20年09月08日</w:t>
      </w:r>
      <w:r>
        <w:rPr>
          <w:rFonts w:ascii="宋体" w:hAnsi="宋体"/>
          <w:color w:val="auto"/>
          <w:sz w:val="28"/>
          <w:szCs w:val="28"/>
          <w:highlight w:val="none"/>
        </w:rPr>
        <w:t>11</w:t>
      </w:r>
      <w:r>
        <w:rPr>
          <w:rFonts w:hint="eastAsia" w:ascii="宋体" w:hAnsi="宋体"/>
          <w:color w:val="auto"/>
          <w:sz w:val="28"/>
          <w:szCs w:val="28"/>
          <w:highlight w:val="none"/>
        </w:rPr>
        <w:t>：</w:t>
      </w:r>
      <w:r>
        <w:rPr>
          <w:rFonts w:ascii="宋体" w:hAnsi="宋体"/>
          <w:color w:val="auto"/>
          <w:sz w:val="28"/>
          <w:szCs w:val="28"/>
          <w:highlight w:val="none"/>
        </w:rPr>
        <w:t>3</w:t>
      </w:r>
      <w:r>
        <w:rPr>
          <w:color w:val="auto"/>
          <w:highlight w:val="none"/>
        </w:rPr>
        <w:fldChar w:fldCharType="begin"/>
      </w:r>
      <w:r>
        <w:rPr>
          <w:color w:val="auto"/>
          <w:highlight w:val="none"/>
        </w:rPr>
        <w:instrText xml:space="preserve"> HYPERLINK "mailto:0前将问题发至2483567991@qq.com" </w:instrText>
      </w:r>
      <w:r>
        <w:rPr>
          <w:color w:val="auto"/>
          <w:highlight w:val="none"/>
        </w:rPr>
        <w:fldChar w:fldCharType="separate"/>
      </w:r>
      <w:r>
        <w:rPr>
          <w:rFonts w:ascii="宋体" w:hAnsi="宋体"/>
          <w:color w:val="auto"/>
          <w:sz w:val="28"/>
          <w:szCs w:val="28"/>
          <w:highlight w:val="none"/>
        </w:rPr>
        <w:t>0</w:t>
      </w:r>
      <w:r>
        <w:rPr>
          <w:rFonts w:hint="eastAsia" w:ascii="宋体" w:hAnsi="宋体"/>
          <w:color w:val="auto"/>
          <w:sz w:val="28"/>
          <w:szCs w:val="28"/>
          <w:highlight w:val="none"/>
        </w:rPr>
        <w:t>前将问题发至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w:t>
      </w:r>
    </w:p>
    <w:p>
      <w:pPr>
        <w:spacing w:line="360" w:lineRule="auto"/>
        <w:rPr>
          <w:rFonts w:asci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pacing w:line="360" w:lineRule="auto"/>
        <w:ind w:firstLine="548" w:firstLineChars="196"/>
        <w:rPr>
          <w:rFonts w:ascii="宋体"/>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投标文件送达</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（2）投标截止时间：2020年09月22日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0。</w:t>
      </w:r>
    </w:p>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招标办。联系人：马老师、罗老师；联系电话：025-58731441。</w:t>
      </w:r>
    </w:p>
    <w:p>
      <w:pPr>
        <w:widowControl/>
        <w:spacing w:line="360" w:lineRule="auto"/>
        <w:rPr>
          <w:rFonts w:asci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开标和唱标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（1）开标、唱标：2020年09月22日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pacing w:line="360" w:lineRule="auto"/>
        <w:ind w:firstLine="560" w:firstLineChars="200"/>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相关单位联系人及电话</w:t>
      </w:r>
    </w:p>
    <w:p>
      <w:pPr>
        <w:spacing w:line="360" w:lineRule="auto"/>
        <w:rPr>
          <w:rFonts w:ascii="宋体" w:hAns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w:t>
      </w:r>
      <w:r>
        <w:rPr>
          <w:rFonts w:hint="eastAsia" w:ascii="宋体" w:hAnsi="宋体"/>
          <w:color w:val="auto"/>
          <w:sz w:val="28"/>
          <w:szCs w:val="28"/>
          <w:highlight w:val="none"/>
          <w:lang w:val="en-US" w:eastAsia="zh-CN"/>
        </w:rPr>
        <w:t>办</w:t>
      </w:r>
      <w:r>
        <w:rPr>
          <w:rFonts w:hint="eastAsia" w:ascii="宋体" w:hAnsi="宋体"/>
          <w:color w:val="auto"/>
          <w:sz w:val="28"/>
          <w:szCs w:val="28"/>
          <w:highlight w:val="none"/>
        </w:rPr>
        <w:t>（招投标管理业务单位）：联系电话：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r>
        <w:rPr>
          <w:rFonts w:ascii="宋体" w:hAnsi="宋体"/>
          <w:color w:val="auto"/>
          <w:sz w:val="28"/>
          <w:szCs w:val="28"/>
          <w:highlight w:val="none"/>
        </w:rPr>
        <w:t>。</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w:t>
      </w:r>
      <w:bookmarkEnd w:id="6"/>
      <w:r>
        <w:rPr>
          <w:rFonts w:hint="eastAsia" w:ascii="宋体" w:hAnsi="宋体"/>
          <w:color w:val="auto"/>
          <w:sz w:val="28"/>
          <w:szCs w:val="28"/>
          <w:highlight w:val="none"/>
        </w:rPr>
        <w:t>用户单位（滨江学院）：联系电话：</w:t>
      </w:r>
      <w:bookmarkStart w:id="10" w:name="_GoBack"/>
      <w:r>
        <w:rPr>
          <w:rFonts w:ascii="宋体" w:hAnsi="宋体"/>
          <w:color w:val="auto"/>
          <w:sz w:val="28"/>
          <w:szCs w:val="28"/>
          <w:highlight w:val="none"/>
        </w:rPr>
        <w:t>15005162578</w:t>
      </w:r>
      <w:bookmarkEnd w:id="10"/>
      <w:r>
        <w:rPr>
          <w:rFonts w:hint="eastAsia" w:ascii="宋体" w:hAnsi="宋体"/>
          <w:color w:val="auto"/>
          <w:sz w:val="28"/>
          <w:szCs w:val="28"/>
          <w:highlight w:val="none"/>
        </w:rPr>
        <w:t xml:space="preserve"> ，联系人：俞老师。</w:t>
      </w:r>
    </w:p>
    <w:p>
      <w:pPr>
        <w:adjustRightInd w:val="0"/>
        <w:snapToGrid w:val="0"/>
        <w:spacing w:line="360" w:lineRule="auto"/>
        <w:ind w:firstLine="560" w:firstLineChars="200"/>
        <w:rPr>
          <w:rFonts w:ascii="仿宋" w:hAnsi="仿宋" w:eastAsia="仿宋" w:cs="仿宋"/>
          <w:color w:val="auto"/>
          <w:sz w:val="28"/>
          <w:szCs w:val="28"/>
          <w:highlight w:val="none"/>
        </w:rPr>
      </w:pP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附件1：招标项目设备名称、数量、主要技术要求及其他要求（电子版）</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附件2：投标函格式</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附件3：服务要求</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附件4：评标办法</w:t>
      </w:r>
    </w:p>
    <w:p>
      <w:pPr>
        <w:adjustRightInd w:val="0"/>
        <w:snapToGrid w:val="0"/>
        <w:spacing w:line="360" w:lineRule="auto"/>
        <w:ind w:firstLine="562" w:firstLineChars="200"/>
        <w:rPr>
          <w:rFonts w:ascii="宋体" w:hAnsi="宋体"/>
          <w:b/>
          <w:bCs/>
          <w:color w:val="auto"/>
          <w:sz w:val="28"/>
          <w:szCs w:val="28"/>
          <w:highlight w:val="none"/>
        </w:rPr>
      </w:pPr>
    </w:p>
    <w:p>
      <w:pPr>
        <w:adjustRightInd w:val="0"/>
        <w:snapToGrid w:val="0"/>
        <w:spacing w:line="360" w:lineRule="auto"/>
        <w:ind w:firstLine="5060" w:firstLineChars="1800"/>
        <w:rPr>
          <w:rFonts w:ascii="宋体" w:hAnsi="宋体"/>
          <w:b/>
          <w:bCs/>
          <w:color w:val="auto"/>
          <w:sz w:val="28"/>
          <w:szCs w:val="28"/>
          <w:highlight w:val="none"/>
        </w:rPr>
      </w:pPr>
      <w:bookmarkStart w:id="7" w:name="_Hlk9866962"/>
      <w:r>
        <w:rPr>
          <w:rFonts w:hint="eastAsia" w:ascii="宋体" w:hAnsi="宋体"/>
          <w:b/>
          <w:bCs/>
          <w:color w:val="auto"/>
          <w:sz w:val="28"/>
          <w:szCs w:val="28"/>
          <w:highlight w:val="none"/>
        </w:rPr>
        <w:t>南京信息工程大学招标办</w:t>
      </w:r>
    </w:p>
    <w:p>
      <w:pPr>
        <w:adjustRightInd w:val="0"/>
        <w:snapToGrid w:val="0"/>
        <w:spacing w:line="360" w:lineRule="auto"/>
        <w:ind w:firstLine="5341" w:firstLineChars="1900"/>
        <w:rPr>
          <w:color w:val="auto"/>
          <w:sz w:val="28"/>
          <w:szCs w:val="28"/>
          <w:highlight w:val="none"/>
        </w:rPr>
      </w:pPr>
      <w:r>
        <w:rPr>
          <w:rFonts w:ascii="宋体" w:hAnsi="宋体"/>
          <w:b/>
          <w:bCs/>
          <w:color w:val="auto"/>
          <w:sz w:val="28"/>
          <w:szCs w:val="28"/>
          <w:highlight w:val="none"/>
        </w:rPr>
        <w:t>20</w:t>
      </w:r>
      <w:r>
        <w:rPr>
          <w:rFonts w:hint="eastAsia" w:ascii="宋体" w:hAnsi="宋体"/>
          <w:b/>
          <w:bCs/>
          <w:color w:val="auto"/>
          <w:sz w:val="28"/>
          <w:szCs w:val="28"/>
          <w:highlight w:val="none"/>
        </w:rPr>
        <w:t>20年09月02日</w:t>
      </w:r>
      <w:bookmarkEnd w:id="7"/>
      <w:r>
        <w:rPr>
          <w:rFonts w:ascii="宋体" w:hAnsi="宋体"/>
          <w:color w:val="auto"/>
          <w:sz w:val="28"/>
          <w:szCs w:val="28"/>
          <w:highlight w:val="none"/>
        </w:rPr>
        <w:br w:type="page"/>
      </w:r>
      <w:r>
        <w:rPr>
          <w:color w:val="auto"/>
          <w:sz w:val="28"/>
          <w:szCs w:val="28"/>
          <w:highlight w:val="none"/>
        </w:rPr>
        <w:t>附件1：</w:t>
      </w:r>
    </w:p>
    <w:p>
      <w:pPr>
        <w:spacing w:line="360" w:lineRule="auto"/>
        <w:ind w:left="180"/>
        <w:jc w:val="center"/>
        <w:rPr>
          <w:b/>
          <w:color w:val="auto"/>
          <w:sz w:val="28"/>
          <w:szCs w:val="28"/>
          <w:highlight w:val="none"/>
        </w:rPr>
      </w:pPr>
      <w:r>
        <w:rPr>
          <w:b/>
          <w:color w:val="auto"/>
          <w:sz w:val="28"/>
          <w:szCs w:val="28"/>
          <w:highlight w:val="none"/>
        </w:rPr>
        <w:t>招标项目设备名称、数量、主要技术要求及其他要求</w:t>
      </w:r>
    </w:p>
    <w:p>
      <w:pPr>
        <w:pStyle w:val="9"/>
        <w:snapToGrid w:val="0"/>
        <w:spacing w:before="120" w:after="120" w:line="276" w:lineRule="auto"/>
        <w:jc w:val="left"/>
        <w:outlineLvl w:val="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一、总体要求</w:t>
      </w:r>
    </w:p>
    <w:p>
      <w:pPr>
        <w:spacing w:line="276" w:lineRule="auto"/>
        <w:ind w:firstLine="270" w:firstLineChars="15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学院拟建设一套智能物联网</w:t>
      </w:r>
      <w:r>
        <w:rPr>
          <w:rFonts w:asciiTheme="minorEastAsia" w:hAnsiTheme="minorEastAsia" w:eastAsiaTheme="minorEastAsia"/>
          <w:color w:val="auto"/>
          <w:sz w:val="18"/>
          <w:szCs w:val="18"/>
          <w:highlight w:val="none"/>
        </w:rPr>
        <w:t>+互联网校/院两级可视化智慧实验室综合信息管理平台</w:t>
      </w:r>
      <w:r>
        <w:rPr>
          <w:rFonts w:hint="eastAsia" w:asciiTheme="minorEastAsia" w:hAnsiTheme="minorEastAsia" w:eastAsiaTheme="minorEastAsia"/>
          <w:color w:val="auto"/>
          <w:sz w:val="18"/>
          <w:szCs w:val="18"/>
          <w:highlight w:val="none"/>
        </w:rPr>
        <w:t>，旨在运用计算机软件技术、智能卡技术、</w:t>
      </w:r>
      <w:r>
        <w:rPr>
          <w:rFonts w:asciiTheme="minorEastAsia" w:hAnsiTheme="minorEastAsia" w:eastAsiaTheme="minorEastAsia"/>
          <w:color w:val="auto"/>
          <w:sz w:val="18"/>
          <w:szCs w:val="18"/>
          <w:highlight w:val="none"/>
        </w:rPr>
        <w:t>ARM及IP核技术等先进技术，以先进的管理理念为指导，实现对实验室、仪器设备使用的全过程管理，减轻对实验室管理的工作负担，提供工作效率和对外服务水平；加强实验室主管部门对设备绩效、信息收集、物资管理、项目建设的宏观控制，以节约成本，提高利用；加强实验室及大型仪器设备的开放共用，打破校内、校外界限，对高校、科研院所、企业社会全面开放，实现资源充分共享，配合改革教学科研仪器设备的管理方式和运行机制；为设备管理部门对全校实验室进行管理、监督、调控等提供详实的数据依据，有效提高</w:t>
      </w:r>
      <w:r>
        <w:rPr>
          <w:rFonts w:hint="eastAsia" w:asciiTheme="minorEastAsia" w:hAnsiTheme="minorEastAsia" w:eastAsiaTheme="minorEastAsia"/>
          <w:color w:val="auto"/>
          <w:sz w:val="18"/>
          <w:szCs w:val="18"/>
          <w:highlight w:val="none"/>
        </w:rPr>
        <w:t>实验室利用效率；</w:t>
      </w:r>
      <w:r>
        <w:rPr>
          <w:rFonts w:asciiTheme="minorEastAsia" w:hAnsiTheme="minorEastAsia" w:eastAsiaTheme="minorEastAsia"/>
          <w:color w:val="auto"/>
          <w:sz w:val="18"/>
          <w:szCs w:val="18"/>
          <w:highlight w:val="none"/>
        </w:rPr>
        <w:t>为实验室的评估提供原始资料和基本数据，且符合教育部信息管理标准，满足学校上报数据的需求。</w:t>
      </w:r>
    </w:p>
    <w:p>
      <w:pPr>
        <w:spacing w:line="276" w:lineRule="auto"/>
        <w:ind w:firstLine="270" w:firstLineChars="15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目要求实验室管理系统分为实验室智能管理校级平台与院级平台两大部分。校级平台负责处理校级业务流程的信息化管理和承担全校所有实验室业务的数据汇总，由具体的校级管理者对所获得的真实数据进行深度分析，以便修正原有的管理模式和资金分配方式，实现高效的宏观管控；院级平台则负责处理实验室具体业务及现场的实时管控，院级实验室管理人员通过智能化的过程管控手段全业务、全空间的管控实验室，缓解基层实验工作人员的工作压力与难度，降低繁重的低层次工作量，提升实验教学及科研水平，通过过程化的实验室管理方式为管理层获得一手的真实数据。为顺利推动校级实验室信息化夯实基础，为高校实验室信息化、智能化管理搭建了两级架构管理模式，顺利实现对硬</w:t>
      </w:r>
      <w:r>
        <w:rPr>
          <w:rFonts w:asciiTheme="minorEastAsia" w:hAnsiTheme="minorEastAsia" w:eastAsiaTheme="minorEastAsia"/>
          <w:color w:val="auto"/>
          <w:sz w:val="18"/>
          <w:szCs w:val="18"/>
          <w:highlight w:val="none"/>
        </w:rPr>
        <w:t>件设备系统的分级管控和宏观管控，降低校园网络的负载和部署难度。</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1、平台开发环境</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1）操作系统：Windows Sever 2008R2及以上版本</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2）数据库系统：SQL Server2008/2012或ORACLE 11g</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3）框架结构：Microsoft .NET Framework V4.5及以上版本</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4）开发工具：Microsoft .NET C＃</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5）信息发布：Microsoft  IIS V7.0及以上</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2、系统运行环境</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1）操作系统：市场主流Windows操作系统；</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2）浏览器：B/S系统架构模式支持新版IE浏览器，并兼容Firefox，Google Chrome，Safari等非IE内核浏览器的正常浏览操作；</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3、采用B/S架构和三层结构开发，采用模块化、个性化设计的信息化平台，各级用户通过WEB浏览器进行各种使用和管理操作，具有良好的开放性和扩展性，支持负载均衡，界面友好，易掌握与操作；</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4、为保障数据的标准性、统一性，各子系统/功能模块必须基于统一数据平台，系统应对各类主流数据库支持具有较强的适用性，根据用户已建设的不同的数据库环境实现平滑支持，至少可支持Oracle/SQL SERVER/…等通用数据库，系统具备从现有数据库切换至另一类数据库时，不产生系统框架性定制开发，系统支持多类数据库平滑切换功能；</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5、各软件模块采用同一厂商，要求软件子系统/功能模块基于统一用户界面，所有业务子系统的功能界面风格和操作方式一致。</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★6、系统必须遵循学校的统一信息标准，无偿开放系统数据接口，能与学校的统一身份认证平台、统一信息门户无缝整合，实现与学校其它相关系统的数据共享与数据交换；</w:t>
      </w:r>
    </w:p>
    <w:p>
      <w:pPr>
        <w:spacing w:line="276" w:lineRule="auto"/>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7</w:t>
      </w:r>
      <w:r>
        <w:rPr>
          <w:rFonts w:hint="eastAsia" w:asciiTheme="minorEastAsia" w:hAnsiTheme="minorEastAsia" w:eastAsiaTheme="minorEastAsia"/>
          <w:color w:val="auto"/>
          <w:sz w:val="18"/>
          <w:szCs w:val="18"/>
          <w:highlight w:val="none"/>
        </w:rPr>
        <w:t>、安全要求：需根据学校网络中心要求，配合做好相关系统安全漏洞扫描及相关安全测试。</w:t>
      </w:r>
    </w:p>
    <w:p>
      <w:pPr>
        <w:pStyle w:val="9"/>
        <w:snapToGrid w:val="0"/>
        <w:spacing w:before="120" w:after="120" w:line="276" w:lineRule="auto"/>
        <w:jc w:val="left"/>
        <w:outlineLvl w:val="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二、招标项目清单</w:t>
      </w:r>
    </w:p>
    <w:tbl>
      <w:tblPr>
        <w:tblStyle w:val="16"/>
        <w:tblW w:w="6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70"/>
        <w:gridCol w:w="1970"/>
        <w:gridCol w:w="709"/>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序号</w:t>
            </w:r>
          </w:p>
        </w:tc>
        <w:tc>
          <w:tcPr>
            <w:tcW w:w="3940"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产品名称</w:t>
            </w:r>
          </w:p>
        </w:tc>
        <w:tc>
          <w:tcPr>
            <w:tcW w:w="709"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数量</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一</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b/>
                <w:color w:val="auto"/>
                <w:highlight w:val="none"/>
              </w:rPr>
            </w:pPr>
            <w:r>
              <w:rPr>
                <w:rFonts w:hint="eastAsia" w:asciiTheme="minorEastAsia" w:hAnsiTheme="minorEastAsia" w:eastAsiaTheme="minorEastAsia"/>
                <w:b/>
                <w:color w:val="auto"/>
                <w:szCs w:val="21"/>
                <w:highlight w:val="none"/>
              </w:rPr>
              <w:t>校级综合管理平台</w:t>
            </w:r>
          </w:p>
        </w:tc>
        <w:tc>
          <w:tcPr>
            <w:tcW w:w="709" w:type="dxa"/>
            <w:vMerge w:val="restart"/>
            <w:tcBorders>
              <w:top w:val="single" w:color="auto" w:sz="4" w:space="0"/>
              <w:left w:val="nil"/>
              <w:right w:val="single" w:color="auto" w:sz="4" w:space="0"/>
            </w:tcBorders>
            <w:vAlign w:val="center"/>
          </w:tcPr>
          <w:p>
            <w:pPr>
              <w:spacing w:line="276" w:lineRule="auto"/>
              <w:jc w:val="center"/>
              <w:rPr>
                <w:rFonts w:cs="宋体" w:asciiTheme="minorEastAsia" w:hAnsiTheme="minorEastAsia" w:eastAsiaTheme="minorEastAsia"/>
                <w:b/>
                <w:color w:val="auto"/>
                <w:highlight w:val="none"/>
              </w:rPr>
            </w:pPr>
            <w:r>
              <w:rPr>
                <w:rFonts w:hint="eastAsia" w:asciiTheme="minorEastAsia" w:hAnsiTheme="minorEastAsia" w:eastAsiaTheme="minorEastAsia"/>
                <w:b/>
                <w:color w:val="auto"/>
                <w:szCs w:val="21"/>
                <w:highlight w:val="none"/>
              </w:rPr>
              <w:t>1</w:t>
            </w:r>
          </w:p>
        </w:tc>
        <w:tc>
          <w:tcPr>
            <w:tcW w:w="871" w:type="dxa"/>
            <w:vMerge w:val="restart"/>
            <w:tcBorders>
              <w:top w:val="single" w:color="auto" w:sz="4" w:space="0"/>
              <w:left w:val="nil"/>
              <w:right w:val="single" w:color="auto" w:sz="4" w:space="0"/>
            </w:tcBorders>
            <w:vAlign w:val="center"/>
          </w:tcPr>
          <w:p>
            <w:pPr>
              <w:spacing w:line="276" w:lineRule="auto"/>
              <w:jc w:val="center"/>
              <w:rPr>
                <w:rFonts w:cs="宋体" w:asciiTheme="minorEastAsia" w:hAnsiTheme="minorEastAsia" w:eastAsiaTheme="minorEastAsia"/>
                <w:b/>
                <w:color w:val="auto"/>
                <w:highlight w:val="none"/>
              </w:rPr>
            </w:pPr>
            <w:r>
              <w:rPr>
                <w:rFonts w:hint="eastAsia" w:asciiTheme="minorEastAsia" w:hAnsiTheme="minorEastAsia" w:eastAsiaTheme="minorEastAsia"/>
                <w:b/>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校级信息门户平台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校级基础数据平台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校级数据交互平台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数据报表管理平台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实验室数据填/上报管理</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第三方系统对接</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校级管理平台软件部署、调试、数据清理、录入和系统维护</w:t>
            </w:r>
          </w:p>
        </w:tc>
        <w:tc>
          <w:tcPr>
            <w:tcW w:w="709" w:type="dxa"/>
            <w:vMerge w:val="continue"/>
            <w:tcBorders>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871" w:type="dxa"/>
            <w:vMerge w:val="continue"/>
            <w:tcBorders>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highlight w:val="none"/>
              </w:rPr>
              <w:t>二</w:t>
            </w:r>
          </w:p>
        </w:tc>
        <w:tc>
          <w:tcPr>
            <w:tcW w:w="3940"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院级实验中心管理平台</w:t>
            </w:r>
          </w:p>
        </w:tc>
        <w:tc>
          <w:tcPr>
            <w:tcW w:w="709" w:type="dxa"/>
            <w:vMerge w:val="restart"/>
            <w:tcBorders>
              <w:top w:val="single" w:color="auto" w:sz="4" w:space="0"/>
              <w:left w:val="nil"/>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3</w:t>
            </w:r>
          </w:p>
        </w:tc>
        <w:tc>
          <w:tcPr>
            <w:tcW w:w="871" w:type="dxa"/>
            <w:vMerge w:val="restart"/>
            <w:tcBorders>
              <w:top w:val="single" w:color="auto" w:sz="4" w:space="0"/>
              <w:left w:val="nil"/>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院级实验中心基础管理平台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2</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实验中心信息交互平台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3</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实验中心数据报表平台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4</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院级实验中心实验教学管理平台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院级实验室开放管理平台</w:t>
            </w:r>
          </w:p>
        </w:tc>
        <w:tc>
          <w:tcPr>
            <w:tcW w:w="709"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p>
        </w:tc>
        <w:tc>
          <w:tcPr>
            <w:tcW w:w="871" w:type="dxa"/>
            <w:vMerge w:val="continue"/>
            <w:tcBorders>
              <w:left w:val="nil"/>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p>
        </w:tc>
        <w:tc>
          <w:tcPr>
            <w:tcW w:w="3940" w:type="dxa"/>
            <w:gridSpan w:val="2"/>
            <w:tcBorders>
              <w:top w:val="single" w:color="auto" w:sz="4" w:space="0"/>
              <w:left w:val="nil"/>
              <w:bottom w:val="single" w:color="auto" w:sz="4" w:space="0"/>
              <w:right w:val="single" w:color="auto" w:sz="4" w:space="0"/>
            </w:tcBorders>
            <w:vAlign w:val="center"/>
          </w:tcPr>
          <w:p>
            <w:pPr>
              <w:spacing w:line="276"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 w:val="20"/>
                <w:szCs w:val="21"/>
                <w:highlight w:val="none"/>
              </w:rPr>
              <w:t>院级管理平台的软件部署、调试，数据清理、录入及系统维护</w:t>
            </w:r>
          </w:p>
        </w:tc>
        <w:tc>
          <w:tcPr>
            <w:tcW w:w="709" w:type="dxa"/>
            <w:tcBorders>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871" w:type="dxa"/>
            <w:tcBorders>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三</w:t>
            </w:r>
          </w:p>
        </w:tc>
        <w:tc>
          <w:tcPr>
            <w:tcW w:w="3940"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智能物联网应用管理系统</w:t>
            </w:r>
          </w:p>
        </w:tc>
        <w:tc>
          <w:tcPr>
            <w:tcW w:w="709"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智能门禁管理（智能门禁终端）</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17</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智能门禁配套</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17</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实验室电源控制</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智能视频监控管理</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管理工作站</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6</w:t>
            </w:r>
          </w:p>
        </w:tc>
        <w:tc>
          <w:tcPr>
            <w:tcW w:w="1970" w:type="dxa"/>
            <w:vMerge w:val="restart"/>
            <w:tcBorders>
              <w:top w:val="single" w:color="auto" w:sz="4" w:space="0"/>
              <w:left w:val="nil"/>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网络设备及其他辅材</w:t>
            </w:r>
          </w:p>
        </w:tc>
        <w:tc>
          <w:tcPr>
            <w:tcW w:w="1970"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交换机</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8</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1970" w:type="dxa"/>
            <w:vMerge w:val="continue"/>
            <w:tcBorders>
              <w:left w:val="nil"/>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p>
        </w:tc>
        <w:tc>
          <w:tcPr>
            <w:tcW w:w="1970"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网线</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6</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1970" w:type="dxa"/>
            <w:vMerge w:val="continue"/>
            <w:tcBorders>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p>
        </w:tc>
        <w:tc>
          <w:tcPr>
            <w:tcW w:w="1970"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其他辅材</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7</w:t>
            </w:r>
          </w:p>
        </w:tc>
        <w:tc>
          <w:tcPr>
            <w:tcW w:w="3940"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配套施工</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p>
        </w:tc>
        <w:tc>
          <w:tcPr>
            <w:tcW w:w="871"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w:t>
            </w:r>
          </w:p>
        </w:tc>
      </w:tr>
    </w:tbl>
    <w:p>
      <w:pPr>
        <w:pStyle w:val="9"/>
        <w:snapToGrid w:val="0"/>
        <w:spacing w:before="120" w:after="120" w:line="276" w:lineRule="auto"/>
        <w:jc w:val="left"/>
        <w:outlineLvl w:val="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三、</w:t>
      </w:r>
      <w:r>
        <w:rPr>
          <w:rFonts w:asciiTheme="minorEastAsia" w:hAnsiTheme="minorEastAsia" w:eastAsiaTheme="minorEastAsia"/>
          <w:b/>
          <w:color w:val="auto"/>
          <w:szCs w:val="21"/>
          <w:highlight w:val="none"/>
        </w:rPr>
        <w:t>项目各子系统功能及技术参数要求</w:t>
      </w:r>
    </w:p>
    <w:tbl>
      <w:tblPr>
        <w:tblStyle w:val="16"/>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96"/>
        <w:gridCol w:w="709"/>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序号</w:t>
            </w:r>
          </w:p>
        </w:tc>
        <w:tc>
          <w:tcPr>
            <w:tcW w:w="1405"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产品名称</w:t>
            </w:r>
          </w:p>
        </w:tc>
        <w:tc>
          <w:tcPr>
            <w:tcW w:w="7494" w:type="dxa"/>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一</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b/>
                <w:color w:val="auto"/>
                <w:highlight w:val="none"/>
              </w:rPr>
            </w:pPr>
            <w:r>
              <w:rPr>
                <w:rFonts w:hint="eastAsia" w:asciiTheme="minorEastAsia" w:hAnsiTheme="minorEastAsia" w:eastAsiaTheme="minorEastAsia"/>
                <w:b/>
                <w:color w:val="auto"/>
                <w:szCs w:val="21"/>
                <w:highlight w:val="none"/>
              </w:rPr>
              <w:t>校级综合管理平台</w:t>
            </w:r>
          </w:p>
        </w:tc>
        <w:tc>
          <w:tcPr>
            <w:tcW w:w="7494" w:type="dxa"/>
            <w:tcBorders>
              <w:top w:val="single" w:color="auto" w:sz="4" w:space="0"/>
              <w:left w:val="nil"/>
              <w:right w:val="single" w:color="auto" w:sz="4" w:space="0"/>
            </w:tcBorders>
            <w:vAlign w:val="center"/>
          </w:tcPr>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搭建一个覆盖实验室相关事务的网上办公和业务流程处理的系统平台，能管理包括基础数据和上报数据在内的整个实验室数据体系，加强业务流程的过程监管和科学评价，方便获取实验过程产生的数据，并能够查看全校所有实验室数量、房间、面积、大型设备、设备总价值数</w:t>
            </w:r>
            <w:r>
              <w:rPr>
                <w:rFonts w:asciiTheme="minorEastAsia" w:hAnsiTheme="minorEastAsia" w:eastAsiaTheme="minorEastAsia"/>
                <w:color w:val="auto"/>
                <w:sz w:val="18"/>
                <w:szCs w:val="18"/>
                <w:highlight w:val="none"/>
              </w:rPr>
              <w:t>和工作人员等信息，为学校管理层的决策提供综合的数据依据。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校级信息门户平台</w:t>
            </w:r>
          </w:p>
        </w:tc>
        <w:tc>
          <w:tcPr>
            <w:tcW w:w="7494" w:type="dxa"/>
            <w:tcBorders>
              <w:left w:val="nil"/>
              <w:right w:val="single" w:color="auto" w:sz="4" w:space="0"/>
            </w:tcBorders>
            <w:vAlign w:val="center"/>
          </w:tcPr>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要求建设一个覆盖全校的、统一的、可以满足用户个性化需要的综合信息服务系统，为各类用户提供信息处理、资源访问控制、统一身份认证和应用系统集成的基础服务。要求门户可以根据需求为用户提供多种信息资源使用和管理的方法，可以为用户提供了一个统一的信息服务入口。能为提供学校门户的统一布局的定义、内容展示的定义、二级门户网站的定义；学校实验教学系统总体介绍、信息公告、学校实验教学管理文件、学校实验室分布、国家级实验教学示范中心（链接）、省级实验教学示范中心（链接）、实验教学成果展示等，同时对所有用户进行统一身份认证，平滑整合各二级学院的门户网站。</w:t>
            </w:r>
          </w:p>
          <w:p>
            <w:pPr>
              <w:spacing w:line="276" w:lineRule="auto"/>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具休功能要求：</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r>
              <w:rPr>
                <w:rFonts w:asciiTheme="minorEastAsia" w:hAnsiTheme="minorEastAsia" w:eastAsiaTheme="minorEastAsia"/>
                <w:color w:val="auto"/>
                <w:sz w:val="18"/>
                <w:szCs w:val="18"/>
                <w:highlight w:val="none"/>
              </w:rPr>
              <w:t>应用系统集成</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平台要求采用接口标准化</w:t>
            </w:r>
            <w:r>
              <w:rPr>
                <w:rFonts w:hint="eastAsia" w:asciiTheme="minorEastAsia" w:hAnsiTheme="minorEastAsia" w:eastAsiaTheme="minorEastAsia"/>
                <w:color w:val="auto"/>
                <w:sz w:val="18"/>
                <w:szCs w:val="18"/>
                <w:highlight w:val="none"/>
              </w:rPr>
              <w:t>能</w:t>
            </w:r>
            <w:r>
              <w:rPr>
                <w:rFonts w:asciiTheme="minorEastAsia" w:hAnsiTheme="minorEastAsia" w:eastAsiaTheme="minorEastAsia"/>
                <w:color w:val="auto"/>
                <w:sz w:val="18"/>
                <w:szCs w:val="18"/>
                <w:highlight w:val="none"/>
              </w:rPr>
              <w:t>与</w:t>
            </w:r>
            <w:r>
              <w:rPr>
                <w:rFonts w:hint="eastAsia" w:asciiTheme="minorEastAsia" w:hAnsiTheme="minorEastAsia" w:eastAsiaTheme="minorEastAsia"/>
                <w:color w:val="auto"/>
                <w:sz w:val="18"/>
                <w:szCs w:val="18"/>
                <w:highlight w:val="none"/>
              </w:rPr>
              <w:t>各</w:t>
            </w:r>
            <w:r>
              <w:rPr>
                <w:rFonts w:asciiTheme="minorEastAsia" w:hAnsiTheme="minorEastAsia" w:eastAsiaTheme="minorEastAsia"/>
                <w:color w:val="auto"/>
                <w:sz w:val="18"/>
                <w:szCs w:val="18"/>
                <w:highlight w:val="none"/>
              </w:rPr>
              <w:t>二级部门系统集成。</w:t>
            </w:r>
            <w:r>
              <w:rPr>
                <w:rFonts w:hint="eastAsia" w:asciiTheme="minorEastAsia" w:hAnsiTheme="minorEastAsia" w:eastAsiaTheme="minorEastAsia"/>
                <w:color w:val="auto"/>
                <w:sz w:val="18"/>
                <w:szCs w:val="18"/>
                <w:highlight w:val="none"/>
              </w:rPr>
              <w:t>制定</w:t>
            </w:r>
            <w:r>
              <w:rPr>
                <w:rFonts w:asciiTheme="minorEastAsia" w:hAnsiTheme="minorEastAsia" w:eastAsiaTheme="minorEastAsia"/>
                <w:color w:val="auto"/>
                <w:sz w:val="18"/>
                <w:szCs w:val="18"/>
                <w:highlight w:val="none"/>
              </w:rPr>
              <w:t>统一的应用系统平台、结构、数据以及接口等规范，方便</w:t>
            </w:r>
            <w:r>
              <w:rPr>
                <w:rFonts w:hint="eastAsia" w:asciiTheme="minorEastAsia" w:hAnsiTheme="minorEastAsia" w:eastAsiaTheme="minorEastAsia"/>
                <w:color w:val="auto"/>
                <w:sz w:val="18"/>
                <w:szCs w:val="18"/>
                <w:highlight w:val="none"/>
              </w:rPr>
              <w:t>二级学院的</w:t>
            </w:r>
            <w:r>
              <w:rPr>
                <w:rFonts w:asciiTheme="minorEastAsia" w:hAnsiTheme="minorEastAsia" w:eastAsiaTheme="minorEastAsia"/>
                <w:color w:val="auto"/>
                <w:sz w:val="18"/>
                <w:szCs w:val="18"/>
                <w:highlight w:val="none"/>
              </w:rPr>
              <w:t>系统在实验室信息化门户平台中的集成。</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r>
              <w:rPr>
                <w:rFonts w:asciiTheme="minorEastAsia" w:hAnsiTheme="minorEastAsia" w:eastAsiaTheme="minorEastAsia"/>
                <w:color w:val="auto"/>
                <w:sz w:val="18"/>
                <w:szCs w:val="18"/>
                <w:highlight w:val="none"/>
              </w:rPr>
              <w:t>单点登录</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要求一个用户身份只需进行一次鉴权便可以访问所有经授权的资源，而不需要多次认证。</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信息服务</w:t>
            </w:r>
            <w:r>
              <w:rPr>
                <w:rFonts w:hint="eastAsia" w:asciiTheme="minorEastAsia" w:hAnsiTheme="minorEastAsia" w:eastAsiaTheme="minorEastAsia"/>
                <w:color w:val="auto"/>
                <w:sz w:val="18"/>
                <w:szCs w:val="18"/>
                <w:highlight w:val="none"/>
              </w:rPr>
              <w:t>集成：</w:t>
            </w:r>
            <w:r>
              <w:rPr>
                <w:rFonts w:asciiTheme="minorEastAsia" w:hAnsiTheme="minorEastAsia" w:eastAsiaTheme="minorEastAsia"/>
                <w:color w:val="auto"/>
                <w:sz w:val="18"/>
                <w:szCs w:val="18"/>
                <w:highlight w:val="none"/>
              </w:rPr>
              <w:t>通过系统集成，</w:t>
            </w:r>
            <w:r>
              <w:rPr>
                <w:rFonts w:hint="eastAsia" w:asciiTheme="minorEastAsia" w:hAnsiTheme="minorEastAsia" w:eastAsiaTheme="minorEastAsia"/>
                <w:color w:val="auto"/>
                <w:sz w:val="18"/>
                <w:szCs w:val="18"/>
                <w:highlight w:val="none"/>
              </w:rPr>
              <w:t>能提供全校以</w:t>
            </w:r>
            <w:r>
              <w:rPr>
                <w:rFonts w:asciiTheme="minorEastAsia" w:hAnsiTheme="minorEastAsia" w:eastAsiaTheme="minorEastAsia"/>
                <w:color w:val="auto"/>
                <w:sz w:val="18"/>
                <w:szCs w:val="18"/>
                <w:highlight w:val="none"/>
              </w:rPr>
              <w:t>全面的信息服务，包括教学资源、开放资源、仪器设备资源、网上办公和公共信息服务。</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r>
              <w:rPr>
                <w:rFonts w:asciiTheme="minorEastAsia" w:hAnsiTheme="minorEastAsia" w:eastAsiaTheme="minorEastAsia"/>
                <w:color w:val="auto"/>
                <w:sz w:val="18"/>
                <w:szCs w:val="18"/>
                <w:highlight w:val="none"/>
              </w:rPr>
              <w:t>内容管理</w:t>
            </w:r>
            <w:r>
              <w:rPr>
                <w:rFonts w:hint="eastAsia" w:asciiTheme="minorEastAsia" w:hAnsiTheme="minorEastAsia" w:eastAsiaTheme="minorEastAsia"/>
                <w:color w:val="auto"/>
                <w:sz w:val="18"/>
                <w:szCs w:val="18"/>
                <w:highlight w:val="none"/>
              </w:rPr>
              <w:t>：要求可以为全校</w:t>
            </w:r>
            <w:r>
              <w:rPr>
                <w:rFonts w:asciiTheme="minorEastAsia" w:hAnsiTheme="minorEastAsia" w:eastAsiaTheme="minorEastAsia"/>
                <w:color w:val="auto"/>
                <w:sz w:val="18"/>
                <w:szCs w:val="18"/>
                <w:highlight w:val="none"/>
              </w:rPr>
              <w:t>信息管理提供可视化的管理手段。实验室主管部门借助内容管理，可对实验室及仪器设备重要信息及内容进行管理、审批、发布，并为门户平台提供信息来源。也可以使信息门户中比较零散的信息、数据得到统一的维护和管理。</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平台网站架构</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支持国际通用标准，为学校提供平台网站架构模板</w:t>
            </w:r>
            <w:r>
              <w:rPr>
                <w:rFonts w:hint="eastAsia" w:asciiTheme="minorEastAsia" w:hAnsiTheme="minorEastAsia" w:eastAsiaTheme="minorEastAsia"/>
                <w:color w:val="auto"/>
                <w:sz w:val="18"/>
                <w:szCs w:val="18"/>
                <w:highlight w:val="none"/>
              </w:rPr>
              <w:t>，可以按学校</w:t>
            </w:r>
            <w:r>
              <w:rPr>
                <w:rFonts w:asciiTheme="minorEastAsia" w:hAnsiTheme="minorEastAsia" w:eastAsiaTheme="minorEastAsia"/>
                <w:color w:val="auto"/>
                <w:sz w:val="18"/>
                <w:szCs w:val="18"/>
                <w:highlight w:val="none"/>
              </w:rPr>
              <w:t>提供的素材</w:t>
            </w:r>
            <w:r>
              <w:rPr>
                <w:rFonts w:hint="eastAsia" w:asciiTheme="minorEastAsia" w:hAnsiTheme="minorEastAsia" w:eastAsiaTheme="minorEastAsia"/>
                <w:color w:val="auto"/>
                <w:sz w:val="18"/>
                <w:szCs w:val="18"/>
                <w:highlight w:val="none"/>
              </w:rPr>
              <w:t>个性化修改</w:t>
            </w:r>
            <w:r>
              <w:rPr>
                <w:rFonts w:asciiTheme="minorEastAsia" w:hAnsiTheme="minorEastAsia" w:eastAsiaTheme="minorEastAsia"/>
                <w:color w:val="auto"/>
                <w:sz w:val="18"/>
                <w:szCs w:val="18"/>
                <w:highlight w:val="none"/>
              </w:rPr>
              <w:t>定制</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信息展示</w:t>
            </w:r>
            <w:r>
              <w:rPr>
                <w:rFonts w:hint="eastAsia" w:asciiTheme="minorEastAsia" w:hAnsiTheme="minorEastAsia" w:eastAsiaTheme="minorEastAsia"/>
                <w:color w:val="auto"/>
                <w:sz w:val="18"/>
                <w:szCs w:val="18"/>
                <w:highlight w:val="none"/>
              </w:rPr>
              <w:t>：包括</w:t>
            </w:r>
            <w:r>
              <w:rPr>
                <w:rFonts w:asciiTheme="minorEastAsia" w:hAnsiTheme="minorEastAsia" w:eastAsiaTheme="minorEastAsia"/>
                <w:color w:val="auto"/>
                <w:sz w:val="18"/>
                <w:szCs w:val="18"/>
                <w:highlight w:val="none"/>
              </w:rPr>
              <w:t>中心总体介绍、实验室与大型仪器设备资源及各类开放信息公告、实验教学管理文件、</w:t>
            </w:r>
            <w:r>
              <w:rPr>
                <w:rFonts w:hint="eastAsia" w:asciiTheme="minorEastAsia" w:hAnsiTheme="minorEastAsia" w:eastAsiaTheme="minorEastAsia"/>
                <w:color w:val="auto"/>
                <w:sz w:val="18"/>
                <w:szCs w:val="18"/>
                <w:highlight w:val="none"/>
              </w:rPr>
              <w:t>实验架构</w:t>
            </w:r>
            <w:r>
              <w:rPr>
                <w:rFonts w:asciiTheme="minorEastAsia" w:hAnsiTheme="minorEastAsia" w:eastAsiaTheme="minorEastAsia"/>
                <w:color w:val="auto"/>
                <w:sz w:val="18"/>
                <w:szCs w:val="18"/>
                <w:highlight w:val="none"/>
              </w:rPr>
              <w:t>、规章制度、实验成果、实验室师资队伍、媒体资源、</w:t>
            </w:r>
            <w:r>
              <w:rPr>
                <w:rFonts w:hint="eastAsia" w:asciiTheme="minorEastAsia" w:hAnsiTheme="minorEastAsia" w:eastAsiaTheme="minorEastAsia"/>
                <w:color w:val="auto"/>
                <w:sz w:val="18"/>
                <w:szCs w:val="18"/>
                <w:highlight w:val="none"/>
              </w:rPr>
              <w:t>留言建议</w:t>
            </w:r>
            <w:r>
              <w:rPr>
                <w:rFonts w:asciiTheme="minorEastAsia" w:hAnsiTheme="minorEastAsia" w:eastAsiaTheme="minorEastAsia"/>
                <w:color w:val="auto"/>
                <w:sz w:val="18"/>
                <w:szCs w:val="18"/>
                <w:highlight w:val="none"/>
              </w:rPr>
              <w:t>等。</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w:t>
            </w:r>
            <w:r>
              <w:rPr>
                <w:rFonts w:asciiTheme="minorEastAsia" w:hAnsiTheme="minorEastAsia" w:eastAsiaTheme="minorEastAsia"/>
                <w:color w:val="auto"/>
                <w:sz w:val="18"/>
                <w:szCs w:val="18"/>
                <w:highlight w:val="none"/>
              </w:rPr>
              <w:t>信息发布管理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包括信息管理、栏目管理、信息板、信息发布审核、导航、图片管理、用户反馈</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管理等内容</w:t>
            </w:r>
            <w:r>
              <w:rPr>
                <w:rFonts w:hint="eastAsia" w:asciiTheme="minorEastAsia" w:hAnsiTheme="minorEastAsia" w:eastAsiaTheme="minorEastAsia"/>
                <w:color w:val="auto"/>
                <w:sz w:val="18"/>
                <w:szCs w:val="18"/>
                <w:highlight w:val="none"/>
              </w:rPr>
              <w:t>。要求能够</w:t>
            </w:r>
            <w:r>
              <w:rPr>
                <w:rFonts w:asciiTheme="minorEastAsia" w:hAnsiTheme="minorEastAsia" w:eastAsiaTheme="minorEastAsia"/>
                <w:color w:val="auto"/>
                <w:sz w:val="18"/>
                <w:szCs w:val="18"/>
                <w:highlight w:val="none"/>
              </w:rPr>
              <w:t>发布的实验室相关各类信息进行即时的管理，</w:t>
            </w:r>
            <w:r>
              <w:rPr>
                <w:rFonts w:hint="eastAsia" w:asciiTheme="minorEastAsia" w:hAnsiTheme="minorEastAsia" w:eastAsiaTheme="minorEastAsia"/>
                <w:color w:val="auto"/>
                <w:sz w:val="18"/>
                <w:szCs w:val="18"/>
                <w:highlight w:val="none"/>
              </w:rPr>
              <w:t>包括</w:t>
            </w:r>
            <w:r>
              <w:rPr>
                <w:rFonts w:asciiTheme="minorEastAsia" w:hAnsiTheme="minorEastAsia" w:eastAsiaTheme="minorEastAsia"/>
                <w:color w:val="auto"/>
                <w:sz w:val="18"/>
                <w:szCs w:val="18"/>
                <w:highlight w:val="none"/>
              </w:rPr>
              <w:t>公告、新闻动态等，包</w:t>
            </w:r>
            <w:r>
              <w:rPr>
                <w:rFonts w:hint="eastAsia" w:asciiTheme="minorEastAsia" w:hAnsiTheme="minorEastAsia" w:eastAsiaTheme="minorEastAsia"/>
                <w:color w:val="auto"/>
                <w:sz w:val="18"/>
                <w:szCs w:val="18"/>
                <w:highlight w:val="none"/>
              </w:rPr>
              <w:t>括对信息的起草、送审、审核、发布等展示信息的后台监管。</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w:t>
            </w:r>
            <w:r>
              <w:rPr>
                <w:rFonts w:asciiTheme="minorEastAsia" w:hAnsiTheme="minorEastAsia" w:eastAsiaTheme="minorEastAsia"/>
                <w:color w:val="auto"/>
                <w:sz w:val="18"/>
                <w:szCs w:val="18"/>
                <w:highlight w:val="none"/>
              </w:rPr>
              <w:t>成果展示：</w:t>
            </w:r>
            <w:r>
              <w:rPr>
                <w:rFonts w:hint="eastAsia" w:asciiTheme="minorEastAsia" w:hAnsiTheme="minorEastAsia" w:eastAsiaTheme="minorEastAsia"/>
                <w:color w:val="auto"/>
                <w:sz w:val="18"/>
                <w:szCs w:val="18"/>
                <w:highlight w:val="none"/>
              </w:rPr>
              <w:t>要求具备</w:t>
            </w:r>
            <w:r>
              <w:rPr>
                <w:rFonts w:asciiTheme="minorEastAsia" w:hAnsiTheme="minorEastAsia" w:eastAsiaTheme="minorEastAsia"/>
                <w:color w:val="auto"/>
                <w:sz w:val="18"/>
                <w:szCs w:val="18"/>
                <w:highlight w:val="none"/>
              </w:rPr>
              <w:t>实验室成果展示功能，可将各类实验成果以不同的方式对外展示，如文字介绍、图片展示、课件展示、视频展示等。</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9）</w:t>
            </w:r>
            <w:r>
              <w:rPr>
                <w:rFonts w:asciiTheme="minorEastAsia" w:hAnsiTheme="minorEastAsia" w:eastAsiaTheme="minorEastAsia"/>
                <w:color w:val="auto"/>
                <w:sz w:val="18"/>
                <w:szCs w:val="18"/>
                <w:highlight w:val="none"/>
              </w:rPr>
              <w:t>规章制度管理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提供实验室规章制度发布功能，可将实验室的各项规章制度及注意事项等在平台上发布，让所有用户都能随时了解。</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10）</w:t>
            </w:r>
            <w:r>
              <w:rPr>
                <w:rFonts w:asciiTheme="minorEastAsia" w:hAnsiTheme="minorEastAsia" w:eastAsiaTheme="minorEastAsia"/>
                <w:color w:val="auto"/>
                <w:sz w:val="18"/>
                <w:szCs w:val="18"/>
                <w:highlight w:val="none"/>
              </w:rPr>
              <w:t>角色互动交流</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提供基本用户类型权限管理和定义集成系统的安全信息。各类用户的注册、身份认证、 前台登录及登录后查看、查询、预约、选课、互动、评教等。</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11）</w:t>
            </w:r>
            <w:r>
              <w:rPr>
                <w:rFonts w:asciiTheme="minorEastAsia" w:hAnsiTheme="minorEastAsia" w:eastAsiaTheme="minorEastAsia"/>
                <w:color w:val="auto"/>
                <w:sz w:val="18"/>
                <w:szCs w:val="18"/>
                <w:highlight w:val="none"/>
              </w:rPr>
              <w:t>实验室状态查询</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学生可通过实验室信息门户查看某个时间段哪些实验室对外开放，包括该实验室可开放哪些内容，方便选择预约实验；管理员可查询各时间段每个实验室的使用情况，哪个实验室哪个时间是开放的等内容。</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12）</w:t>
            </w:r>
            <w:r>
              <w:rPr>
                <w:rFonts w:asciiTheme="minorEastAsia" w:hAnsiTheme="minorEastAsia" w:eastAsiaTheme="minorEastAsia"/>
                <w:color w:val="auto"/>
                <w:sz w:val="18"/>
                <w:szCs w:val="18"/>
                <w:highlight w:val="none"/>
              </w:rPr>
              <w:t>统一的信息</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统一内容管理，提供统一采编、审核，提供全面的信息发布流程。</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13）</w:t>
            </w:r>
            <w:r>
              <w:rPr>
                <w:rFonts w:asciiTheme="minorEastAsia" w:hAnsiTheme="minorEastAsia" w:eastAsiaTheme="minorEastAsia"/>
                <w:color w:val="auto"/>
                <w:sz w:val="18"/>
                <w:szCs w:val="18"/>
                <w:highlight w:val="none"/>
              </w:rPr>
              <w:t>链接管理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对站点的链接进行统一管理，可无缝链接到国家级实验教学示范中心（链接）、省部级实验教学示范中心（链接）、各个二级学院实验中心门户平台等。</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14）</w:t>
            </w:r>
            <w:r>
              <w:rPr>
                <w:rFonts w:asciiTheme="minorEastAsia" w:hAnsiTheme="minorEastAsia" w:eastAsiaTheme="minorEastAsia"/>
                <w:color w:val="auto"/>
                <w:sz w:val="18"/>
                <w:szCs w:val="18"/>
                <w:highlight w:val="none"/>
              </w:rPr>
              <w:t>文档管理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提供网络存储空间实现对文档的共享，能对发布的内容文档进行统计与查询，为用户的信息发布提供空间监管。</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15）用户体验：要求信息门户平台界面友好，操作简明方便，具备有较好的用户体验。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校级基础数据平台</w:t>
            </w:r>
          </w:p>
        </w:tc>
        <w:tc>
          <w:tcPr>
            <w:tcW w:w="7494" w:type="dxa"/>
            <w:tcBorders>
              <w:left w:val="nil"/>
              <w:right w:val="single" w:color="auto" w:sz="4" w:space="0"/>
            </w:tcBorders>
            <w:vAlign w:val="center"/>
          </w:tcPr>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要求平台能够承载实验室开放管理、实验教学管理、仪器设备管理、实验室安全准入管理、实验室管理、网上</w:t>
            </w:r>
            <w:r>
              <w:rPr>
                <w:rFonts w:asciiTheme="minorEastAsia" w:hAnsiTheme="minorEastAsia" w:eastAsiaTheme="minorEastAsia"/>
                <w:color w:val="auto"/>
                <w:sz w:val="18"/>
                <w:szCs w:val="18"/>
                <w:highlight w:val="none"/>
              </w:rPr>
              <w:t>办公管理、实验队伍管理、系统设置、权限管理等模块的所有基础数据，</w:t>
            </w:r>
            <w:r>
              <w:rPr>
                <w:rFonts w:hint="eastAsia" w:asciiTheme="minorEastAsia" w:hAnsiTheme="minorEastAsia" w:eastAsiaTheme="minorEastAsia"/>
                <w:color w:val="auto"/>
                <w:sz w:val="18"/>
                <w:szCs w:val="18"/>
                <w:highlight w:val="none"/>
              </w:rPr>
              <w:t>保障</w:t>
            </w:r>
            <w:r>
              <w:rPr>
                <w:rFonts w:asciiTheme="minorEastAsia" w:hAnsiTheme="minorEastAsia" w:eastAsiaTheme="minorEastAsia"/>
                <w:color w:val="auto"/>
                <w:sz w:val="18"/>
                <w:szCs w:val="18"/>
                <w:highlight w:val="none"/>
              </w:rPr>
              <w:t>各软件管理子系统和功能模块之间、软件系统与硬件集成系统之间、各软件子系统之间的数据流转与交互</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实现多系统的共享存储</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具休功能要求：</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Cs/>
                <w:color w:val="auto"/>
                <w:sz w:val="18"/>
                <w:szCs w:val="18"/>
                <w:highlight w:val="none"/>
              </w:rPr>
              <w:t>1）</w:t>
            </w:r>
            <w:r>
              <w:rPr>
                <w:rFonts w:hint="eastAsia" w:asciiTheme="minorEastAsia" w:hAnsiTheme="minorEastAsia" w:eastAsiaTheme="minorEastAsia"/>
                <w:bCs/>
                <w:color w:val="auto"/>
                <w:sz w:val="18"/>
                <w:szCs w:val="18"/>
                <w:highlight w:val="none"/>
              </w:rPr>
              <w:t xml:space="preserve"> </w:t>
            </w:r>
            <w:r>
              <w:rPr>
                <w:rFonts w:asciiTheme="minorEastAsia" w:hAnsiTheme="minorEastAsia" w:eastAsiaTheme="minorEastAsia"/>
                <w:bCs/>
                <w:color w:val="auto"/>
                <w:sz w:val="18"/>
                <w:szCs w:val="18"/>
                <w:highlight w:val="none"/>
              </w:rPr>
              <w:t>数据标准建设</w:t>
            </w:r>
            <w:r>
              <w:rPr>
                <w:rFonts w:hint="eastAsia" w:asciiTheme="minorEastAsia" w:hAnsiTheme="minorEastAsia" w:eastAsiaTheme="minorEastAsia"/>
                <w:bCs/>
                <w:color w:val="auto"/>
                <w:sz w:val="18"/>
                <w:szCs w:val="18"/>
                <w:highlight w:val="none"/>
              </w:rPr>
              <w:t>：</w:t>
            </w:r>
            <w:r>
              <w:rPr>
                <w:rFonts w:hint="eastAsia" w:asciiTheme="minorEastAsia" w:hAnsiTheme="minorEastAsia" w:eastAsiaTheme="minorEastAsia"/>
                <w:color w:val="auto"/>
                <w:sz w:val="18"/>
                <w:szCs w:val="18"/>
                <w:highlight w:val="none"/>
              </w:rPr>
              <w:t>整个学校实验室的数据需要按照一定的标准编码，方便校内数据在不同的业务系统上流通，要求能够</w:t>
            </w:r>
            <w:r>
              <w:rPr>
                <w:rFonts w:asciiTheme="minorEastAsia" w:hAnsiTheme="minorEastAsia" w:eastAsiaTheme="minorEastAsia"/>
                <w:color w:val="auto"/>
                <w:sz w:val="18"/>
                <w:szCs w:val="18"/>
                <w:highlight w:val="none"/>
              </w:rPr>
              <w:t>兼顾各个标准之间的兼容性</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标准的一致性以及标准的可扩展性。</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Cs/>
                <w:color w:val="auto"/>
                <w:sz w:val="18"/>
                <w:szCs w:val="18"/>
                <w:highlight w:val="none"/>
              </w:rPr>
              <w:t>2）</w:t>
            </w:r>
            <w:r>
              <w:rPr>
                <w:rFonts w:hint="eastAsia" w:asciiTheme="minorEastAsia" w:hAnsiTheme="minorEastAsia" w:eastAsiaTheme="minorEastAsia"/>
                <w:bCs/>
                <w:color w:val="auto"/>
                <w:sz w:val="18"/>
                <w:szCs w:val="18"/>
                <w:highlight w:val="none"/>
              </w:rPr>
              <w:t xml:space="preserve"> </w:t>
            </w:r>
            <w:r>
              <w:rPr>
                <w:rFonts w:asciiTheme="minorEastAsia" w:hAnsiTheme="minorEastAsia" w:eastAsiaTheme="minorEastAsia"/>
                <w:bCs/>
                <w:color w:val="auto"/>
                <w:sz w:val="18"/>
                <w:szCs w:val="18"/>
                <w:highlight w:val="none"/>
              </w:rPr>
              <w:t>数据集成共享</w:t>
            </w:r>
            <w:r>
              <w:rPr>
                <w:rFonts w:hint="eastAsia" w:asciiTheme="minorEastAsia" w:hAnsiTheme="minorEastAsia" w:eastAsiaTheme="minorEastAsia"/>
                <w:bCs/>
                <w:color w:val="auto"/>
                <w:sz w:val="18"/>
                <w:szCs w:val="18"/>
                <w:highlight w:val="none"/>
              </w:rPr>
              <w:t>：</w:t>
            </w:r>
            <w:r>
              <w:rPr>
                <w:rFonts w:hint="eastAsia" w:asciiTheme="minorEastAsia" w:hAnsiTheme="minorEastAsia" w:eastAsiaTheme="minorEastAsia"/>
                <w:color w:val="auto"/>
                <w:sz w:val="18"/>
                <w:szCs w:val="18"/>
                <w:highlight w:val="none"/>
              </w:rPr>
              <w:t>要求所有应用系统的共享数据在这里集成。要求向下从数据源集成数据</w:t>
            </w:r>
            <w:r>
              <w:rPr>
                <w:rFonts w:asciiTheme="minorEastAsia" w:hAnsiTheme="minorEastAsia" w:eastAsiaTheme="minorEastAsia"/>
                <w:color w:val="auto"/>
                <w:sz w:val="18"/>
                <w:szCs w:val="18"/>
                <w:highlight w:val="none"/>
              </w:rPr>
              <w:t>并保持更新同步，向上作为统计分析服务的数据源，向统计分析服务提供从各个应用系统集成过来的共享数据。</w:t>
            </w:r>
            <w:r>
              <w:rPr>
                <w:rFonts w:hint="eastAsia" w:asciiTheme="minorEastAsia" w:hAnsiTheme="minorEastAsia" w:eastAsiaTheme="minorEastAsia"/>
                <w:color w:val="auto"/>
                <w:sz w:val="18"/>
                <w:szCs w:val="18"/>
                <w:highlight w:val="none"/>
              </w:rPr>
              <w:t>要求能</w:t>
            </w:r>
            <w:r>
              <w:rPr>
                <w:rFonts w:asciiTheme="minorEastAsia" w:hAnsiTheme="minorEastAsia" w:eastAsiaTheme="minorEastAsia"/>
                <w:color w:val="auto"/>
                <w:sz w:val="18"/>
                <w:szCs w:val="18"/>
                <w:highlight w:val="none"/>
              </w:rPr>
              <w:t>通过数据中心中的交互功能从各个应用系统数据库抽取数据，并根据数据类型分类存储。</w:t>
            </w:r>
            <w:r>
              <w:rPr>
                <w:rFonts w:hint="eastAsia" w:asciiTheme="minorEastAsia" w:hAnsiTheme="minorEastAsia" w:eastAsiaTheme="minorEastAsia"/>
                <w:color w:val="auto"/>
                <w:sz w:val="18"/>
                <w:szCs w:val="18"/>
                <w:highlight w:val="none"/>
              </w:rPr>
              <w:t>此外</w:t>
            </w:r>
            <w:r>
              <w:rPr>
                <w:rFonts w:asciiTheme="minorEastAsia" w:hAnsiTheme="minorEastAsia" w:eastAsiaTheme="minorEastAsia"/>
                <w:color w:val="auto"/>
                <w:sz w:val="18"/>
                <w:szCs w:val="18"/>
                <w:highlight w:val="none"/>
              </w:rPr>
              <w:t>，数据库与数据源的各个应用系统数据库保持更新的同步，共享数据库的数据同步</w:t>
            </w:r>
            <w:r>
              <w:rPr>
                <w:rFonts w:hint="eastAsia" w:asciiTheme="minorEastAsia" w:hAnsiTheme="minorEastAsia" w:eastAsiaTheme="minorEastAsia"/>
                <w:color w:val="auto"/>
                <w:sz w:val="18"/>
                <w:szCs w:val="18"/>
                <w:highlight w:val="none"/>
              </w:rPr>
              <w:t>要求有</w:t>
            </w:r>
            <w:r>
              <w:rPr>
                <w:rFonts w:asciiTheme="minorEastAsia" w:hAnsiTheme="minorEastAsia" w:eastAsiaTheme="minorEastAsia"/>
                <w:color w:val="auto"/>
                <w:sz w:val="18"/>
                <w:szCs w:val="18"/>
                <w:highlight w:val="none"/>
              </w:rPr>
              <w:t>自动同步和手动同步两种，自动同步针对后续建设的应用系统数据，手动同步针对原有应用系统数据。</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3）</w:t>
            </w:r>
            <w:r>
              <w:rPr>
                <w:rFonts w:hint="eastAsia" w:asciiTheme="minorEastAsia" w:hAnsiTheme="minorEastAsia" w:eastAsiaTheme="minorEastAsia"/>
                <w:bCs/>
                <w:color w:val="auto"/>
                <w:sz w:val="18"/>
                <w:szCs w:val="18"/>
                <w:highlight w:val="none"/>
              </w:rPr>
              <w:t xml:space="preserve"> </w:t>
            </w:r>
            <w:r>
              <w:rPr>
                <w:rFonts w:asciiTheme="minorEastAsia" w:hAnsiTheme="minorEastAsia" w:eastAsiaTheme="minorEastAsia"/>
                <w:bCs/>
                <w:color w:val="auto"/>
                <w:sz w:val="18"/>
                <w:szCs w:val="18"/>
                <w:highlight w:val="none"/>
              </w:rPr>
              <w:t>数据管理</w:t>
            </w:r>
            <w:r>
              <w:rPr>
                <w:rFonts w:hint="eastAsia" w:asciiTheme="minorEastAsia" w:hAnsiTheme="minorEastAsia" w:eastAsiaTheme="minorEastAsia"/>
                <w:bCs/>
                <w:color w:val="auto"/>
                <w:sz w:val="18"/>
                <w:szCs w:val="18"/>
                <w:highlight w:val="none"/>
              </w:rPr>
              <w:t>：</w:t>
            </w:r>
            <w:r>
              <w:rPr>
                <w:rFonts w:hint="eastAsia" w:asciiTheme="minorEastAsia" w:hAnsiTheme="minorEastAsia" w:eastAsiaTheme="minorEastAsia"/>
                <w:color w:val="auto"/>
                <w:sz w:val="18"/>
                <w:szCs w:val="18"/>
                <w:highlight w:val="none"/>
              </w:rPr>
              <w:t>要求能对实验室综合管理系统中的一系列原始的基本数据的管理。</w:t>
            </w:r>
          </w:p>
          <w:p>
            <w:pPr>
              <w:spacing w:line="276" w:lineRule="auto"/>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Cs/>
                <w:color w:val="auto"/>
                <w:sz w:val="18"/>
                <w:szCs w:val="18"/>
                <w:highlight w:val="none"/>
              </w:rPr>
              <w:t>4） 用户和日志管理：包括</w:t>
            </w:r>
            <w:r>
              <w:rPr>
                <w:rFonts w:asciiTheme="minorEastAsia" w:hAnsiTheme="minorEastAsia" w:eastAsiaTheme="minorEastAsia"/>
                <w:color w:val="auto"/>
                <w:sz w:val="18"/>
                <w:szCs w:val="18"/>
                <w:highlight w:val="none"/>
              </w:rPr>
              <w:t>应用用户管理涉及应用管理（对应用系统进行增删改操作）、应用权限管理（划分应用对元数据表的访问权限，可将访问权限分为只读式访问和独占式访问）、；日志管理</w:t>
            </w:r>
            <w:r>
              <w:rPr>
                <w:rFonts w:hint="eastAsia" w:asciiTheme="minorEastAsia" w:hAnsiTheme="minorEastAsia" w:eastAsiaTheme="minorEastAsia"/>
                <w:color w:val="auto"/>
                <w:sz w:val="18"/>
                <w:szCs w:val="18"/>
                <w:highlight w:val="none"/>
              </w:rPr>
              <w:t>包括</w:t>
            </w:r>
            <w:r>
              <w:rPr>
                <w:rFonts w:asciiTheme="minorEastAsia" w:hAnsiTheme="minorEastAsia" w:eastAsiaTheme="minorEastAsia"/>
                <w:color w:val="auto"/>
                <w:sz w:val="18"/>
                <w:szCs w:val="18"/>
                <w:highlight w:val="none"/>
              </w:rPr>
              <w:t>查看、删除、备份和导出日志记录</w:t>
            </w:r>
            <w:r>
              <w:rPr>
                <w:rFonts w:hint="eastAsia" w:asciiTheme="minorEastAsia" w:hAnsiTheme="minorEastAsia" w:eastAsiaTheme="minorEastAsia"/>
                <w:color w:val="auto"/>
                <w:sz w:val="18"/>
                <w:szCs w:val="18"/>
                <w:highlight w:val="none"/>
              </w:rPr>
              <w:t>功能</w:t>
            </w:r>
            <w:r>
              <w:rPr>
                <w:rFonts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5）</w:t>
            </w:r>
            <w:r>
              <w:rPr>
                <w:rFonts w:hint="eastAsia" w:asciiTheme="minorEastAsia" w:hAnsiTheme="minorEastAsia" w:eastAsiaTheme="minorEastAsia"/>
                <w:bCs/>
                <w:color w:val="auto"/>
                <w:sz w:val="18"/>
                <w:szCs w:val="18"/>
                <w:highlight w:val="none"/>
              </w:rPr>
              <w:t xml:space="preserve"> </w:t>
            </w:r>
            <w:r>
              <w:rPr>
                <w:rFonts w:asciiTheme="minorEastAsia" w:hAnsiTheme="minorEastAsia" w:eastAsiaTheme="minorEastAsia"/>
                <w:bCs/>
                <w:color w:val="auto"/>
                <w:sz w:val="18"/>
                <w:szCs w:val="18"/>
                <w:highlight w:val="none"/>
              </w:rPr>
              <w:t>基础数据管理服务</w:t>
            </w:r>
          </w:p>
          <w:p>
            <w:pPr>
              <w:pStyle w:val="33"/>
              <w:widowControl w:val="0"/>
              <w:numPr>
                <w:ilvl w:val="0"/>
                <w:numId w:val="1"/>
              </w:numPr>
              <w:spacing w:line="276" w:lineRule="auto"/>
              <w:ind w:firstLine="36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部门管理：学院班级和部门信息管理；</w:t>
            </w:r>
          </w:p>
          <w:p>
            <w:pPr>
              <w:pStyle w:val="33"/>
              <w:widowControl w:val="0"/>
              <w:numPr>
                <w:ilvl w:val="0"/>
                <w:numId w:val="1"/>
              </w:numPr>
              <w:spacing w:line="276" w:lineRule="auto"/>
              <w:ind w:firstLine="36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专业管理：负责学院专业的信息管理；</w:t>
            </w:r>
          </w:p>
          <w:p>
            <w:pPr>
              <w:pStyle w:val="33"/>
              <w:widowControl w:val="0"/>
              <w:numPr>
                <w:ilvl w:val="0"/>
                <w:numId w:val="1"/>
              </w:numPr>
              <w:spacing w:line="276" w:lineRule="auto"/>
              <w:ind w:firstLine="36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数据字典：系统数据字典的管理；</w:t>
            </w:r>
          </w:p>
          <w:p>
            <w:pPr>
              <w:pStyle w:val="33"/>
              <w:widowControl w:val="0"/>
              <w:numPr>
                <w:ilvl w:val="0"/>
                <w:numId w:val="1"/>
              </w:numPr>
              <w:spacing w:line="276" w:lineRule="auto"/>
              <w:ind w:firstLine="36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实验人员信息管理：实验室人员基本情况</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实验室人员姓名、性别、出生年月、</w:t>
            </w:r>
            <w:r>
              <w:rPr>
                <w:rFonts w:hint="eastAsia" w:asciiTheme="minorEastAsia" w:hAnsiTheme="minorEastAsia" w:eastAsiaTheme="minorEastAsia"/>
                <w:color w:val="auto"/>
                <w:sz w:val="18"/>
                <w:szCs w:val="18"/>
                <w:highlight w:val="none"/>
              </w:rPr>
              <w:t>专业、工号、</w:t>
            </w:r>
            <w:r>
              <w:rPr>
                <w:rFonts w:asciiTheme="minorEastAsia" w:hAnsiTheme="minorEastAsia" w:eastAsiaTheme="minorEastAsia"/>
                <w:color w:val="auto"/>
                <w:sz w:val="18"/>
                <w:szCs w:val="18"/>
                <w:highlight w:val="none"/>
              </w:rPr>
              <w:t>职务</w:t>
            </w:r>
            <w:r>
              <w:rPr>
                <w:rFonts w:hint="eastAsia" w:asciiTheme="minorEastAsia" w:hAnsiTheme="minorEastAsia" w:eastAsiaTheme="minorEastAsia"/>
                <w:color w:val="auto"/>
                <w:sz w:val="18"/>
                <w:szCs w:val="18"/>
                <w:highlight w:val="none"/>
              </w:rPr>
              <w:t>职称等；</w:t>
            </w:r>
          </w:p>
          <w:p>
            <w:pPr>
              <w:pStyle w:val="33"/>
              <w:widowControl w:val="0"/>
              <w:numPr>
                <w:ilvl w:val="0"/>
                <w:numId w:val="1"/>
              </w:numPr>
              <w:spacing w:line="276" w:lineRule="auto"/>
              <w:ind w:firstLine="36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仪器设备基本信息：登记仪器的类别（一般仪器、大型仪器及分类号）、名称、型号、数量、价值、所属部门（科、室）、仪器状态、存放位置、学习资料等</w:t>
            </w:r>
            <w:r>
              <w:rPr>
                <w:rFonts w:hint="eastAsia" w:asciiTheme="minorEastAsia" w:hAnsiTheme="minorEastAsia" w:eastAsiaTheme="minorEastAsia"/>
                <w:color w:val="auto"/>
                <w:sz w:val="18"/>
                <w:szCs w:val="18"/>
                <w:highlight w:val="none"/>
              </w:rPr>
              <w:t>；</w:t>
            </w:r>
          </w:p>
          <w:p>
            <w:pPr>
              <w:pStyle w:val="33"/>
              <w:widowControl w:val="0"/>
              <w:numPr>
                <w:ilvl w:val="0"/>
                <w:numId w:val="1"/>
              </w:numPr>
              <w:spacing w:line="276" w:lineRule="auto"/>
              <w:ind w:firstLine="36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实验室基本信息：实验房间</w:t>
            </w:r>
            <w:r>
              <w:rPr>
                <w:rFonts w:hint="eastAsia" w:asciiTheme="minorEastAsia" w:hAnsiTheme="minorEastAsia" w:eastAsiaTheme="minorEastAsia"/>
                <w:color w:val="auto"/>
                <w:sz w:val="18"/>
                <w:szCs w:val="18"/>
                <w:highlight w:val="none"/>
              </w:rPr>
              <w:t>号</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房间</w:t>
            </w:r>
            <w:r>
              <w:rPr>
                <w:rFonts w:asciiTheme="minorEastAsia" w:hAnsiTheme="minorEastAsia" w:eastAsiaTheme="minorEastAsia"/>
                <w:color w:val="auto"/>
                <w:sz w:val="18"/>
                <w:szCs w:val="18"/>
                <w:highlight w:val="none"/>
              </w:rPr>
              <w:t>面积、</w:t>
            </w:r>
            <w:r>
              <w:rPr>
                <w:rFonts w:hint="eastAsia" w:asciiTheme="minorEastAsia" w:hAnsiTheme="minorEastAsia" w:eastAsiaTheme="minorEastAsia"/>
                <w:color w:val="auto"/>
                <w:sz w:val="18"/>
                <w:szCs w:val="18"/>
                <w:highlight w:val="none"/>
              </w:rPr>
              <w:t>所在位置、</w:t>
            </w:r>
            <w:r>
              <w:rPr>
                <w:rFonts w:asciiTheme="minorEastAsia" w:hAnsiTheme="minorEastAsia" w:eastAsiaTheme="minorEastAsia"/>
                <w:color w:val="auto"/>
                <w:sz w:val="18"/>
                <w:szCs w:val="18"/>
                <w:highlight w:val="none"/>
              </w:rPr>
              <w:t>仪器设备台套数、实验室名称、负责人、联系电话、管理单位等信息</w:t>
            </w:r>
            <w:r>
              <w:rPr>
                <w:rFonts w:hint="eastAsia" w:asciiTheme="minorEastAsia" w:hAnsiTheme="minorEastAsia" w:eastAsiaTheme="minorEastAsia"/>
                <w:color w:val="auto"/>
                <w:sz w:val="18"/>
                <w:szCs w:val="18"/>
                <w:highlight w:val="none"/>
              </w:rPr>
              <w:t>。</w:t>
            </w:r>
          </w:p>
          <w:p>
            <w:pPr>
              <w:pStyle w:val="33"/>
              <w:widowControl w:val="0"/>
              <w:numPr>
                <w:ilvl w:val="0"/>
                <w:numId w:val="1"/>
              </w:numPr>
              <w:spacing w:line="276" w:lineRule="auto"/>
              <w:ind w:firstLine="36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学生信息管理：管理学生基本信息，包括学生姓名，性别，学号，班级，入学时间，身份证号码，邮</w:t>
            </w:r>
            <w:r>
              <w:rPr>
                <w:rFonts w:hint="eastAsia" w:asciiTheme="minorEastAsia" w:hAnsiTheme="minorEastAsia" w:eastAsiaTheme="minorEastAsia"/>
                <w:color w:val="auto"/>
                <w:sz w:val="18"/>
                <w:szCs w:val="18"/>
                <w:highlight w:val="none"/>
              </w:rPr>
              <w:t>箱等信息。</w:t>
            </w:r>
          </w:p>
          <w:p>
            <w:pPr>
              <w:spacing w:line="276" w:lineRule="auto"/>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6）基础应用功能服务</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数据导入与导出管理：负责常用基本数据的外部文件导入与系统内部数据的导出成外部文件；</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流程管理：支持业务流程的流程设置与管理，管理流程的步骤、次序、分支、人员与权限；</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权限管理：负责各个业务功能的角色管理与权限分配；</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资源分配：分配所属部门与实验室；</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系统设置：负责系统全局参数的设置与修改；</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系统初始化：负责基础数据的初始化工作；</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学期设置：负责每个学期的初始化与设置操作；</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节次管理：设置各个节次的开始与结束时间；</w:t>
            </w:r>
          </w:p>
          <w:p>
            <w:pPr>
              <w:pStyle w:val="33"/>
              <w:widowControl w:val="0"/>
              <w:numPr>
                <w:ilvl w:val="0"/>
                <w:numId w:val="2"/>
              </w:numPr>
              <w:spacing w:line="276" w:lineRule="auto"/>
              <w:ind w:left="0" w:firstLine="420" w:firstLineChars="0"/>
              <w:jc w:val="both"/>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个人信息管理：修改个人信息，重新设置系统登录密码；</w:t>
            </w:r>
          </w:p>
          <w:p>
            <w:pPr>
              <w:pStyle w:val="33"/>
              <w:widowControl w:val="0"/>
              <w:numPr>
                <w:ilvl w:val="0"/>
                <w:numId w:val="2"/>
              </w:numPr>
              <w:spacing w:line="276" w:lineRule="auto"/>
              <w:ind w:left="0" w:firstLine="420" w:firstLineChars="0"/>
              <w:jc w:val="both"/>
              <w:rPr>
                <w:rFonts w:asciiTheme="minorEastAsia" w:hAnsiTheme="minorEastAsia" w:eastAsiaTheme="minorEastAsia" w:cstheme="minorBidi"/>
                <w:color w:val="auto"/>
                <w:sz w:val="18"/>
                <w:szCs w:val="18"/>
                <w:highlight w:val="none"/>
              </w:rPr>
            </w:pPr>
            <w:r>
              <w:rPr>
                <w:rFonts w:asciiTheme="minorEastAsia" w:hAnsiTheme="minorEastAsia" w:eastAsiaTheme="minorEastAsia"/>
                <w:color w:val="auto"/>
                <w:sz w:val="18"/>
                <w:szCs w:val="18"/>
                <w:highlight w:val="none"/>
              </w:rPr>
              <w:t>系统注册：系统注册许可信息文件上传与应用</w:t>
            </w:r>
            <w:r>
              <w:rPr>
                <w:rFonts w:hint="eastAsia" w:asciiTheme="minorEastAsia" w:hAnsiTheme="minorEastAsia" w:eastAsiaTheme="minorEastAsia"/>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校级数据交互平台</w:t>
            </w:r>
          </w:p>
        </w:tc>
        <w:tc>
          <w:tcPr>
            <w:tcW w:w="7494" w:type="dxa"/>
            <w:tcBorders>
              <w:left w:val="nil"/>
              <w:right w:val="single" w:color="auto" w:sz="4" w:space="0"/>
            </w:tcBorders>
            <w:vAlign w:val="center"/>
          </w:tcPr>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要求能够</w:t>
            </w:r>
            <w:r>
              <w:rPr>
                <w:rFonts w:asciiTheme="minorEastAsia" w:hAnsiTheme="minorEastAsia" w:eastAsiaTheme="minorEastAsia"/>
                <w:color w:val="auto"/>
                <w:sz w:val="18"/>
                <w:szCs w:val="18"/>
                <w:highlight w:val="none"/>
              </w:rPr>
              <w:t>存放数据的同时有效地</w:t>
            </w:r>
            <w:r>
              <w:rPr>
                <w:rFonts w:hint="eastAsia" w:asciiTheme="minorEastAsia" w:hAnsiTheme="minorEastAsia" w:eastAsiaTheme="minorEastAsia"/>
                <w:color w:val="auto"/>
                <w:sz w:val="18"/>
                <w:szCs w:val="18"/>
                <w:highlight w:val="none"/>
              </w:rPr>
              <w:t>进行</w:t>
            </w:r>
            <w:r>
              <w:rPr>
                <w:rFonts w:asciiTheme="minorEastAsia" w:hAnsiTheme="minorEastAsia" w:eastAsiaTheme="minorEastAsia"/>
                <w:color w:val="auto"/>
                <w:sz w:val="18"/>
                <w:szCs w:val="18"/>
                <w:highlight w:val="none"/>
              </w:rPr>
              <w:t>数据管理，并提供数据访问的手段，为系统集成和各个系统之间的数据共享提供平台，保证数据的及时性、完整性和一致性。</w:t>
            </w:r>
          </w:p>
          <w:p>
            <w:pPr>
              <w:spacing w:line="276" w:lineRule="auto"/>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具休功能要求：</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1</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数据的采集更新</w:t>
            </w:r>
            <w:r>
              <w:rPr>
                <w:rFonts w:hint="eastAsia" w:asciiTheme="minorEastAsia" w:hAnsiTheme="minorEastAsia" w:eastAsiaTheme="minorEastAsia"/>
                <w:color w:val="auto"/>
                <w:sz w:val="18"/>
                <w:szCs w:val="18"/>
                <w:highlight w:val="none"/>
              </w:rPr>
              <w:t>：要求能够实现所有的数据</w:t>
            </w:r>
            <w:r>
              <w:rPr>
                <w:rFonts w:asciiTheme="minorEastAsia" w:hAnsiTheme="minorEastAsia" w:eastAsiaTheme="minorEastAsia"/>
                <w:color w:val="auto"/>
                <w:sz w:val="18"/>
                <w:szCs w:val="18"/>
                <w:highlight w:val="none"/>
              </w:rPr>
              <w:t>采集，同时做出数据更新报告。</w:t>
            </w:r>
          </w:p>
          <w:p>
            <w:pPr>
              <w:spacing w:line="276" w:lineRule="auto"/>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2）数据的组织整理</w:t>
            </w:r>
            <w:r>
              <w:rPr>
                <w:rFonts w:hint="eastAsia" w:asciiTheme="minorEastAsia" w:hAnsiTheme="minorEastAsia" w:eastAsiaTheme="minorEastAsia"/>
                <w:bCs/>
                <w:color w:val="auto"/>
                <w:sz w:val="18"/>
                <w:szCs w:val="18"/>
                <w:highlight w:val="none"/>
              </w:rPr>
              <w:t>：要求可以</w:t>
            </w:r>
            <w:r>
              <w:rPr>
                <w:rFonts w:asciiTheme="minorEastAsia" w:hAnsiTheme="minorEastAsia" w:eastAsiaTheme="minorEastAsia"/>
                <w:color w:val="auto"/>
                <w:sz w:val="18"/>
                <w:szCs w:val="18"/>
                <w:highlight w:val="none"/>
              </w:rPr>
              <w:t>按照学校的信息标准对各二级学院实验室更新的数据进行整理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保证数据的一致性和准确性，保留历史数据。</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3</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数据的共享利用</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通过授权，可以共享数据中心的部分或全部资源进行共享和利用。共享数据中心</w:t>
            </w:r>
            <w:r>
              <w:rPr>
                <w:rFonts w:hint="eastAsia" w:asciiTheme="minorEastAsia" w:hAnsiTheme="minorEastAsia" w:eastAsiaTheme="minorEastAsia"/>
                <w:color w:val="auto"/>
                <w:sz w:val="18"/>
                <w:szCs w:val="18"/>
                <w:highlight w:val="none"/>
              </w:rPr>
              <w:t>实时做出数据使用情况报告。</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4）数据的挖掘分析</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通过对共享数据和历史数据的分析，形成各种报表或根据需要展现分析结果，为领导决策提供参考。</w:t>
            </w:r>
          </w:p>
          <w:p>
            <w:pPr>
              <w:spacing w:line="276" w:lineRule="auto"/>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5）数据接口</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校级平台与各学院平台接口</w:t>
            </w:r>
            <w:r>
              <w:rPr>
                <w:rFonts w:hint="eastAsia" w:asciiTheme="minorEastAsia" w:hAnsiTheme="minorEastAsia" w:eastAsiaTheme="minorEastAsia"/>
                <w:bCs/>
                <w:color w:val="auto"/>
                <w:sz w:val="18"/>
                <w:szCs w:val="18"/>
                <w:highlight w:val="none"/>
              </w:rPr>
              <w:t>：要求</w:t>
            </w:r>
            <w:r>
              <w:rPr>
                <w:rFonts w:asciiTheme="minorEastAsia" w:hAnsiTheme="minorEastAsia" w:eastAsiaTheme="minorEastAsia"/>
                <w:color w:val="auto"/>
                <w:sz w:val="18"/>
                <w:szCs w:val="18"/>
                <w:highlight w:val="none"/>
              </w:rPr>
              <w:t>将校级平台数据库中的设备、教学及各种管理数据实时共享给各学院平台的数据接口，实现设备在状态上的实时预警，教学及各种管理数据的即时更新；规范各学院平台中的关于所属教育部标准、国家大型仪器分类标准、性能、指标、服务范围、收费标准、开放时间、管理人员（相关信息）等信息的数据规范，并实时同步上传至校级平台系统，为数据查询分析统计提供数据来源。</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Cs/>
                <w:color w:val="auto"/>
                <w:sz w:val="18"/>
                <w:szCs w:val="18"/>
                <w:highlight w:val="none"/>
              </w:rPr>
              <w:t>各学院平台间接口</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color w:val="auto"/>
                <w:sz w:val="18"/>
                <w:szCs w:val="18"/>
                <w:highlight w:val="none"/>
              </w:rPr>
              <w:t>规范各学院平台的用户信息、设备信息标准；各学院平台实时与校级平台的用户身份信息进行同步更新，实现同一用户可以在各学院平台登录或者在校级平台登录使用。</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Cs/>
                <w:color w:val="auto"/>
                <w:sz w:val="18"/>
                <w:szCs w:val="18"/>
                <w:highlight w:val="none"/>
              </w:rPr>
              <w:t>一卡通系统数据接口</w:t>
            </w:r>
            <w:r>
              <w:rPr>
                <w:rFonts w:hint="eastAsia" w:asciiTheme="minorEastAsia" w:hAnsiTheme="minorEastAsia" w:eastAsiaTheme="minorEastAsia"/>
                <w:bCs/>
                <w:color w:val="auto"/>
                <w:sz w:val="18"/>
                <w:szCs w:val="18"/>
                <w:highlight w:val="none"/>
              </w:rPr>
              <w:t>：</w:t>
            </w:r>
            <w:r>
              <w:rPr>
                <w:rFonts w:hint="eastAsia" w:asciiTheme="minorEastAsia" w:hAnsiTheme="minorEastAsia" w:eastAsiaTheme="minorEastAsia"/>
                <w:color w:val="auto"/>
                <w:sz w:val="18"/>
                <w:szCs w:val="18"/>
                <w:highlight w:val="none"/>
              </w:rPr>
              <w:t>校级平台与一卡通身份统一系统平台实时映射，共享全校师生数据信息，实时与数字化校园的一卡通</w:t>
            </w:r>
            <w:r>
              <w:rPr>
                <w:rFonts w:asciiTheme="minorEastAsia" w:hAnsiTheme="minorEastAsia" w:eastAsiaTheme="minorEastAsia"/>
                <w:color w:val="auto"/>
                <w:sz w:val="18"/>
                <w:szCs w:val="18"/>
                <w:highlight w:val="none"/>
              </w:rPr>
              <w:t>系统交互，保证用户信息安全。</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资产管理系统数据接口</w:t>
            </w:r>
            <w:r>
              <w:rPr>
                <w:rFonts w:hint="eastAsia" w:asciiTheme="minorEastAsia" w:hAnsiTheme="minorEastAsia" w:eastAsiaTheme="minorEastAsia"/>
                <w:color w:val="auto"/>
                <w:sz w:val="18"/>
                <w:szCs w:val="18"/>
                <w:highlight w:val="none"/>
              </w:rPr>
              <w:t>：制定设备资产数据标准，实现与现有资产管理系统信息的实时对接，只要在实验室管理系统或资产管</w:t>
            </w:r>
            <w:r>
              <w:rPr>
                <w:rFonts w:asciiTheme="minorEastAsia" w:hAnsiTheme="minorEastAsia" w:eastAsiaTheme="minorEastAsia"/>
                <w:color w:val="auto"/>
                <w:sz w:val="18"/>
                <w:szCs w:val="18"/>
                <w:highlight w:val="none"/>
              </w:rPr>
              <w:t>理系统中的任一系统中发生实验资产数据的变化，则平台通过接口都会自动同步到另外的系统中。</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Cs/>
                <w:color w:val="auto"/>
                <w:sz w:val="18"/>
                <w:szCs w:val="18"/>
                <w:highlight w:val="none"/>
              </w:rPr>
              <w:t>教务管理系统数据接口</w:t>
            </w:r>
            <w:r>
              <w:rPr>
                <w:rFonts w:hint="eastAsia" w:asciiTheme="minorEastAsia" w:hAnsiTheme="minorEastAsia" w:eastAsiaTheme="minorEastAsia"/>
                <w:b/>
                <w:bCs/>
                <w:color w:val="auto"/>
                <w:sz w:val="18"/>
                <w:szCs w:val="18"/>
                <w:highlight w:val="none"/>
              </w:rPr>
              <w:t>：</w:t>
            </w:r>
            <w:r>
              <w:rPr>
                <w:rFonts w:hint="eastAsia" w:asciiTheme="minorEastAsia" w:hAnsiTheme="minorEastAsia" w:eastAsiaTheme="minorEastAsia"/>
                <w:color w:val="auto"/>
                <w:sz w:val="18"/>
                <w:szCs w:val="18"/>
                <w:highlight w:val="none"/>
              </w:rPr>
              <w:t>要求所有用</w:t>
            </w:r>
            <w:r>
              <w:rPr>
                <w:rFonts w:asciiTheme="minorEastAsia" w:hAnsiTheme="minorEastAsia" w:eastAsiaTheme="minorEastAsia"/>
                <w:color w:val="auto"/>
                <w:sz w:val="18"/>
                <w:szCs w:val="18"/>
                <w:highlight w:val="none"/>
              </w:rPr>
              <w:t>户在校级或院级平台上均能便捷的使用实验教学资源，通过接口保证教学资源在系统平台中流转，对所有用户的资源使用均有记录，以备统计或查验数据</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实验教学任务</w:t>
            </w:r>
            <w:r>
              <w:rPr>
                <w:rFonts w:hint="eastAsia" w:asciiTheme="minorEastAsia" w:hAnsiTheme="minorEastAsia" w:eastAsiaTheme="minorEastAsia"/>
                <w:color w:val="auto"/>
                <w:sz w:val="18"/>
                <w:szCs w:val="18"/>
                <w:highlight w:val="none"/>
              </w:rPr>
              <w:t>能够</w:t>
            </w:r>
            <w:r>
              <w:rPr>
                <w:rFonts w:asciiTheme="minorEastAsia" w:hAnsiTheme="minorEastAsia" w:eastAsiaTheme="minorEastAsia"/>
                <w:color w:val="auto"/>
                <w:sz w:val="18"/>
                <w:szCs w:val="18"/>
                <w:highlight w:val="none"/>
              </w:rPr>
              <w:t>自动下发到每个院级管理中心，在形成教学排课表后通过院级管理平台再自动同步</w:t>
            </w:r>
            <w:r>
              <w:rPr>
                <w:rFonts w:hint="eastAsia" w:asciiTheme="minorEastAsia" w:hAnsiTheme="minorEastAsia" w:eastAsiaTheme="minorEastAsia"/>
                <w:color w:val="auto"/>
                <w:sz w:val="18"/>
                <w:szCs w:val="18"/>
                <w:highlight w:val="none"/>
              </w:rPr>
              <w:t>到校级管理平台，方便校级实验室管理人员能即时掌控全校实验室的总体使用状态。</w:t>
            </w:r>
          </w:p>
          <w:p>
            <w:pPr>
              <w:spacing w:line="276" w:lineRule="auto"/>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6）共享接口</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color w:val="auto"/>
                <w:sz w:val="18"/>
                <w:szCs w:val="18"/>
                <w:highlight w:val="none"/>
              </w:rPr>
              <w:t>实现对数据共享接口的搜索功能,并提供公共的搜索接口，用户可以通过搜索接口来分类搜索数据共享接口。</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7）共享数据库</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各业务系统需要及时将更新的业务信息同步到共享数据库系统，同时共享数据库系统还要将得到更新的业务信息及时同步给其他业务系统，从而实现数</w:t>
            </w:r>
            <w:r>
              <w:rPr>
                <w:rFonts w:hint="eastAsia" w:asciiTheme="minorEastAsia" w:hAnsiTheme="minorEastAsia" w:eastAsiaTheme="minorEastAsia"/>
                <w:color w:val="auto"/>
                <w:sz w:val="18"/>
                <w:szCs w:val="18"/>
                <w:highlight w:val="none"/>
              </w:rPr>
              <w:t>据双向同步互动。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数据报表管理平台</w:t>
            </w:r>
          </w:p>
        </w:tc>
        <w:tc>
          <w:tcPr>
            <w:tcW w:w="7494" w:type="dxa"/>
            <w:tcBorders>
              <w:left w:val="nil"/>
              <w:right w:val="single" w:color="auto" w:sz="4" w:space="0"/>
            </w:tcBorders>
            <w:vAlign w:val="center"/>
          </w:tcPr>
          <w:p>
            <w:pPr>
              <w:adjustRightInd w:val="0"/>
              <w:snapToGrid w:val="0"/>
              <w:spacing w:line="360" w:lineRule="auto"/>
              <w:jc w:val="left"/>
              <w:outlineLvl w:val="1"/>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平台包括使用开放刷卡记录查询与统计、预约信息、实验教学信息查询与统计、实验室基本</w:t>
            </w:r>
            <w:r>
              <w:rPr>
                <w:rFonts w:asciiTheme="minorEastAsia" w:hAnsiTheme="minorEastAsia" w:eastAsiaTheme="minorEastAsia"/>
                <w:color w:val="auto"/>
                <w:sz w:val="18"/>
                <w:szCs w:val="18"/>
                <w:highlight w:val="none"/>
              </w:rPr>
              <w:t>信息查询与统计、仪器设备信息查询与统计、低值易耗品信息查询与统计、管理日志查询与统计等，查询结果均可导出数据文件以做备案，报表</w:t>
            </w:r>
            <w:r>
              <w:rPr>
                <w:rFonts w:hint="eastAsia" w:asciiTheme="minorEastAsia" w:hAnsiTheme="minorEastAsia" w:eastAsiaTheme="minorEastAsia"/>
                <w:color w:val="auto"/>
                <w:sz w:val="18"/>
                <w:szCs w:val="18"/>
                <w:highlight w:val="none"/>
              </w:rPr>
              <w:t>按照</w:t>
            </w:r>
            <w:r>
              <w:rPr>
                <w:rFonts w:asciiTheme="minorEastAsia" w:hAnsiTheme="minorEastAsia" w:eastAsiaTheme="minorEastAsia"/>
                <w:color w:val="auto"/>
                <w:sz w:val="18"/>
                <w:szCs w:val="18"/>
                <w:highlight w:val="none"/>
              </w:rPr>
              <w:t>学校实际使用需求</w:t>
            </w:r>
            <w:r>
              <w:rPr>
                <w:rFonts w:hint="eastAsia" w:asciiTheme="minorEastAsia" w:hAnsiTheme="minorEastAsia" w:eastAsiaTheme="minorEastAsia"/>
                <w:color w:val="auto"/>
                <w:sz w:val="18"/>
                <w:szCs w:val="18"/>
                <w:highlight w:val="none"/>
              </w:rPr>
              <w:t>进行个性化生成</w:t>
            </w:r>
            <w:r>
              <w:rPr>
                <w:rFonts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具休功能要求：</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1</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查询方式</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能</w:t>
            </w:r>
            <w:r>
              <w:rPr>
                <w:rFonts w:asciiTheme="minorEastAsia" w:hAnsiTheme="minorEastAsia" w:eastAsiaTheme="minorEastAsia"/>
                <w:color w:val="auto"/>
                <w:sz w:val="18"/>
                <w:szCs w:val="18"/>
                <w:highlight w:val="none"/>
              </w:rPr>
              <w:t>满足用户的各种查询、统计的需要，支持多个表单字段项的组合查询统计。要求既可按时间轴进行纵向的跟踪，也可以按分布进行横向的比较。</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bCs/>
                <w:color w:val="auto"/>
                <w:sz w:val="18"/>
                <w:szCs w:val="18"/>
                <w:highlight w:val="none"/>
              </w:rPr>
              <w:t>2）</w:t>
            </w:r>
            <w:r>
              <w:rPr>
                <w:rFonts w:asciiTheme="minorEastAsia" w:hAnsiTheme="minorEastAsia" w:eastAsiaTheme="minorEastAsia"/>
                <w:bCs/>
                <w:color w:val="auto"/>
                <w:sz w:val="18"/>
                <w:szCs w:val="18"/>
                <w:highlight w:val="none"/>
              </w:rPr>
              <w:t>表现形式</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要求可以</w:t>
            </w:r>
            <w:r>
              <w:rPr>
                <w:rFonts w:asciiTheme="minorEastAsia" w:hAnsiTheme="minorEastAsia" w:eastAsiaTheme="minorEastAsia"/>
                <w:color w:val="auto"/>
                <w:sz w:val="18"/>
                <w:szCs w:val="18"/>
                <w:highlight w:val="none"/>
              </w:rPr>
              <w:t>由用户选择各类表单、报表、图形的表现形式，用户除了可以选择系统提供的各种模板之外，还可以使用提供的模板生成自主创建自己需要的用户模板</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支持查询结果的导出功能，包括</w:t>
            </w:r>
            <w:r>
              <w:rPr>
                <w:rFonts w:asciiTheme="minorEastAsia" w:hAnsiTheme="minorEastAsia" w:eastAsiaTheme="minorEastAsia"/>
                <w:color w:val="auto"/>
                <w:sz w:val="18"/>
                <w:szCs w:val="18"/>
                <w:highlight w:val="none"/>
              </w:rPr>
              <w:t xml:space="preserve"> Excel、DBF、HTML 等多种格式，满足学校的处理需要。面向领导的查询：如师资队伍查询、实验教学查询、资产设备查询、效益查询等；面向教师的查询：如教学计划、学生实验成绩、学生评教信息、个人基本信息查询与修改等； 面向学生的查询：如学习成绩、课表信息、预约信息、个人基本信息查询与修改等。</w:t>
            </w:r>
          </w:p>
          <w:p>
            <w:p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3）</w:t>
            </w:r>
            <w:r>
              <w:rPr>
                <w:rFonts w:asciiTheme="minorEastAsia" w:hAnsiTheme="minorEastAsia" w:eastAsiaTheme="minorEastAsia"/>
                <w:bCs/>
                <w:color w:val="auto"/>
                <w:sz w:val="18"/>
                <w:szCs w:val="18"/>
                <w:highlight w:val="none"/>
              </w:rPr>
              <w:t>报表查询统计</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bCs/>
                <w:color w:val="auto"/>
                <w:sz w:val="18"/>
                <w:szCs w:val="18"/>
                <w:highlight w:val="none"/>
              </w:rPr>
              <w:t>仪器设备使用情况表：</w:t>
            </w:r>
            <w:r>
              <w:rPr>
                <w:rFonts w:hint="eastAsia" w:asciiTheme="minorEastAsia" w:hAnsiTheme="minorEastAsia" w:eastAsiaTheme="minorEastAsia"/>
                <w:color w:val="auto"/>
                <w:sz w:val="18"/>
                <w:szCs w:val="18"/>
                <w:highlight w:val="none"/>
              </w:rPr>
              <w:t>可按仪器设备名称、类型、开放状态、使用人员、管理人员等。</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仪器设备使用率统计</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 xml:space="preserve">可按仪器设备名称、时间范围查询统计仪器设备使用率，并生成历史曲线图。 </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仪器设备开放率统计</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可按仪器设备的总数量、已开放数量、实际开放数量、开放时间统计汇总开放率报表信息，并生成历史曲线图。</w:t>
            </w:r>
          </w:p>
          <w:p>
            <w:p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预约统计表：</w:t>
            </w:r>
            <w:r>
              <w:rPr>
                <w:rFonts w:hint="eastAsia" w:asciiTheme="minorEastAsia" w:hAnsiTheme="minorEastAsia" w:eastAsiaTheme="minorEastAsia"/>
                <w:color w:val="auto"/>
                <w:sz w:val="18"/>
                <w:szCs w:val="18"/>
                <w:highlight w:val="none"/>
              </w:rPr>
              <w:t>可按仪器设备、实验室、实验项目查询统计预约情况表。</w:t>
            </w:r>
            <w:r>
              <w:rPr>
                <w:rFonts w:asciiTheme="minorEastAsia" w:hAnsiTheme="minorEastAsia" w:eastAsiaTheme="minorEastAsia"/>
                <w:color w:val="auto"/>
                <w:sz w:val="18"/>
                <w:szCs w:val="18"/>
                <w:highlight w:val="none"/>
              </w:rPr>
              <w:t xml:space="preserve"> </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刷卡记录表</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 xml:space="preserve">可按用户类别、实验室、刷卡时间查询统计刷卡进出实验室记录表。 </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违约率统计</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 xml:space="preserve">可按时间、仪器设备名称选择条件范围统计预约违约状况分析表并生成历史曲线图。 </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图表呈现</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可按实验室、预约次数、总时长、仪器设备、专职人员、历史</w:t>
            </w:r>
            <w:r>
              <w:rPr>
                <w:rFonts w:hint="eastAsia" w:asciiTheme="minorEastAsia" w:hAnsiTheme="minorEastAsia" w:eastAsiaTheme="minorEastAsia"/>
                <w:color w:val="auto"/>
                <w:sz w:val="18"/>
                <w:szCs w:val="18"/>
                <w:highlight w:val="none"/>
              </w:rPr>
              <w:t>数据</w:t>
            </w:r>
            <w:r>
              <w:rPr>
                <w:rFonts w:asciiTheme="minorEastAsia" w:hAnsiTheme="minorEastAsia" w:eastAsiaTheme="minorEastAsia"/>
                <w:color w:val="auto"/>
                <w:sz w:val="18"/>
                <w:szCs w:val="18"/>
                <w:highlight w:val="none"/>
              </w:rPr>
              <w:t>排行生成柱状、饼状分布图表。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实验室数据填/上报管理</w:t>
            </w:r>
          </w:p>
        </w:tc>
        <w:tc>
          <w:tcPr>
            <w:tcW w:w="7494" w:type="dxa"/>
            <w:tcBorders>
              <w:left w:val="nil"/>
              <w:right w:val="single" w:color="auto" w:sz="4" w:space="0"/>
            </w:tcBorders>
            <w:vAlign w:val="center"/>
          </w:tcPr>
          <w:p>
            <w:pPr>
              <w:adjustRightInd w:val="0"/>
              <w:snapToGrid w:val="0"/>
              <w:spacing w:line="360" w:lineRule="auto"/>
              <w:jc w:val="left"/>
              <w:outlineLvl w:val="1"/>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要求通过平台实现校、院</w:t>
            </w:r>
            <w:r>
              <w:rPr>
                <w:rFonts w:asciiTheme="minorEastAsia" w:hAnsiTheme="minorEastAsia" w:eastAsiaTheme="minorEastAsia"/>
                <w:color w:val="auto"/>
                <w:sz w:val="18"/>
                <w:szCs w:val="18"/>
                <w:highlight w:val="none"/>
              </w:rPr>
              <w:t>实验室的</w:t>
            </w:r>
            <w:r>
              <w:rPr>
                <w:rFonts w:hint="eastAsia" w:asciiTheme="minorEastAsia" w:hAnsiTheme="minorEastAsia" w:eastAsiaTheme="minorEastAsia"/>
                <w:color w:val="auto"/>
                <w:sz w:val="18"/>
                <w:szCs w:val="18"/>
                <w:highlight w:val="none"/>
              </w:rPr>
              <w:t>基础数据的采集、填报，规范上报数据的过程化管控；在上报数据采集时、确保数据格式的正确性，满足数据上报的基本要求，实现数据一次填报、多次利用，避免重复填写、减轻教师工作量，能自动汇总并生成符合规范的数据上报报表。。</w:t>
            </w:r>
          </w:p>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r>
              <w:rPr>
                <w:rFonts w:asciiTheme="minorEastAsia" w:hAnsiTheme="minorEastAsia" w:eastAsiaTheme="minorEastAsia"/>
                <w:color w:val="auto"/>
                <w:sz w:val="18"/>
                <w:szCs w:val="18"/>
                <w:highlight w:val="none"/>
              </w:rPr>
              <w:t>公告功能</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具备填报公告的发布（支持自定设置公告的标题、内容、填报（数据获取）时间设定及相关附件上传）。</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具备审批流程的自定义功能。</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 xml:space="preserve">支持根据管理员的实际管理需求能够进行填报内容的合并及拆分。 </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支持管理员选择本次填报数据的初始数据来源。</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支持一键筛选满足填报要求的设备（教育部及科技部大型仪器设备考核）。</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r>
              <w:rPr>
                <w:rFonts w:asciiTheme="minorEastAsia" w:hAnsiTheme="minorEastAsia" w:eastAsiaTheme="minorEastAsia"/>
                <w:color w:val="auto"/>
                <w:sz w:val="18"/>
                <w:szCs w:val="18"/>
                <w:highlight w:val="none"/>
              </w:rPr>
              <w:t>填报的功能</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需按照填报公告呈现用户当前填报的数量（需填报、已填报、未填报）。</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需按照填报公告呈现各级管理员当前填报的数量（需填报、已填报、未填报）以及审批状态（已审</w:t>
            </w:r>
            <w:r>
              <w:rPr>
                <w:rFonts w:hint="eastAsia" w:asciiTheme="minorEastAsia" w:hAnsiTheme="minorEastAsia" w:eastAsiaTheme="minorEastAsia"/>
                <w:color w:val="auto"/>
                <w:sz w:val="18"/>
                <w:szCs w:val="18"/>
                <w:highlight w:val="none"/>
              </w:rPr>
              <w:t>核</w:t>
            </w:r>
            <w:r>
              <w:rPr>
                <w:rFonts w:asciiTheme="minorEastAsia" w:hAnsiTheme="minorEastAsia" w:eastAsiaTheme="minorEastAsia"/>
                <w:color w:val="auto"/>
                <w:sz w:val="18"/>
                <w:szCs w:val="18"/>
                <w:highlight w:val="none"/>
              </w:rPr>
              <w:t>、未审</w:t>
            </w:r>
            <w:r>
              <w:rPr>
                <w:rFonts w:hint="eastAsia" w:asciiTheme="minorEastAsia" w:hAnsiTheme="minorEastAsia" w:eastAsiaTheme="minorEastAsia"/>
                <w:color w:val="auto"/>
                <w:sz w:val="18"/>
                <w:szCs w:val="18"/>
                <w:highlight w:val="none"/>
              </w:rPr>
              <w:t>核</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（根据角色权限不同）</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需在填报列表页面呈现每条填报数据的状态（未填报、草稿、已提交、驳回及等待相应管理员审批）。</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填报界面需根据相关填报要求支持页面的自动保存、数据格式检查、数据页面完</w:t>
            </w:r>
            <w:r>
              <w:rPr>
                <w:rFonts w:hint="eastAsia" w:asciiTheme="minorEastAsia" w:hAnsiTheme="minorEastAsia" w:eastAsiaTheme="minorEastAsia"/>
                <w:color w:val="auto"/>
                <w:sz w:val="18"/>
                <w:szCs w:val="18"/>
                <w:highlight w:val="none"/>
              </w:rPr>
              <w:t>整</w:t>
            </w:r>
            <w:r>
              <w:rPr>
                <w:rFonts w:asciiTheme="minorEastAsia" w:hAnsiTheme="minorEastAsia" w:eastAsiaTheme="minorEastAsia"/>
                <w:color w:val="auto"/>
                <w:sz w:val="18"/>
                <w:szCs w:val="18"/>
                <w:highlight w:val="none"/>
              </w:rPr>
              <w:t>性检查。</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填报界面针对部门数据填写内容较多的地方应具备数据导入、导出、查询、汇总等功能。</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代理填报（设备填报具备的功能）：系统支持根据输入填报人的部门信息及工号信息帮助填报人完成填报。系统能自动记录真实填报人的用户信息并呈现在相应的填报数据列表上。</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数据自动加载功能： 填报页面支持根据公告选择的数据来源在填报第一次进入填报页面时加载相应设置的数据。</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支持在整个数据填报环节的审批、驳回并允许各角色在审批环节对填报数据进行修改。</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提供校级管理员按照（填报单位、中心、部门）了解填报进度，并支持通过短信、邮件、站内消息进行填报催促。</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校级数据调整：系统</w:t>
            </w:r>
            <w:r>
              <w:rPr>
                <w:rFonts w:hint="eastAsia" w:asciiTheme="minorEastAsia" w:hAnsiTheme="minorEastAsia" w:eastAsiaTheme="minorEastAsia"/>
                <w:color w:val="auto"/>
                <w:sz w:val="18"/>
                <w:szCs w:val="18"/>
                <w:highlight w:val="none"/>
              </w:rPr>
              <w:t>根据</w:t>
            </w:r>
            <w:r>
              <w:rPr>
                <w:rFonts w:asciiTheme="minorEastAsia" w:hAnsiTheme="minorEastAsia" w:eastAsiaTheme="minorEastAsia"/>
                <w:color w:val="auto"/>
                <w:sz w:val="18"/>
                <w:szCs w:val="18"/>
                <w:highlight w:val="none"/>
              </w:rPr>
              <w:t>用户实际需求，提供校级管理员进行数据调整，并保存调整前后的数据。</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数据的展现方式</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提供</w:t>
            </w:r>
            <w:r>
              <w:rPr>
                <w:rFonts w:asciiTheme="minorEastAsia" w:hAnsiTheme="minorEastAsia" w:eastAsiaTheme="minorEastAsia"/>
                <w:color w:val="auto"/>
                <w:sz w:val="18"/>
                <w:szCs w:val="18"/>
                <w:highlight w:val="none"/>
              </w:rPr>
              <w:t>历年数据的查看（至少需包括按教育部、科技部等相关上级部门要求的数据页面进行汇总查询）</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支持按照相应上级部门填报考核的表格要求，根据完成填报的数据导出相应的格式（</w:t>
            </w:r>
            <w:r>
              <w:rPr>
                <w:rFonts w:hint="eastAsia" w:asciiTheme="minorEastAsia" w:hAnsiTheme="minorEastAsia" w:eastAsiaTheme="minorEastAsia"/>
                <w:color w:val="auto"/>
                <w:sz w:val="18"/>
                <w:szCs w:val="18"/>
                <w:highlight w:val="none"/>
              </w:rPr>
              <w:t>例</w:t>
            </w:r>
            <w:r>
              <w:rPr>
                <w:rFonts w:asciiTheme="minorEastAsia" w:hAnsiTheme="minorEastAsia" w:eastAsiaTheme="minorEastAsia"/>
                <w:color w:val="auto"/>
                <w:sz w:val="18"/>
                <w:szCs w:val="18"/>
                <w:highlight w:val="none"/>
              </w:rPr>
              <w:t>如</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需相应数据需进行代码转换，系统应支持导出时自动转换完成。）。</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应具备已有数据的基本分析功能（仪器设备达标率、使用率、开放率、机时数）</w:t>
            </w:r>
            <w:r>
              <w:rPr>
                <w:rFonts w:hint="eastAsia" w:asciiTheme="minorEastAsia" w:hAnsiTheme="minorEastAsia" w:eastAsiaTheme="minorEastAsia"/>
                <w:color w:val="auto"/>
                <w:sz w:val="18"/>
                <w:szCs w:val="18"/>
                <w:highlight w:val="none"/>
              </w:rPr>
              <w:t>。</w:t>
            </w:r>
          </w:p>
          <w:p>
            <w:pPr>
              <w:spacing w:line="360"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r>
              <w:rPr>
                <w:rFonts w:asciiTheme="minorEastAsia" w:hAnsiTheme="minorEastAsia" w:eastAsiaTheme="minorEastAsia"/>
                <w:color w:val="auto"/>
                <w:sz w:val="18"/>
                <w:szCs w:val="18"/>
                <w:highlight w:val="none"/>
              </w:rPr>
              <w:t>需具备良好的拓展性，后期能够</w:t>
            </w:r>
            <w:r>
              <w:rPr>
                <w:rFonts w:hint="eastAsia" w:asciiTheme="minorEastAsia" w:hAnsiTheme="minorEastAsia" w:eastAsiaTheme="minorEastAsia"/>
                <w:color w:val="auto"/>
                <w:sz w:val="18"/>
                <w:szCs w:val="18"/>
                <w:highlight w:val="none"/>
              </w:rPr>
              <w:t>根</w:t>
            </w:r>
            <w:r>
              <w:rPr>
                <w:rFonts w:asciiTheme="minorEastAsia" w:hAnsiTheme="minorEastAsia" w:eastAsiaTheme="minorEastAsia"/>
                <w:color w:val="auto"/>
                <w:sz w:val="18"/>
                <w:szCs w:val="18"/>
                <w:highlight w:val="none"/>
              </w:rPr>
              <w:t>据相应业务系统生</w:t>
            </w:r>
            <w:r>
              <w:rPr>
                <w:rFonts w:hint="eastAsia" w:asciiTheme="minorEastAsia" w:hAnsiTheme="minorEastAsia" w:eastAsiaTheme="minorEastAsia"/>
                <w:color w:val="auto"/>
                <w:sz w:val="18"/>
                <w:szCs w:val="18"/>
                <w:highlight w:val="none"/>
              </w:rPr>
              <w:t>成的</w:t>
            </w:r>
            <w:r>
              <w:rPr>
                <w:rFonts w:asciiTheme="minorEastAsia" w:hAnsiTheme="minorEastAsia" w:eastAsiaTheme="minorEastAsia"/>
                <w:color w:val="auto"/>
                <w:sz w:val="18"/>
                <w:szCs w:val="18"/>
                <w:highlight w:val="none"/>
              </w:rPr>
              <w:t>数据进行自动获取。</w:t>
            </w:r>
          </w:p>
          <w:p>
            <w:pPr>
              <w:adjustRightInd w:val="0"/>
              <w:snapToGrid w:val="0"/>
              <w:spacing w:line="360" w:lineRule="auto"/>
              <w:jc w:val="left"/>
              <w:outlineLvl w:val="1"/>
              <w:rPr>
                <w:rFonts w:cs="Arial" w:asciiTheme="minorEastAsia" w:hAnsiTheme="minorEastAsia" w:eastAsiaTheme="minorEastAsia"/>
                <w:b/>
                <w:color w:val="auto"/>
                <w:szCs w:val="21"/>
                <w:highlight w:val="none"/>
              </w:rPr>
            </w:pPr>
            <w:r>
              <w:rPr>
                <w:rFonts w:hint="eastAsia" w:asciiTheme="minorEastAsia" w:hAnsiTheme="minorEastAsia" w:eastAsiaTheme="minorEastAsia"/>
                <w:color w:val="auto"/>
                <w:highlight w:val="none"/>
              </w:rPr>
              <w:t>★5）</w:t>
            </w:r>
            <w:r>
              <w:rPr>
                <w:rFonts w:hint="eastAsia" w:asciiTheme="minorEastAsia" w:hAnsiTheme="minorEastAsia" w:eastAsiaTheme="minorEastAsia"/>
                <w:color w:val="auto"/>
                <w:sz w:val="18"/>
                <w:szCs w:val="18"/>
                <w:highlight w:val="none"/>
              </w:rPr>
              <w:t>为保证系统兼容性，系统模块必须为统一数据库，统一操作界面，以保证用户方便管理和使用，与实验室综合管理平台为统一操作平台、统一数据库、共享数据。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第三方系统对接</w:t>
            </w:r>
          </w:p>
        </w:tc>
        <w:tc>
          <w:tcPr>
            <w:tcW w:w="7494" w:type="dxa"/>
            <w:tcBorders>
              <w:left w:val="nil"/>
              <w:bottom w:val="single" w:color="auto" w:sz="4" w:space="0"/>
              <w:right w:val="single" w:color="auto" w:sz="4" w:space="0"/>
            </w:tcBorders>
            <w:vAlign w:val="center"/>
          </w:tcPr>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系统必须遵循学校的统一信息标准，开放系统数据接口，能与学校的统一身份认证平台、统一信息门户实现无缝整合，能与学校其它相关系统包括教务系统、资产管理系统、一卡通门禁系统实现无缝对接、实现数据共享与数据交换，并预留移动应用功能模块的接口。</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2）为学校数字化校园及其他信息系统提供web service的数据接口，可以根据需要定义web service数据接口提供的数据内容。</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要求系统与第三方系统对接不再额外收取费用，第三方系统须提供实验室管理系统相对应的数据字段，如：一卡通须提供学生姓名、学号、物理卡号数据等字段信息；教务系统需提供理论课表、教学大纲等字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highlight w:val="none"/>
              </w:rPr>
              <w:t>二</w:t>
            </w:r>
          </w:p>
        </w:tc>
        <w:tc>
          <w:tcPr>
            <w:tcW w:w="1405"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院级实验中心管理平台</w:t>
            </w:r>
          </w:p>
        </w:tc>
        <w:tc>
          <w:tcPr>
            <w:tcW w:w="7494" w:type="dxa"/>
            <w:tcBorders>
              <w:top w:val="single" w:color="auto" w:sz="4" w:space="0"/>
              <w:left w:val="nil"/>
              <w:right w:val="single" w:color="auto" w:sz="4" w:space="0"/>
            </w:tcBorders>
            <w:vAlign w:val="center"/>
          </w:tcPr>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院级二级管理平台以自动化学院等3个学院为试点开展建设，院级平台内可设实验中心数量不限，建设院级实验中心基础管理平台，院级实验中心实验教学管理平台、智能物联网应用管理系统等。通过上述</w:t>
            </w:r>
            <w:r>
              <w:rPr>
                <w:rFonts w:asciiTheme="minorEastAsia" w:hAnsiTheme="minorEastAsia" w:eastAsiaTheme="minorEastAsia"/>
                <w:color w:val="auto"/>
                <w:sz w:val="18"/>
                <w:szCs w:val="18"/>
                <w:highlight w:val="none"/>
              </w:rPr>
              <w:t>平台与各子系统之间无缝链接，</w:t>
            </w:r>
            <w:r>
              <w:rPr>
                <w:rFonts w:hint="eastAsia" w:asciiTheme="minorEastAsia" w:hAnsiTheme="minorEastAsia" w:eastAsiaTheme="minorEastAsia"/>
                <w:color w:val="auto"/>
                <w:sz w:val="18"/>
                <w:szCs w:val="18"/>
                <w:highlight w:val="none"/>
              </w:rPr>
              <w:t>实现</w:t>
            </w:r>
            <w:r>
              <w:rPr>
                <w:rFonts w:asciiTheme="minorEastAsia" w:hAnsiTheme="minorEastAsia" w:eastAsiaTheme="minorEastAsia"/>
                <w:color w:val="auto"/>
                <w:sz w:val="18"/>
                <w:szCs w:val="18"/>
                <w:highlight w:val="none"/>
              </w:rPr>
              <w:t>实时的数据流通和交互以及相互联动，通过过程化、流程化、智能化的管理所产生的使用数据自动汇总至校级数据中心，自动生成管理部门所要的数据</w:t>
            </w:r>
            <w:r>
              <w:rPr>
                <w:rFonts w:hint="eastAsia" w:asciiTheme="minorEastAsia" w:hAnsiTheme="minorEastAsia" w:eastAsiaTheme="minorEastAsia"/>
                <w:color w:val="auto"/>
                <w:sz w:val="18"/>
                <w:szCs w:val="18"/>
                <w:highlight w:val="none"/>
              </w:rPr>
              <w:t>接入</w:t>
            </w:r>
            <w:r>
              <w:rPr>
                <w:rFonts w:asciiTheme="minorEastAsia" w:hAnsiTheme="minorEastAsia" w:eastAsiaTheme="minorEastAsia"/>
                <w:color w:val="auto"/>
                <w:sz w:val="18"/>
                <w:szCs w:val="18"/>
                <w:highlight w:val="none"/>
              </w:rPr>
              <w:t>校级平台</w:t>
            </w:r>
            <w:r>
              <w:rPr>
                <w:rFonts w:hint="eastAsia" w:asciiTheme="minorEastAsia" w:hAnsiTheme="minorEastAsia" w:eastAsiaTheme="minorEastAsia"/>
                <w:color w:val="auto"/>
                <w:sz w:val="18"/>
                <w:szCs w:val="18"/>
                <w:highlight w:val="none"/>
              </w:rPr>
              <w:t>，校级平台通过</w:t>
            </w:r>
            <w:r>
              <w:rPr>
                <w:rFonts w:asciiTheme="minorEastAsia" w:hAnsiTheme="minorEastAsia" w:eastAsiaTheme="minorEastAsia"/>
                <w:color w:val="auto"/>
                <w:sz w:val="18"/>
                <w:szCs w:val="18"/>
                <w:highlight w:val="none"/>
              </w:rPr>
              <w:t>数据汇总、统计分析、</w:t>
            </w:r>
            <w:r>
              <w:rPr>
                <w:rFonts w:hint="eastAsia" w:asciiTheme="minorEastAsia" w:hAnsiTheme="minorEastAsia" w:eastAsiaTheme="minorEastAsia"/>
                <w:color w:val="auto"/>
                <w:sz w:val="18"/>
                <w:szCs w:val="18"/>
                <w:highlight w:val="none"/>
              </w:rPr>
              <w:t>绩效考核等完成教育部或科技部所要的数据，进行实</w:t>
            </w:r>
            <w:r>
              <w:rPr>
                <w:rFonts w:asciiTheme="minorEastAsia" w:hAnsiTheme="minorEastAsia" w:eastAsiaTheme="minorEastAsia"/>
                <w:color w:val="auto"/>
                <w:sz w:val="18"/>
                <w:szCs w:val="18"/>
                <w:highlight w:val="none"/>
              </w:rPr>
              <w:t>验室的数据上报。</w:t>
            </w:r>
            <w:r>
              <w:rPr>
                <w:rFonts w:hint="eastAsia" w:asciiTheme="minorEastAsia" w:hAnsiTheme="minorEastAsia" w:eastAsiaTheme="minorEastAsia"/>
                <w:color w:val="auto"/>
                <w:sz w:val="18"/>
                <w:szCs w:val="18"/>
                <w:highlight w:val="none"/>
              </w:rPr>
              <w:t>除上述平台以外，院级系统要求留有相应的智能物联网运用拓展空间，以便于后期实验室管理功能拓展。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院级实验中心基础管理平台</w:t>
            </w:r>
          </w:p>
        </w:tc>
        <w:tc>
          <w:tcPr>
            <w:tcW w:w="7494" w:type="dxa"/>
            <w:tcBorders>
              <w:left w:val="nil"/>
              <w:right w:val="single" w:color="auto" w:sz="4" w:space="0"/>
            </w:tcBorders>
            <w:vAlign w:val="center"/>
          </w:tcPr>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院级实验中心基础管理平台是院级实验中心平台的基础平台，主要由实验中心基础信息平台、实验中心信息交互平台、实验中心数据报表平台三个平台组成。主要实现院级实验室、实验项目信息汇总、管理并生成真实的实验室实验课实验项目使用情况的数据报表提供给管理层，为完善实验室管理提供依据。</w:t>
            </w:r>
          </w:p>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color w:val="auto"/>
                <w:sz w:val="18"/>
                <w:szCs w:val="18"/>
                <w:highlight w:val="none"/>
              </w:rPr>
              <w:t>1）</w:t>
            </w:r>
            <w:r>
              <w:rPr>
                <w:rFonts w:hint="eastAsia" w:asciiTheme="minorEastAsia" w:hAnsiTheme="minorEastAsia" w:eastAsiaTheme="minorEastAsia"/>
                <w:bCs/>
                <w:color w:val="auto"/>
                <w:sz w:val="18"/>
                <w:szCs w:val="18"/>
                <w:highlight w:val="none"/>
              </w:rPr>
              <w:t>基础数据管理</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部门管理：学院班级和部门信息管理；</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专业管理：负责学院专业的信息管理；</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课程库管理：实验课程库的信息管理；</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 xml:space="preserve">实验项目信息管理实验项目名称，实验项目编号，实验课程、面向专业、 所属实验室、实验类别、组数、每组人数、实验时数、实验类型、主要仪器设备等； </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实验人员信息管理：实验室人员姓名、性别、出生年月、</w:t>
            </w:r>
            <w:r>
              <w:rPr>
                <w:rFonts w:hint="eastAsia" w:asciiTheme="minorEastAsia" w:hAnsiTheme="minorEastAsia" w:eastAsiaTheme="minorEastAsia"/>
                <w:color w:val="auto"/>
                <w:sz w:val="18"/>
                <w:szCs w:val="18"/>
                <w:highlight w:val="none"/>
              </w:rPr>
              <w:t>专业、工号、</w:t>
            </w:r>
            <w:r>
              <w:rPr>
                <w:rFonts w:asciiTheme="minorEastAsia" w:hAnsiTheme="minorEastAsia" w:eastAsiaTheme="minorEastAsia"/>
                <w:color w:val="auto"/>
                <w:sz w:val="18"/>
                <w:szCs w:val="18"/>
                <w:highlight w:val="none"/>
              </w:rPr>
              <w:t>职务</w:t>
            </w:r>
            <w:r>
              <w:rPr>
                <w:rFonts w:hint="eastAsia" w:asciiTheme="minorEastAsia" w:hAnsiTheme="minorEastAsia" w:eastAsiaTheme="minorEastAsia"/>
                <w:color w:val="auto"/>
                <w:sz w:val="18"/>
                <w:szCs w:val="18"/>
                <w:highlight w:val="none"/>
              </w:rPr>
              <w:t>职称等；</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等</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实验教学大纲管理：设置该课程实验教学目的、任务、要求、实验项目的确定（包括选做项目）、学时分配、教学方式、成绩考核等信息；</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实验用房管理：登记实验用房基本信息，如：房间号，名称，类型，使用面积</w:t>
            </w:r>
            <w:r>
              <w:rPr>
                <w:rFonts w:hint="eastAsia" w:asciiTheme="minorEastAsia" w:hAnsiTheme="minorEastAsia" w:eastAsiaTheme="minorEastAsia"/>
                <w:color w:val="auto"/>
                <w:sz w:val="18"/>
                <w:szCs w:val="18"/>
                <w:highlight w:val="none"/>
              </w:rPr>
              <w:t>，建筑面积，所属实验室等</w:t>
            </w:r>
            <w:r>
              <w:rPr>
                <w:rFonts w:asciiTheme="minorEastAsia" w:hAnsiTheme="minorEastAsia" w:eastAsiaTheme="minorEastAsia"/>
                <w:color w:val="auto"/>
                <w:sz w:val="18"/>
                <w:szCs w:val="18"/>
                <w:highlight w:val="none"/>
              </w:rPr>
              <w:t>信息；</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仪器设备基本信息：仪器类别</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分类号、名称、型号、规格、数量、价</w:t>
            </w:r>
            <w:r>
              <w:rPr>
                <w:rFonts w:hint="eastAsia" w:asciiTheme="minorEastAsia" w:hAnsiTheme="minorEastAsia" w:eastAsiaTheme="minorEastAsia"/>
                <w:color w:val="auto"/>
                <w:sz w:val="18"/>
                <w:szCs w:val="18"/>
                <w:highlight w:val="none"/>
              </w:rPr>
              <w:t>值、所属部门、仪器即时状态、存放位置等信息；</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实验室基本信息：实验房间</w:t>
            </w:r>
            <w:r>
              <w:rPr>
                <w:rFonts w:hint="eastAsia" w:asciiTheme="minorEastAsia" w:hAnsiTheme="minorEastAsia" w:eastAsiaTheme="minorEastAsia"/>
                <w:color w:val="auto"/>
                <w:sz w:val="18"/>
                <w:szCs w:val="18"/>
                <w:highlight w:val="none"/>
              </w:rPr>
              <w:t>号</w:t>
            </w:r>
            <w:r>
              <w:rPr>
                <w:rFonts w:asciiTheme="minorEastAsia" w:hAnsiTheme="minorEastAsia" w:eastAsiaTheme="minorEastAsia"/>
                <w:color w:val="auto"/>
                <w:sz w:val="18"/>
                <w:szCs w:val="18"/>
                <w:highlight w:val="none"/>
              </w:rPr>
              <w:t xml:space="preserve">、房间面积、仪器设备台套数、实验室名称、负责人、联系电话、管理单位等信息； </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学生信息管理：管理学生基本信息，包括学生姓名，性别，学号，班级，入学时间，身份证号码，邮箱等信息</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2</w:t>
            </w:r>
            <w:r>
              <w:rPr>
                <w:rFonts w:hint="eastAsia" w:asciiTheme="minorEastAsia" w:hAnsiTheme="minorEastAsia" w:eastAsiaTheme="minorEastAsia"/>
                <w:bCs/>
                <w:color w:val="auto"/>
                <w:sz w:val="18"/>
                <w:szCs w:val="18"/>
                <w:highlight w:val="none"/>
              </w:rPr>
              <w:t>）基础应用功能管理</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数据导入与导出管理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常用基本数据的外部文件导入与系统内部数据的导出成外部文件；</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流程管理：支持业务流程的流程设置与管理，管理流程的步骤、次序、分支、人员与权限；</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权限管理：各个业务功能的角色管理与权限分配；</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资源分配：分配所属部门与实验室；</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系统设置：系统全局参数的设置与修改；</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系统初始化：基础数据的初始化工作；</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学期设置：每个学期的初始化与设置操作；</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节次管理：设置各个节次的开始与结束时间；</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操作日志管理：负责记录与查询管理员的操作日志；</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个人信息管理：修改个人信息，重新设置系统登录密码。</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bCs/>
                <w:color w:val="auto"/>
                <w:sz w:val="18"/>
                <w:szCs w:val="18"/>
                <w:highlight w:val="none"/>
              </w:rPr>
              <w:t>仪器设备管理</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仪器设备基础信息管理：包含分类号、资产编号、设备名称、型号、规格、数量、价值、</w:t>
            </w:r>
            <w:r>
              <w:rPr>
                <w:rFonts w:asciiTheme="minorEastAsia" w:hAnsiTheme="minorEastAsia" w:eastAsiaTheme="minorEastAsia"/>
                <w:color w:val="auto"/>
                <w:sz w:val="18"/>
                <w:szCs w:val="18"/>
                <w:highlight w:val="none"/>
              </w:rPr>
              <w:t>所属部门（科、室）、所属管理员、存放位置等信息</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4）</w:t>
            </w:r>
            <w:r>
              <w:rPr>
                <w:rFonts w:asciiTheme="minorEastAsia" w:hAnsiTheme="minorEastAsia" w:eastAsiaTheme="minorEastAsia"/>
                <w:bCs/>
                <w:color w:val="auto"/>
                <w:sz w:val="18"/>
                <w:szCs w:val="18"/>
                <w:highlight w:val="none"/>
              </w:rPr>
              <w:t>实验室队伍管理</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人员基础信息管理：教师工号、姓名、所属部门、电话、性别、出生年月、</w:t>
            </w:r>
            <w:r>
              <w:rPr>
                <w:rFonts w:hint="eastAsia" w:asciiTheme="minorEastAsia" w:hAnsiTheme="minorEastAsia" w:eastAsiaTheme="minorEastAsia"/>
                <w:color w:val="auto"/>
                <w:sz w:val="18"/>
                <w:szCs w:val="18"/>
                <w:highlight w:val="none"/>
              </w:rPr>
              <w:t>职务职称等；</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人员任命管理：包含角色、任职类别、任职期限、相关权限等。</w:t>
            </w:r>
          </w:p>
          <w:p>
            <w:pPr>
              <w:spacing w:line="276" w:lineRule="auto"/>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6</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用户与权限管理</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用户基础数据管理：用户基础数据主要分为教师信息及学生信息，包括基础学工号、姓名、性别、 一卡通卡号、所在部门/班级等相关信息，并</w:t>
            </w:r>
            <w:r>
              <w:rPr>
                <w:rFonts w:hint="eastAsia" w:asciiTheme="minorEastAsia" w:hAnsiTheme="minorEastAsia" w:eastAsiaTheme="minorEastAsia"/>
                <w:color w:val="auto"/>
                <w:sz w:val="18"/>
                <w:szCs w:val="18"/>
                <w:highlight w:val="none"/>
              </w:rPr>
              <w:t>可以</w:t>
            </w:r>
            <w:r>
              <w:rPr>
                <w:rFonts w:asciiTheme="minorEastAsia" w:hAnsiTheme="minorEastAsia" w:eastAsiaTheme="minorEastAsia"/>
                <w:color w:val="auto"/>
                <w:sz w:val="18"/>
                <w:szCs w:val="18"/>
                <w:highlight w:val="none"/>
              </w:rPr>
              <w:t>通过第三方系统同步或数据导入模式生成用户基础数据；</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角色管理：</w:t>
            </w:r>
            <w:r>
              <w:rPr>
                <w:rFonts w:hint="eastAsia" w:asciiTheme="minorEastAsia" w:hAnsiTheme="minorEastAsia" w:eastAsiaTheme="minorEastAsia"/>
                <w:color w:val="auto"/>
                <w:sz w:val="18"/>
                <w:szCs w:val="18"/>
                <w:highlight w:val="none"/>
              </w:rPr>
              <w:t>要求</w:t>
            </w:r>
            <w:r>
              <w:rPr>
                <w:rFonts w:asciiTheme="minorEastAsia" w:hAnsiTheme="minorEastAsia" w:eastAsiaTheme="minorEastAsia"/>
                <w:color w:val="auto"/>
                <w:sz w:val="18"/>
                <w:szCs w:val="18"/>
                <w:highlight w:val="none"/>
              </w:rPr>
              <w:t>采用多级角色管理，不同角色赋予不同的管理权限，相同角色还可以按职责进行权限的细化设置</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权限管理：</w:t>
            </w:r>
            <w:r>
              <w:rPr>
                <w:rFonts w:hint="eastAsia" w:asciiTheme="minorEastAsia" w:hAnsiTheme="minorEastAsia" w:eastAsiaTheme="minorEastAsia"/>
                <w:color w:val="auto"/>
                <w:sz w:val="18"/>
                <w:szCs w:val="18"/>
                <w:highlight w:val="none"/>
              </w:rPr>
              <w:t>要求</w:t>
            </w:r>
            <w:r>
              <w:rPr>
                <w:rFonts w:asciiTheme="minorEastAsia" w:hAnsiTheme="minorEastAsia" w:eastAsiaTheme="minorEastAsia"/>
                <w:color w:val="auto"/>
                <w:sz w:val="18"/>
                <w:szCs w:val="18"/>
                <w:highlight w:val="none"/>
              </w:rPr>
              <w:t>系统中的任意管理功能都可创建具体操作权限内容</w:t>
            </w:r>
            <w:r>
              <w:rPr>
                <w:rFonts w:hint="eastAsia" w:asciiTheme="minorEastAsia" w:hAnsiTheme="minorEastAsia" w:eastAsiaTheme="minorEastAsia"/>
                <w:color w:val="auto"/>
                <w:sz w:val="18"/>
                <w:szCs w:val="18"/>
                <w:highlight w:val="none"/>
              </w:rPr>
              <w:t>，并与角色管理配套应用，可按相关人员设定对应角色及对应权限。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2</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实验中心信息交互平台</w:t>
            </w:r>
          </w:p>
        </w:tc>
        <w:tc>
          <w:tcPr>
            <w:tcW w:w="7494" w:type="dxa"/>
            <w:tcBorders>
              <w:left w:val="nil"/>
              <w:right w:val="single" w:color="auto" w:sz="4" w:space="0"/>
            </w:tcBorders>
            <w:vAlign w:val="center"/>
          </w:tcPr>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bCs/>
                <w:color w:val="auto"/>
                <w:sz w:val="18"/>
                <w:szCs w:val="18"/>
                <w:highlight w:val="none"/>
              </w:rPr>
              <w:t>1）</w:t>
            </w:r>
            <w:r>
              <w:rPr>
                <w:rFonts w:asciiTheme="minorEastAsia" w:hAnsiTheme="minorEastAsia" w:eastAsiaTheme="minorEastAsia"/>
                <w:bCs/>
                <w:color w:val="auto"/>
                <w:sz w:val="18"/>
                <w:szCs w:val="18"/>
                <w:highlight w:val="none"/>
              </w:rPr>
              <w:t>网站栏目基础管理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将平台所收集上来的基础信息进行查询、统计、保存与输出，设置前台网站发布的信息内容管理、以不同的方式对外展示实验成果，如：提供平台介绍、实验室信息列表、实验室开放预约、用户注册、成果展示、新闻列表、实时实验列表等多种基础网站内容模块</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2</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网站栏目扩展管理</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管理员可手工发布实验中心信息、新闻、规章制度、实验室资源信息等信息，方便访问人员直观了解实验室相关信息。</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bCs/>
                <w:color w:val="auto"/>
                <w:sz w:val="18"/>
                <w:szCs w:val="18"/>
                <w:highlight w:val="none"/>
              </w:rPr>
              <w:t>3）</w:t>
            </w:r>
            <w:r>
              <w:rPr>
                <w:rFonts w:asciiTheme="minorEastAsia" w:hAnsiTheme="minorEastAsia" w:eastAsiaTheme="minorEastAsia"/>
                <w:bCs/>
                <w:color w:val="auto"/>
                <w:sz w:val="18"/>
                <w:szCs w:val="18"/>
                <w:highlight w:val="none"/>
              </w:rPr>
              <w:t>基本信息展示</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实验中心概貌、组织机构信息、人员、科研成果、规章制度等基本信息。</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4</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发布动态信息</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发布实验中心新闻、公告、通知等动态信息，实验室的实时预约和使用信息。</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5</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用户中心</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学生</w:t>
            </w:r>
            <w:r>
              <w:rPr>
                <w:rFonts w:hint="eastAsia" w:asciiTheme="minorEastAsia" w:hAnsiTheme="minorEastAsia" w:eastAsiaTheme="minorEastAsia"/>
                <w:color w:val="auto"/>
                <w:sz w:val="18"/>
                <w:szCs w:val="18"/>
                <w:highlight w:val="none"/>
              </w:rPr>
              <w:t>、教师、实验员、管理员</w:t>
            </w:r>
            <w:r>
              <w:rPr>
                <w:rFonts w:asciiTheme="minorEastAsia" w:hAnsiTheme="minorEastAsia" w:eastAsiaTheme="minorEastAsia"/>
                <w:color w:val="auto"/>
                <w:sz w:val="18"/>
                <w:szCs w:val="18"/>
                <w:highlight w:val="none"/>
              </w:rPr>
              <w:t>登录入口、修改密码等；实验室开放信息与资源查看，实验室在线预约申请、审批等。</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6</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bCs/>
                <w:color w:val="auto"/>
                <w:sz w:val="18"/>
                <w:szCs w:val="18"/>
                <w:highlight w:val="none"/>
              </w:rPr>
              <w:t>信息查询</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提供用户个人信息及历史使用记录的查询，提供实验预约记录与审批结果查询。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3</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实验中心数据报表平台</w:t>
            </w:r>
          </w:p>
        </w:tc>
        <w:tc>
          <w:tcPr>
            <w:tcW w:w="7494" w:type="dxa"/>
            <w:tcBorders>
              <w:left w:val="nil"/>
              <w:right w:val="single" w:color="auto" w:sz="4" w:space="0"/>
            </w:tcBorders>
            <w:vAlign w:val="center"/>
          </w:tcPr>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bCs/>
                <w:color w:val="auto"/>
                <w:sz w:val="18"/>
                <w:szCs w:val="18"/>
                <w:highlight w:val="none"/>
              </w:rPr>
              <w:t>1）数据</w:t>
            </w:r>
            <w:r>
              <w:rPr>
                <w:rFonts w:asciiTheme="minorEastAsia" w:hAnsiTheme="minorEastAsia" w:eastAsiaTheme="minorEastAsia"/>
                <w:bCs/>
                <w:color w:val="auto"/>
                <w:sz w:val="18"/>
                <w:szCs w:val="18"/>
                <w:highlight w:val="none"/>
              </w:rPr>
              <w:t>查询</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满足用户的各种查询、统计的需要，支持多个表单字段项的组合查询统计</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要求既可按时间轴进行纵向的跟踪，也可以按分布进行横向的比较。</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2</w:t>
            </w:r>
            <w:r>
              <w:rPr>
                <w:rFonts w:hint="eastAsia" w:asciiTheme="minorEastAsia" w:hAnsiTheme="minorEastAsia" w:eastAsiaTheme="minorEastAsia"/>
                <w:bCs/>
                <w:color w:val="auto"/>
                <w:sz w:val="18"/>
                <w:szCs w:val="18"/>
                <w:highlight w:val="none"/>
              </w:rPr>
              <w:t>）数据报表生成</w:t>
            </w:r>
            <w:r>
              <w:rPr>
                <w:rFonts w:hint="eastAsia" w:asciiTheme="minorEastAsia" w:hAnsiTheme="minorEastAsia" w:eastAsiaTheme="minorEastAsia"/>
                <w:color w:val="auto"/>
                <w:sz w:val="18"/>
                <w:szCs w:val="18"/>
                <w:highlight w:val="none"/>
              </w:rPr>
              <w:t>：通过实验教学流程化管理或实验室开放过程化管理产生的真实数据汇总统计，并自动汇总生成系统基础报表，生成</w:t>
            </w:r>
            <w:r>
              <w:rPr>
                <w:rFonts w:asciiTheme="minorEastAsia" w:hAnsiTheme="minorEastAsia" w:eastAsiaTheme="minorEastAsia"/>
                <w:color w:val="auto"/>
                <w:sz w:val="18"/>
                <w:szCs w:val="18"/>
                <w:highlight w:val="none"/>
              </w:rPr>
              <w:t>可以由用户选择各类表单、报表、图形的表现形式，</w:t>
            </w:r>
            <w:r>
              <w:rPr>
                <w:rFonts w:hint="eastAsia" w:asciiTheme="minorEastAsia" w:hAnsiTheme="minorEastAsia" w:eastAsiaTheme="minorEastAsia"/>
                <w:color w:val="auto"/>
                <w:sz w:val="18"/>
                <w:szCs w:val="18"/>
                <w:highlight w:val="none"/>
              </w:rPr>
              <w:t>支持查询结果的导出功能，包括</w:t>
            </w:r>
            <w:r>
              <w:rPr>
                <w:rFonts w:asciiTheme="minorEastAsia" w:hAnsiTheme="minorEastAsia" w:eastAsiaTheme="minorEastAsia"/>
                <w:color w:val="auto"/>
                <w:sz w:val="18"/>
                <w:szCs w:val="18"/>
                <w:highlight w:val="none"/>
              </w:rPr>
              <w:t xml:space="preserve"> Excel、DBF、HTML 等多种格式，</w:t>
            </w:r>
            <w:r>
              <w:rPr>
                <w:rFonts w:hint="eastAsia" w:asciiTheme="minorEastAsia" w:hAnsiTheme="minorEastAsia" w:eastAsiaTheme="minorEastAsia"/>
                <w:color w:val="auto"/>
                <w:sz w:val="18"/>
                <w:szCs w:val="18"/>
                <w:highlight w:val="none"/>
              </w:rPr>
              <w:t>能</w:t>
            </w:r>
            <w:r>
              <w:rPr>
                <w:rFonts w:asciiTheme="minorEastAsia" w:hAnsiTheme="minorEastAsia" w:eastAsiaTheme="minorEastAsia"/>
                <w:color w:val="auto"/>
                <w:sz w:val="18"/>
                <w:szCs w:val="18"/>
                <w:highlight w:val="none"/>
              </w:rPr>
              <w:t>满足学校的处理需要。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rPr>
              <w:t>4</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院级实验中心实验教学管理平台</w:t>
            </w:r>
          </w:p>
        </w:tc>
        <w:tc>
          <w:tcPr>
            <w:tcW w:w="7494" w:type="dxa"/>
            <w:tcBorders>
              <w:left w:val="nil"/>
              <w:right w:val="single" w:color="auto" w:sz="4" w:space="0"/>
            </w:tcBorders>
            <w:vAlign w:val="center"/>
          </w:tcPr>
          <w:p>
            <w:pPr>
              <w:spacing w:line="276" w:lineRule="auto"/>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具体功能要求：</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1）实验教学信息管理</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实验课程管理：提供了实验课程名称、编号、开课学院、面向专业、总学时、课程介绍等基础信息的维护和管理。</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实验教学标准管理：课程名称、实验要求、实验目的、实验安排、主要教材及参考书、考核形式等基本信息的录入和审核和查询等功能。</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实验项目管理：包括实验编号、对应课程、面向专业、所属实验室、实验类别、组数、每组人数、实验时数、实验类型、主要仪器设备、规格型号、数量等。</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支持教务管理数据对接：支持学生信息、教学任务信息、选课学生信息、排课信息等各类教务信息的数据对接，支持以数据对接接口自动同步、教务数据文件导入等多种方式实现与教务系统的数据对接。</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▲2）实验教学排课及预约管理</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按教学任务排课：根据学校教务处的教学任务，可对实验教学任务筛选、修改、指派实验室，对任务指派技术人员以及排课，生成对应实验任务的课表等。</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按实验项目排课: 对具有相同实验项目的不同班级进行合班，按合班后的总学生数进行分次分批，按照批次指派不同教师、实验室及时间，也可由学生按实验项目自主选择合适的上课时间批次。</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按课程排课：能与教务系统对接，直接对实验课程进行排课，选择时间、地点、任课教师并直接添加规则，实现一次性快速完成一学期的课程排课；出现冲突时系统自动提示冲突。</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简易排课：管理员直接录入上课时间、实验地点、教师等排课信息，实现对无教学任务或教师临时借用实验室的排课模式。</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按周课表排课：能按周排课显示在实验中心所有实验室下的所有课表安排情况，并以不同的颜色显示实验室使用情况，管理人员能快速的鼠标单击空闲资源安排不同批次的上课时间和地点，实现快速排课。</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历年课表复制：提供直接复制历年某学期的实验课表功能，直接复制完成下学期实验排课，避免每学期重复排课，减轻管理员重复劳动工作量。</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教师预约排课：支持管理员设置实验教学可安排资源（包括实验室和时间），由实验指导教师通过网上实验资源预约平台，预约上课时间和实验地点，支持预约审核及调课功能。</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选课管理：管理员安排实验项目的时间、地点、任课教师及限制选课的人数，学生在前台选课。选课时按照工位选择，管理员可后台进行审批，人数不满的批次可取消等。管理员设置开放选课时间，学生可进行网络选课，选择周次和课程组后，显示可选时间，点击“查看”可查看当前时间开放的实验课程以及是否有空位，如果有空位，学生可选择当前时间的某个实验，同时可选实验数减1。如果可选实验数大于0，可继续选择其他时间的其它实验课程。在规定时间内学生可以删除某个实验时间，教务老师可设置学生必须提前多少天选课以及允许多少天改选实验。</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实验分批、分次排课功能：能提供分批与分次的排课功能，同时提供教师指定分批学生、系统自动指定以及学生自主二次实验选批选时间的多种分批模式。</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★系统支持图形化排课模式，能以</w:t>
            </w:r>
            <w:r>
              <w:rPr>
                <w:rFonts w:asciiTheme="minorEastAsia" w:hAnsiTheme="minorEastAsia" w:eastAsiaTheme="minorEastAsia"/>
                <w:color w:val="auto"/>
                <w:sz w:val="18"/>
                <w:szCs w:val="18"/>
                <w:highlight w:val="none"/>
              </w:rPr>
              <w:t>图形化的形式直观表现所排课实验室的周次、星期、课节信息，并以不同的颜色区分每一节次实验室的占用\空闲情况，通过直接点选未占用的时间实现排课。</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▲3）教学过程管理</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实验考勤管理：结合智能物联网终端系统可根据上课课表，实验指导教师在上课时间段内可直接刷卡开门（无需授权），学生在上课时间段内刷卡自动考勤，并自动生成学生考勤记录和考勤成绩。</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实验成绩管理：系统支持按实验课程设置不同实验项目权值和成绩项权值，自动根据不同的项目权值比例汇总生成学生实验成绩，并对成绩进行统计。</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4）实验预习管理：学生在线进行实验前的预习，通过观看实验视频后进行随机考核，记录学生预习成绩。</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5）实验教学质量管理</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实验室日常工作记录管理：教师或管理员可以通过系统选择相应的实验室、实验日期，指导教师，学生的情况、添加本次实验人数，以及实验准备情况，实验情况、实验过程记录，完善在实验室日常工作中的对日常工作的记录，系统可添加以及导出工作记录。日志的基础信息数据可自动生成。</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教学人时数统计：教师或者管理员可以通过系统选择要查看的统计时间段，选择要查看的类型，可按实验室统计、按教师统计、按课程统计，按实验中心统计等选择不同类型进行统计。根据选择的类型形成相应的查看内容，系统支持查询及导出教学人时数的统计表。</w:t>
            </w:r>
          </w:p>
          <w:p>
            <w:pPr>
              <w:spacing w:line="276"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18"/>
                <w:szCs w:val="18"/>
                <w:highlight w:val="none"/>
              </w:rPr>
              <w:t>▲7）虚拟仿真资源接入管理：建立虚拟仿真资源接入的标准平台，整合虚拟资源，提升资源的共享度和利用率。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院级实验室开放管理平台</w:t>
            </w:r>
          </w:p>
        </w:tc>
        <w:tc>
          <w:tcPr>
            <w:tcW w:w="7494" w:type="dxa"/>
            <w:tcBorders>
              <w:left w:val="nil"/>
              <w:bottom w:val="single" w:color="auto" w:sz="4" w:space="0"/>
              <w:right w:val="single" w:color="auto" w:sz="4" w:space="0"/>
            </w:tcBorders>
            <w:vAlign w:val="center"/>
          </w:tcPr>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通过开展院级部分开放实验室管理平台的建设，进而</w:t>
            </w:r>
            <w:r>
              <w:rPr>
                <w:rFonts w:asciiTheme="minorEastAsia" w:hAnsiTheme="minorEastAsia" w:eastAsiaTheme="minorEastAsia"/>
                <w:color w:val="auto"/>
                <w:sz w:val="18"/>
                <w:szCs w:val="18"/>
                <w:highlight w:val="none"/>
              </w:rPr>
              <w:t>实现实验室及仪器开放过程化管理</w:t>
            </w:r>
            <w:r>
              <w:rPr>
                <w:rFonts w:hint="eastAsia" w:asciiTheme="minorEastAsia" w:hAnsiTheme="minorEastAsia" w:eastAsiaTheme="minorEastAsia"/>
                <w:color w:val="auto"/>
                <w:sz w:val="18"/>
                <w:szCs w:val="18"/>
                <w:highlight w:val="none"/>
              </w:rPr>
              <w:t>。学院根据实验室建设和使用情况，学生实验需求等因素，结合开放管理平台系统设置、实验室门禁管理、实验台电源远程管理等手段，开放部分实验室及仪器设备，</w:t>
            </w:r>
            <w:r>
              <w:rPr>
                <w:rFonts w:asciiTheme="minorEastAsia" w:hAnsiTheme="minorEastAsia" w:eastAsiaTheme="minorEastAsia"/>
                <w:color w:val="auto"/>
                <w:sz w:val="18"/>
                <w:szCs w:val="18"/>
                <w:highlight w:val="none"/>
              </w:rPr>
              <w:t>让学生发挥其创新意识，为学生提供更多的实验时间和实验条件，提高实验教学质量，培养学生的实践；同时还能切实提高设备的利用率，实现资源共享</w:t>
            </w:r>
            <w:r>
              <w:rPr>
                <w:rFonts w:hint="eastAsia" w:asciiTheme="minorEastAsia" w:hAnsiTheme="minorEastAsia" w:eastAsiaTheme="minorEastAsia"/>
                <w:color w:val="auto"/>
                <w:sz w:val="18"/>
                <w:szCs w:val="18"/>
                <w:highlight w:val="none"/>
              </w:rPr>
              <w:t>。</w:t>
            </w:r>
          </w:p>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numPr>
                <w:ilvl w:val="0"/>
                <w:numId w:val="3"/>
              </w:num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实验前管理：</w:t>
            </w:r>
            <w:r>
              <w:rPr>
                <w:rFonts w:asciiTheme="minorEastAsia" w:hAnsiTheme="minorEastAsia" w:eastAsiaTheme="minorEastAsia"/>
                <w:bCs/>
                <w:color w:val="auto"/>
                <w:sz w:val="18"/>
                <w:szCs w:val="18"/>
                <w:highlight w:val="none"/>
              </w:rPr>
              <w:t>开放设置</w:t>
            </w:r>
            <w:r>
              <w:rPr>
                <w:rFonts w:hint="eastAsia" w:asciiTheme="minorEastAsia" w:hAnsiTheme="minorEastAsia" w:eastAsiaTheme="minorEastAsia"/>
                <w:bCs/>
                <w:color w:val="auto"/>
                <w:sz w:val="18"/>
                <w:szCs w:val="18"/>
                <w:highlight w:val="none"/>
              </w:rPr>
              <w:t>：</w:t>
            </w:r>
            <w:r>
              <w:rPr>
                <w:rFonts w:hint="eastAsia" w:asciiTheme="minorEastAsia" w:hAnsiTheme="minorEastAsia" w:eastAsiaTheme="minorEastAsia"/>
                <w:color w:val="auto"/>
                <w:sz w:val="18"/>
                <w:szCs w:val="18"/>
                <w:highlight w:val="none"/>
              </w:rPr>
              <w:t>包含开放实验室/实现工位设置、开放周期、开放时段、开放对象、预约时长等设置。</w:t>
            </w:r>
            <w:r>
              <w:rPr>
                <w:rFonts w:hint="eastAsia" w:asciiTheme="minorEastAsia" w:hAnsiTheme="minorEastAsia" w:eastAsiaTheme="minorEastAsia"/>
                <w:bCs/>
                <w:color w:val="auto"/>
                <w:sz w:val="18"/>
                <w:szCs w:val="18"/>
                <w:highlight w:val="none"/>
              </w:rPr>
              <w:t>预约管理：</w:t>
            </w:r>
            <w:r>
              <w:rPr>
                <w:rFonts w:hint="eastAsia" w:asciiTheme="minorEastAsia" w:hAnsiTheme="minorEastAsia" w:eastAsiaTheme="minorEastAsia"/>
                <w:color w:val="auto"/>
                <w:sz w:val="18"/>
                <w:szCs w:val="18"/>
                <w:highlight w:val="none"/>
              </w:rPr>
              <w:t>公示开放实</w:t>
            </w:r>
            <w:r>
              <w:rPr>
                <w:rFonts w:asciiTheme="minorEastAsia" w:hAnsiTheme="minorEastAsia" w:eastAsiaTheme="minorEastAsia"/>
                <w:color w:val="auto"/>
                <w:sz w:val="18"/>
                <w:szCs w:val="18"/>
                <w:highlight w:val="none"/>
              </w:rPr>
              <w:t>验室</w:t>
            </w:r>
            <w:r>
              <w:rPr>
                <w:rFonts w:hint="eastAsia" w:asciiTheme="minorEastAsia" w:hAnsiTheme="minorEastAsia" w:eastAsiaTheme="minorEastAsia"/>
                <w:color w:val="auto"/>
                <w:sz w:val="18"/>
                <w:szCs w:val="18"/>
                <w:highlight w:val="none"/>
              </w:rPr>
              <w:t>名称</w:t>
            </w:r>
            <w:r>
              <w:rPr>
                <w:rFonts w:asciiTheme="minorEastAsia" w:hAnsiTheme="minorEastAsia" w:eastAsiaTheme="minorEastAsia"/>
                <w:color w:val="auto"/>
                <w:sz w:val="18"/>
                <w:szCs w:val="18"/>
                <w:highlight w:val="none"/>
              </w:rPr>
              <w:t>、开放时间段、预约信息、规章制度等；公开实验室预约状态，遵循先约先用的原则。预约前进行安全准入和培训的检测，预约后需要审批</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自动审批、</w:t>
            </w:r>
            <w:r>
              <w:rPr>
                <w:rFonts w:hint="eastAsia" w:asciiTheme="minorEastAsia" w:hAnsiTheme="minorEastAsia" w:eastAsiaTheme="minorEastAsia"/>
                <w:color w:val="auto"/>
                <w:sz w:val="18"/>
                <w:szCs w:val="18"/>
                <w:highlight w:val="none"/>
              </w:rPr>
              <w:t>一级多级审批、邮件审批）。</w:t>
            </w:r>
          </w:p>
          <w:p>
            <w:p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2）</w:t>
            </w:r>
            <w:r>
              <w:rPr>
                <w:rFonts w:asciiTheme="minorEastAsia" w:hAnsiTheme="minorEastAsia" w:eastAsiaTheme="minorEastAsia"/>
                <w:bCs/>
                <w:color w:val="auto"/>
                <w:sz w:val="18"/>
                <w:szCs w:val="18"/>
                <w:highlight w:val="none"/>
              </w:rPr>
              <w:t>实验过程管理</w:t>
            </w:r>
            <w:r>
              <w:rPr>
                <w:rFonts w:hint="eastAsia" w:asciiTheme="minorEastAsia" w:hAnsiTheme="minorEastAsia" w:eastAsiaTheme="minorEastAsia"/>
                <w:bCs/>
                <w:color w:val="auto"/>
                <w:sz w:val="18"/>
                <w:szCs w:val="18"/>
                <w:highlight w:val="none"/>
              </w:rPr>
              <w:t>：</w:t>
            </w:r>
            <w:r>
              <w:rPr>
                <w:rFonts w:asciiTheme="minorEastAsia" w:hAnsiTheme="minorEastAsia" w:eastAsiaTheme="minorEastAsia"/>
                <w:color w:val="auto"/>
                <w:sz w:val="18"/>
                <w:szCs w:val="18"/>
                <w:highlight w:val="none"/>
              </w:rPr>
              <w:t>身份认证、出入信息采集、仪器电源管控、实验室实时动态</w:t>
            </w:r>
            <w:r>
              <w:rPr>
                <w:rFonts w:hint="eastAsia" w:asciiTheme="minorEastAsia" w:hAnsiTheme="minorEastAsia" w:eastAsiaTheme="minorEastAsia"/>
                <w:color w:val="auto"/>
                <w:sz w:val="18"/>
                <w:szCs w:val="18"/>
                <w:highlight w:val="none"/>
              </w:rPr>
              <w:t>监控。</w:t>
            </w:r>
          </w:p>
          <w:p>
            <w:p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3）实验后管理：</w:t>
            </w:r>
            <w:r>
              <w:rPr>
                <w:rFonts w:hint="eastAsia" w:asciiTheme="minorEastAsia" w:hAnsiTheme="minorEastAsia" w:eastAsiaTheme="minorEastAsia"/>
                <w:color w:val="auto"/>
                <w:sz w:val="18"/>
                <w:szCs w:val="18"/>
                <w:highlight w:val="none"/>
              </w:rPr>
              <w:t>出入信息查询、仪器使用信息查询、实验室历史监控查看。</w:t>
            </w:r>
          </w:p>
          <w:p>
            <w:pPr>
              <w:spacing w:line="276" w:lineRule="auto"/>
              <w:rPr>
                <w:rFonts w:asciiTheme="minorEastAsia" w:hAnsiTheme="minorEastAsia" w:eastAsiaTheme="minorEastAsia"/>
                <w:bCs/>
                <w:color w:val="auto"/>
                <w:sz w:val="18"/>
                <w:szCs w:val="18"/>
                <w:highlight w:val="none"/>
              </w:rPr>
            </w:pPr>
            <w:r>
              <w:rPr>
                <w:rFonts w:hint="eastAsia" w:asciiTheme="minorEastAsia" w:hAnsiTheme="minorEastAsia" w:eastAsiaTheme="minorEastAsia"/>
                <w:color w:val="auto"/>
                <w:sz w:val="18"/>
                <w:szCs w:val="18"/>
                <w:highlight w:val="none"/>
              </w:rPr>
              <w:t>▲</w:t>
            </w:r>
            <w:r>
              <w:rPr>
                <w:rFonts w:hint="eastAsia" w:asciiTheme="minorEastAsia" w:hAnsiTheme="minorEastAsia" w:eastAsiaTheme="minorEastAsia"/>
                <w:bCs/>
                <w:color w:val="auto"/>
                <w:sz w:val="18"/>
                <w:szCs w:val="18"/>
                <w:highlight w:val="none"/>
              </w:rPr>
              <w:t>4）信誉积分管理：</w:t>
            </w:r>
            <w:r>
              <w:rPr>
                <w:rFonts w:asciiTheme="minorEastAsia" w:hAnsiTheme="minorEastAsia" w:eastAsiaTheme="minorEastAsia"/>
                <w:color w:val="auto"/>
                <w:sz w:val="18"/>
                <w:szCs w:val="18"/>
                <w:highlight w:val="none"/>
              </w:rPr>
              <w:t>对在实验过程中用户乱预约占位、占时间、占用实验室资源、违规操作、破坏实验室制度等行为管理</w:t>
            </w:r>
            <w:r>
              <w:rPr>
                <w:rFonts w:hint="eastAsia" w:asciiTheme="minorEastAsia" w:hAnsiTheme="minorEastAsia" w:eastAsiaTheme="minorEastAsia"/>
                <w:color w:val="auto"/>
                <w:sz w:val="18"/>
                <w:szCs w:val="18"/>
                <w:highlight w:val="none"/>
              </w:rPr>
              <w:t>员可扣除一定的信誉积分，信誉积分低于系统设置的限制分值时，用户将无法预约和使用实验室和仪器设</w:t>
            </w:r>
            <w:r>
              <w:rPr>
                <w:rFonts w:asciiTheme="minorEastAsia" w:hAnsiTheme="minorEastAsia" w:eastAsiaTheme="minorEastAsia"/>
                <w:color w:val="auto"/>
                <w:sz w:val="18"/>
                <w:szCs w:val="18"/>
                <w:highlight w:val="none"/>
              </w:rPr>
              <w:t>备。</w:t>
            </w:r>
            <w:r>
              <w:rPr>
                <w:rFonts w:hint="eastAsia" w:asciiTheme="minorEastAsia" w:hAnsiTheme="minorEastAsia" w:eastAsiaTheme="minorEastAsia"/>
                <w:color w:val="auto"/>
                <w:sz w:val="18"/>
                <w:szCs w:val="18"/>
                <w:highlight w:val="none"/>
              </w:rPr>
              <w:t>系统可为每个用户设置信誉积分，并设定各项处罚分值，如：用户提交了送样预约申请并得到审批通</w:t>
            </w:r>
            <w:r>
              <w:rPr>
                <w:rFonts w:asciiTheme="minorEastAsia" w:hAnsiTheme="minorEastAsia" w:eastAsiaTheme="minorEastAsia"/>
                <w:color w:val="auto"/>
                <w:sz w:val="18"/>
                <w:szCs w:val="18"/>
                <w:highlight w:val="none"/>
              </w:rPr>
              <w:t>过确没有履行送样测试、延期付款等，系统视为预约未履行，进行处罚。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rPr>
              <w:t>三</w:t>
            </w:r>
          </w:p>
        </w:tc>
        <w:tc>
          <w:tcPr>
            <w:tcW w:w="1405"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智能物联网应用管理系统</w:t>
            </w:r>
          </w:p>
        </w:tc>
        <w:tc>
          <w:tcPr>
            <w:tcW w:w="7494" w:type="dxa"/>
            <w:tcBorders>
              <w:top w:val="single" w:color="auto" w:sz="4" w:space="0"/>
              <w:left w:val="nil"/>
              <w:bottom w:val="single" w:color="auto" w:sz="4" w:space="0"/>
              <w:right w:val="single" w:color="auto" w:sz="4" w:space="0"/>
            </w:tcBorders>
            <w:vAlign w:val="center"/>
          </w:tcPr>
          <w:p>
            <w:pPr>
              <w:spacing w:line="276" w:lineRule="auto"/>
              <w:jc w:val="left"/>
              <w:rPr>
                <w:rFonts w:cs="宋体" w:asciiTheme="minorEastAsia" w:hAnsiTheme="minorEastAsia" w:eastAsiaTheme="minorEastAsia"/>
                <w:b/>
                <w:color w:val="auto"/>
                <w:szCs w:val="21"/>
                <w:highlight w:val="none"/>
              </w:rPr>
            </w:pPr>
            <w:r>
              <w:rPr>
                <w:rFonts w:hint="eastAsia" w:asciiTheme="minorEastAsia" w:hAnsiTheme="minorEastAsia" w:eastAsiaTheme="minorEastAsia"/>
                <w:color w:val="auto"/>
                <w:sz w:val="18"/>
                <w:szCs w:val="18"/>
                <w:highlight w:val="none"/>
              </w:rPr>
              <w:t>智能物联网应用管理系统主要由于智能门禁系统、视频监控、总电源远程控制以及分工为远程电源控制组成。智能门禁由服务管理软件及智能数据采集终端、智能锁</w:t>
            </w:r>
            <w:r>
              <w:rPr>
                <w:rFonts w:asciiTheme="minorEastAsia" w:hAnsiTheme="minorEastAsia" w:eastAsiaTheme="minorEastAsia"/>
                <w:color w:val="auto"/>
                <w:sz w:val="18"/>
                <w:szCs w:val="18"/>
                <w:highlight w:val="none"/>
              </w:rPr>
              <w:t>/电锁套件等组成</w:t>
            </w:r>
            <w:r>
              <w:rPr>
                <w:rFonts w:hint="eastAsia" w:asciiTheme="minorEastAsia" w:hAnsiTheme="minorEastAsia" w:eastAsiaTheme="minorEastAsia"/>
                <w:color w:val="auto"/>
                <w:sz w:val="18"/>
                <w:szCs w:val="18"/>
                <w:highlight w:val="none"/>
              </w:rPr>
              <w:t>，可实现对仪器设备及实验室开放中的全过程</w:t>
            </w:r>
            <w:r>
              <w:rPr>
                <w:rFonts w:asciiTheme="minorEastAsia" w:hAnsiTheme="minorEastAsia" w:eastAsiaTheme="minorEastAsia"/>
                <w:color w:val="auto"/>
                <w:sz w:val="18"/>
                <w:szCs w:val="18"/>
                <w:highlight w:val="none"/>
              </w:rPr>
              <w:t>管理与控制，实现学生预约身份认证、考勤登记、预习报警、实时计费及授权开门等功能，与分布式远程电源集中控制终端联动，学生刷卡进入时自动分配座位并给相应设备供电；并可记录学生的进出记录，自动的提交到管理服务器，生成学生、仪器设备使用记录等原始的统计资料与依据。</w:t>
            </w:r>
            <w:r>
              <w:rPr>
                <w:rFonts w:hint="eastAsia" w:asciiTheme="minorEastAsia" w:hAnsiTheme="minorEastAsia" w:eastAsiaTheme="minorEastAsia"/>
                <w:color w:val="auto"/>
                <w:sz w:val="18"/>
                <w:szCs w:val="18"/>
                <w:highlight w:val="none"/>
              </w:rPr>
              <w:t>实验室总电源远程控制，实现开放实验室的电源远程控制。视频监控和远程电源控制建设，可以对实验室开放</w:t>
            </w:r>
            <w:r>
              <w:rPr>
                <w:rFonts w:asciiTheme="minorEastAsia" w:hAnsiTheme="minorEastAsia" w:eastAsiaTheme="minorEastAsia"/>
                <w:color w:val="auto"/>
                <w:sz w:val="18"/>
                <w:szCs w:val="18"/>
                <w:highlight w:val="none"/>
              </w:rPr>
              <w:t>后对学生实验行为的全过程</w:t>
            </w:r>
            <w:r>
              <w:rPr>
                <w:rFonts w:hint="eastAsia" w:asciiTheme="minorEastAsia" w:hAnsiTheme="minorEastAsia" w:eastAsiaTheme="minorEastAsia"/>
                <w:color w:val="auto"/>
                <w:sz w:val="18"/>
                <w:szCs w:val="18"/>
                <w:highlight w:val="none"/>
              </w:rPr>
              <w:t>远程监控和录像。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智能门禁管理（智能门禁终端）</w:t>
            </w:r>
          </w:p>
        </w:tc>
        <w:tc>
          <w:tcPr>
            <w:tcW w:w="7494" w:type="dxa"/>
            <w:tcBorders>
              <w:top w:val="single" w:color="auto" w:sz="4" w:space="0"/>
              <w:left w:val="nil"/>
              <w:bottom w:val="single" w:color="auto" w:sz="4" w:space="0"/>
              <w:right w:val="single" w:color="auto" w:sz="4" w:space="0"/>
            </w:tcBorders>
            <w:vAlign w:val="center"/>
          </w:tcPr>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智能门禁终端与实验室综合管理平台为同一品牌，能够配合实验室综合管理平台联动使用。要求智能门禁能与学校统一身份认证平台（一卡通）关联。</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b/>
                <w:bCs/>
                <w:color w:val="auto"/>
                <w:sz w:val="18"/>
                <w:szCs w:val="18"/>
                <w:highlight w:val="none"/>
              </w:rPr>
              <w:t>门禁管理设置：</w:t>
            </w:r>
            <w:r>
              <w:rPr>
                <w:rFonts w:asciiTheme="minorEastAsia" w:hAnsiTheme="minorEastAsia" w:eastAsiaTheme="minorEastAsia"/>
                <w:color w:val="auto"/>
                <w:sz w:val="18"/>
                <w:szCs w:val="18"/>
                <w:highlight w:val="none"/>
              </w:rPr>
              <w:t>设置终端的开门密码，可为实验室管理员设置实验室刷卡终端的开门密码，实现在刷卡终端上不用刷卡，直接输入开门密码授权开门；设置刷卡方式</w:t>
            </w:r>
            <w:r>
              <w:rPr>
                <w:rFonts w:hint="eastAsia" w:asciiTheme="minorEastAsia" w:hAnsiTheme="minorEastAsia" w:eastAsiaTheme="minorEastAsia"/>
                <w:color w:val="auto"/>
                <w:sz w:val="18"/>
                <w:szCs w:val="18"/>
                <w:highlight w:val="none"/>
              </w:rPr>
              <w:t>，可以</w:t>
            </w:r>
            <w:r>
              <w:rPr>
                <w:rFonts w:asciiTheme="minorEastAsia" w:hAnsiTheme="minorEastAsia" w:eastAsiaTheme="minorEastAsia"/>
                <w:color w:val="auto"/>
                <w:sz w:val="18"/>
                <w:szCs w:val="18"/>
                <w:highlight w:val="none"/>
              </w:rPr>
              <w:t>支持只进不出、只出不进，进出型，可控制学生进出实验室的记录与控制方式；远程设置当前开门的状态</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常开门，常关门，刷卡开门</w:t>
            </w:r>
            <w:r>
              <w:rPr>
                <w:rFonts w:hint="eastAsia" w:asciiTheme="minorEastAsia" w:hAnsiTheme="minorEastAsia" w:eastAsiaTheme="minorEastAsia"/>
                <w:color w:val="auto"/>
                <w:sz w:val="18"/>
                <w:szCs w:val="18"/>
                <w:highlight w:val="none"/>
              </w:rPr>
              <w:t>。</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
                <w:bCs/>
                <w:color w:val="auto"/>
                <w:sz w:val="18"/>
                <w:szCs w:val="18"/>
                <w:highlight w:val="none"/>
              </w:rPr>
              <w:t>实验室出入管理</w:t>
            </w:r>
            <w:r>
              <w:rPr>
                <w:rFonts w:hint="eastAsia" w:asciiTheme="minorEastAsia" w:hAnsiTheme="minorEastAsia" w:eastAsiaTheme="minorEastAsia"/>
                <w:b/>
                <w:bCs/>
                <w:color w:val="auto"/>
                <w:sz w:val="18"/>
                <w:szCs w:val="18"/>
                <w:highlight w:val="none"/>
              </w:rPr>
              <w:t>：</w:t>
            </w:r>
            <w:r>
              <w:rPr>
                <w:rFonts w:asciiTheme="minorEastAsia" w:hAnsiTheme="minorEastAsia" w:eastAsiaTheme="minorEastAsia"/>
                <w:color w:val="auto"/>
                <w:sz w:val="18"/>
                <w:szCs w:val="18"/>
                <w:highlight w:val="none"/>
              </w:rPr>
              <w:t>远程控制开门，关门；远程查看当前门的状态；设置门禁管理卡，即一卡可设置打开多个门禁；根据教师分配可控制管理的实验室，也可按实验室分配可管理的老师，两种方式同时使用满足实验</w:t>
            </w:r>
            <w:r>
              <w:rPr>
                <w:rFonts w:hint="eastAsia" w:asciiTheme="minorEastAsia" w:hAnsiTheme="minorEastAsia" w:eastAsiaTheme="minorEastAsia"/>
                <w:color w:val="auto"/>
                <w:sz w:val="18"/>
                <w:szCs w:val="18"/>
                <w:highlight w:val="none"/>
              </w:rPr>
              <w:t>室的管理需求</w:t>
            </w:r>
            <w:r>
              <w:rPr>
                <w:rFonts w:asciiTheme="minorEastAsia" w:hAnsiTheme="minorEastAsia" w:eastAsiaTheme="minorEastAsia"/>
                <w:color w:val="auto"/>
                <w:sz w:val="18"/>
                <w:szCs w:val="18"/>
                <w:highlight w:val="none"/>
              </w:rPr>
              <w:t>人员进出权限管理：根据持卡人的通行权限和进入门的时间段，只有在有权限进入的区域、且在有效时间段内才能读卡进入。如实验室管理员、上级领导视察、实验室施工等；</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
                <w:bCs/>
                <w:color w:val="auto"/>
                <w:sz w:val="18"/>
                <w:szCs w:val="18"/>
                <w:highlight w:val="none"/>
              </w:rPr>
              <w:t>出入记录生成</w:t>
            </w:r>
            <w:r>
              <w:rPr>
                <w:rFonts w:hint="eastAsia" w:asciiTheme="minorEastAsia" w:hAnsiTheme="minorEastAsia" w:eastAsiaTheme="minorEastAsia"/>
                <w:b/>
                <w:bCs/>
                <w:color w:val="auto"/>
                <w:sz w:val="18"/>
                <w:szCs w:val="18"/>
                <w:highlight w:val="none"/>
              </w:rPr>
              <w:t>：</w:t>
            </w:r>
            <w:r>
              <w:rPr>
                <w:rFonts w:asciiTheme="minorEastAsia" w:hAnsiTheme="minorEastAsia" w:eastAsiaTheme="minorEastAsia"/>
                <w:color w:val="auto"/>
                <w:sz w:val="18"/>
                <w:szCs w:val="18"/>
                <w:highlight w:val="none"/>
              </w:rPr>
              <w:t>详细记录每个刷卡进入人员的帐号，时间等信息，并自动提交到管理服务器中，生成使用数据；当断网时，终端自动记录刷卡进出记录在设备内部存储中，当重新联网后，系统自动查询并提取脱机数据到服务器中；在系统中可按时间或实验室统计刷卡进出的人次，人数信息；</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
                <w:bCs/>
                <w:color w:val="auto"/>
                <w:sz w:val="18"/>
                <w:szCs w:val="18"/>
                <w:highlight w:val="none"/>
              </w:rPr>
              <w:t>预约控制</w:t>
            </w:r>
            <w:r>
              <w:rPr>
                <w:rFonts w:hint="eastAsia" w:asciiTheme="minorEastAsia" w:hAnsiTheme="minorEastAsia" w:eastAsiaTheme="minorEastAsia"/>
                <w:b/>
                <w:bCs/>
                <w:color w:val="auto"/>
                <w:sz w:val="18"/>
                <w:szCs w:val="18"/>
                <w:highlight w:val="none"/>
              </w:rPr>
              <w:t>：</w:t>
            </w:r>
            <w:r>
              <w:rPr>
                <w:rFonts w:asciiTheme="minorEastAsia" w:hAnsiTheme="minorEastAsia" w:eastAsiaTheme="minorEastAsia"/>
                <w:color w:val="auto"/>
                <w:sz w:val="18"/>
                <w:szCs w:val="18"/>
                <w:highlight w:val="none"/>
              </w:rPr>
              <w:t xml:space="preserve">与实验开放系统完全整合，根据预约记录、培训状态、账户余额、信誉积分等多因素实时分析并控制授权学生在指定时间段内刷卡开门进入实验室做实验； </w:t>
            </w:r>
          </w:p>
          <w:p>
            <w:pPr>
              <w:spacing w:line="276" w:lineRule="auto"/>
              <w:rPr>
                <w:rFonts w:asciiTheme="minorEastAsia" w:hAnsiTheme="minorEastAsia" w:eastAsiaTheme="minorEastAsia"/>
                <w:b/>
                <w:bCs/>
                <w:color w:val="auto"/>
                <w:sz w:val="18"/>
                <w:szCs w:val="18"/>
                <w:highlight w:val="none"/>
              </w:rPr>
            </w:pPr>
            <w:r>
              <w:rPr>
                <w:rFonts w:asciiTheme="minorEastAsia" w:hAnsiTheme="minorEastAsia" w:eastAsiaTheme="minorEastAsia"/>
                <w:b/>
                <w:bCs/>
                <w:color w:val="auto"/>
                <w:sz w:val="18"/>
                <w:szCs w:val="18"/>
                <w:highlight w:val="none"/>
              </w:rPr>
              <w:t>用户信息显示</w:t>
            </w:r>
            <w:r>
              <w:rPr>
                <w:rFonts w:asciiTheme="minorEastAsia" w:hAnsiTheme="minorEastAsia" w:eastAsiaTheme="minorEastAsia"/>
                <w:color w:val="auto"/>
                <w:sz w:val="18"/>
                <w:szCs w:val="18"/>
                <w:highlight w:val="none"/>
              </w:rPr>
              <w:t>：当用户刷卡进入实验室时，可在终端上显示学生的姓名，学号，状态等信息；</w:t>
            </w:r>
            <w:r>
              <w:rPr>
                <w:rFonts w:asciiTheme="minorEastAsia" w:hAnsiTheme="minorEastAsia" w:eastAsiaTheme="minorEastAsia"/>
                <w:b/>
                <w:bCs/>
                <w:color w:val="auto"/>
                <w:sz w:val="18"/>
                <w:szCs w:val="18"/>
                <w:highlight w:val="none"/>
              </w:rPr>
              <w:t>排位显示</w:t>
            </w:r>
            <w:r>
              <w:rPr>
                <w:rFonts w:asciiTheme="minorEastAsia" w:hAnsiTheme="minorEastAsia" w:eastAsiaTheme="minorEastAsia"/>
                <w:color w:val="auto"/>
                <w:sz w:val="18"/>
                <w:szCs w:val="18"/>
                <w:highlight w:val="none"/>
              </w:rPr>
              <w:t>：当预约用户刷卡时，可在终端上显示学生预约的设备或由系统自动分配的实验工位信息，引导学生去指定的设备实验；</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
                <w:bCs/>
                <w:color w:val="auto"/>
                <w:sz w:val="18"/>
                <w:szCs w:val="18"/>
                <w:highlight w:val="none"/>
              </w:rPr>
              <w:t>上课考勤</w:t>
            </w:r>
            <w:r>
              <w:rPr>
                <w:rFonts w:asciiTheme="minorEastAsia" w:hAnsiTheme="minorEastAsia" w:eastAsiaTheme="minorEastAsia"/>
                <w:color w:val="auto"/>
                <w:sz w:val="18"/>
                <w:szCs w:val="18"/>
                <w:highlight w:val="none"/>
              </w:rPr>
              <w:t>：可与实验教学系统完全整合，根据排课记录记录学生在上课时间段内的进出记录，并自动生成学生的考勤记录，供教师查询统计；</w:t>
            </w:r>
          </w:p>
          <w:p>
            <w:pPr>
              <w:spacing w:line="276" w:lineRule="auto"/>
              <w:rPr>
                <w:rFonts w:asciiTheme="minorEastAsia" w:hAnsiTheme="minorEastAsia" w:eastAsiaTheme="minorEastAsia"/>
                <w:color w:val="auto"/>
                <w:sz w:val="18"/>
                <w:szCs w:val="18"/>
                <w:highlight w:val="none"/>
              </w:rPr>
            </w:pPr>
            <w:r>
              <w:rPr>
                <w:rFonts w:asciiTheme="minorEastAsia" w:hAnsiTheme="minorEastAsia" w:eastAsiaTheme="minorEastAsia"/>
                <w:b/>
                <w:bCs/>
                <w:color w:val="auto"/>
                <w:sz w:val="18"/>
                <w:szCs w:val="18"/>
                <w:highlight w:val="none"/>
              </w:rPr>
              <w:t>实时监控</w:t>
            </w:r>
            <w:r>
              <w:rPr>
                <w:rFonts w:asciiTheme="minorEastAsia" w:hAnsiTheme="minorEastAsia" w:eastAsiaTheme="minorEastAsia"/>
                <w:color w:val="auto"/>
                <w:sz w:val="18"/>
                <w:szCs w:val="18"/>
                <w:highlight w:val="none"/>
              </w:rPr>
              <w:t>：通过控制学生刷卡，管理员可以查看各个实验室当前正在使用的人员及使用情况</w:t>
            </w:r>
            <w:r>
              <w:rPr>
                <w:rFonts w:hint="eastAsia" w:asciiTheme="minorEastAsia" w:hAnsiTheme="minorEastAsia" w:eastAsiaTheme="minorEastAsia"/>
                <w:color w:val="auto"/>
                <w:sz w:val="18"/>
                <w:szCs w:val="18"/>
                <w:highlight w:val="none"/>
              </w:rPr>
              <w:t>。</w:t>
            </w:r>
          </w:p>
          <w:p>
            <w:pPr>
              <w:spacing w:line="276" w:lineRule="auto"/>
              <w:ind w:firstLine="90" w:firstLineChars="5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hint="eastAsia" w:asciiTheme="minorEastAsia" w:hAnsiTheme="minorEastAsia" w:eastAsiaTheme="minorEastAsia"/>
                <w:b/>
                <w:bCs/>
                <w:color w:val="auto"/>
                <w:sz w:val="18"/>
                <w:szCs w:val="18"/>
                <w:highlight w:val="none"/>
              </w:rPr>
              <w:t>通讯方式：</w:t>
            </w:r>
            <w:r>
              <w:rPr>
                <w:rFonts w:hint="eastAsia" w:asciiTheme="minorEastAsia" w:hAnsiTheme="minorEastAsia" w:eastAsiaTheme="minorEastAsia"/>
                <w:color w:val="auto"/>
                <w:sz w:val="18"/>
                <w:szCs w:val="18"/>
                <w:highlight w:val="none"/>
              </w:rPr>
              <w:t>要求设备采用TCP/IP的网络通讯方式，支持跨路由、跨网段通讯功能，并能与服务器直接交换数据，能够与开放业务综合平台联动。</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b/>
                <w:color w:val="auto"/>
                <w:sz w:val="18"/>
                <w:szCs w:val="18"/>
                <w:highlight w:val="none"/>
              </w:rPr>
              <w:t>读写时间：</w:t>
            </w:r>
            <w:r>
              <w:rPr>
                <w:rFonts w:hint="eastAsia" w:asciiTheme="minorEastAsia" w:hAnsiTheme="minorEastAsia" w:eastAsiaTheme="minorEastAsia"/>
                <w:color w:val="auto"/>
                <w:sz w:val="18"/>
                <w:szCs w:val="18"/>
                <w:highlight w:val="none"/>
              </w:rPr>
              <w:t>≤0.3秒；</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b/>
                <w:color w:val="auto"/>
                <w:sz w:val="18"/>
                <w:szCs w:val="18"/>
                <w:highlight w:val="none"/>
              </w:rPr>
              <w:t>读卡距离：</w:t>
            </w:r>
            <w:r>
              <w:rPr>
                <w:rFonts w:hint="eastAsia" w:asciiTheme="minorEastAsia" w:hAnsiTheme="minorEastAsia" w:eastAsiaTheme="minorEastAsia"/>
                <w:color w:val="auto"/>
                <w:sz w:val="18"/>
                <w:szCs w:val="18"/>
                <w:highlight w:val="none"/>
              </w:rPr>
              <w:t>≥50mm。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智能门禁配套</w:t>
            </w:r>
          </w:p>
        </w:tc>
        <w:tc>
          <w:tcPr>
            <w:tcW w:w="7494" w:type="dxa"/>
            <w:tcBorders>
              <w:top w:val="single" w:color="auto" w:sz="4" w:space="0"/>
              <w:left w:val="nil"/>
              <w:bottom w:val="single" w:color="auto" w:sz="4" w:space="0"/>
              <w:right w:val="single" w:color="auto" w:sz="4" w:space="0"/>
            </w:tcBorders>
            <w:vAlign w:val="center"/>
          </w:tcPr>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包含：智能锁体、转换电源、过线器，锁体根据实验室实际情况配备。 </w:t>
            </w:r>
          </w:p>
          <w:p>
            <w:pPr>
              <w:spacing w:line="276" w:lineRule="auto"/>
              <w:ind w:firstLine="180" w:firstLineChars="10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1）设备与智能门禁终端、门禁控制终端结合使用实现刷卡开门； </w:t>
            </w:r>
          </w:p>
          <w:p>
            <w:pPr>
              <w:spacing w:line="276" w:lineRule="auto"/>
              <w:ind w:firstLine="180" w:firstLineChars="10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2）设备与中心管理平台结合实现远程控制开门；</w:t>
            </w:r>
          </w:p>
          <w:p>
            <w:pPr>
              <w:spacing w:line="276" w:lineRule="auto"/>
              <w:ind w:firstLine="180" w:firstLineChars="10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3）支持开关门状态检测及信息反馈； </w:t>
            </w:r>
          </w:p>
          <w:p>
            <w:pPr>
              <w:spacing w:line="276" w:lineRule="auto"/>
              <w:ind w:firstLine="90" w:firstLineChars="5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▲4）防盗门采用的锁体必须支持在断电状态下锁体处于闭合状态，内部依然可安全开门，外部可以用钥匙开锁进出，既要保障实验室日常使用安全又不影响逃生安全。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实验室电源控制</w:t>
            </w:r>
          </w:p>
        </w:tc>
        <w:tc>
          <w:tcPr>
            <w:tcW w:w="7494" w:type="dxa"/>
            <w:tcBorders>
              <w:top w:val="single" w:color="auto" w:sz="4" w:space="0"/>
              <w:left w:val="nil"/>
              <w:bottom w:val="single" w:color="auto" w:sz="4" w:space="0"/>
              <w:right w:val="single" w:color="auto" w:sz="4" w:space="0"/>
            </w:tcBorders>
            <w:vAlign w:val="center"/>
          </w:tcPr>
          <w:p>
            <w:pPr>
              <w:spacing w:line="276" w:lineRule="auto"/>
              <w:ind w:firstLine="270" w:firstLineChars="15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学生</w:t>
            </w:r>
            <w:r>
              <w:rPr>
                <w:rFonts w:asciiTheme="minorEastAsia" w:hAnsiTheme="minorEastAsia" w:eastAsiaTheme="minorEastAsia"/>
                <w:color w:val="auto"/>
                <w:sz w:val="18"/>
                <w:szCs w:val="18"/>
                <w:highlight w:val="none"/>
              </w:rPr>
              <w:t>可通过与智能门禁终端相结合实现身份认证，对</w:t>
            </w:r>
            <w:r>
              <w:rPr>
                <w:rFonts w:hint="eastAsia" w:asciiTheme="minorEastAsia" w:hAnsiTheme="minorEastAsia" w:eastAsiaTheme="minorEastAsia"/>
                <w:color w:val="auto"/>
                <w:sz w:val="18"/>
                <w:szCs w:val="18"/>
                <w:highlight w:val="none"/>
              </w:rPr>
              <w:t>总电源以及分工为</w:t>
            </w:r>
            <w:r>
              <w:rPr>
                <w:rFonts w:asciiTheme="minorEastAsia" w:hAnsiTheme="minorEastAsia" w:eastAsiaTheme="minorEastAsia"/>
                <w:color w:val="auto"/>
                <w:sz w:val="18"/>
                <w:szCs w:val="18"/>
                <w:highlight w:val="none"/>
              </w:rPr>
              <w:t>设备进行供电/断电操作</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管理人员可通过实验室管理系统实时获取</w:t>
            </w:r>
            <w:r>
              <w:rPr>
                <w:rFonts w:hint="eastAsia" w:asciiTheme="minorEastAsia" w:hAnsiTheme="minorEastAsia" w:eastAsiaTheme="minorEastAsia"/>
                <w:color w:val="auto"/>
                <w:sz w:val="18"/>
                <w:szCs w:val="18"/>
                <w:highlight w:val="none"/>
              </w:rPr>
              <w:t>实验室总电源/分工位</w:t>
            </w:r>
            <w:r>
              <w:rPr>
                <w:rFonts w:asciiTheme="minorEastAsia" w:hAnsiTheme="minorEastAsia" w:eastAsiaTheme="minorEastAsia"/>
                <w:color w:val="auto"/>
                <w:sz w:val="18"/>
                <w:szCs w:val="18"/>
                <w:highlight w:val="none"/>
              </w:rPr>
              <w:t>开关状态</w:t>
            </w:r>
            <w:r>
              <w:rPr>
                <w:rFonts w:hint="eastAsia" w:asciiTheme="minorEastAsia" w:hAnsiTheme="minorEastAsia" w:eastAsiaTheme="minorEastAsia"/>
                <w:color w:val="auto"/>
                <w:sz w:val="18"/>
                <w:szCs w:val="18"/>
                <w:highlight w:val="none"/>
              </w:rPr>
              <w:t>，并根据实际情况远程进行供电/断电操作。结合开放实验室管理平台系统可以在一段时间范围外自动断电，确保实验室安全。</w:t>
            </w:r>
          </w:p>
          <w:p>
            <w:pPr>
              <w:spacing w:line="276" w:lineRule="auto"/>
              <w:rPr>
                <w:rFonts w:cs="Arial" w:asciiTheme="minorEastAsia" w:hAnsiTheme="minorEastAsia" w:eastAsiaTheme="minorEastAsia"/>
                <w:b/>
                <w:color w:val="auto"/>
                <w:sz w:val="18"/>
                <w:szCs w:val="18"/>
                <w:highlight w:val="none"/>
              </w:rPr>
            </w:pPr>
            <w:r>
              <w:rPr>
                <w:rFonts w:hint="eastAsia" w:cs="Arial" w:asciiTheme="minorEastAsia" w:hAnsiTheme="minorEastAsia" w:eastAsiaTheme="minorEastAsia"/>
                <w:b/>
                <w:color w:val="auto"/>
                <w:sz w:val="18"/>
                <w:szCs w:val="18"/>
                <w:highlight w:val="none"/>
              </w:rPr>
              <w:t>具体功能要求：</w:t>
            </w:r>
          </w:p>
          <w:p>
            <w:pPr>
              <w:spacing w:line="276" w:lineRule="auto"/>
              <w:ind w:left="-13" w:leftChars="-6"/>
              <w:jc w:val="left"/>
              <w:rPr>
                <w:rFonts w:asciiTheme="minorEastAsia" w:hAnsiTheme="minorEastAsia" w:eastAsiaTheme="minorEastAsia"/>
                <w:color w:val="auto"/>
                <w:szCs w:val="18"/>
                <w:highlight w:val="none"/>
              </w:rPr>
            </w:pPr>
            <w:r>
              <w:rPr>
                <w:rFonts w:hint="eastAsia" w:asciiTheme="minorEastAsia" w:hAnsiTheme="minorEastAsia" w:eastAsiaTheme="minorEastAsia"/>
                <w:color w:val="auto"/>
                <w:sz w:val="18"/>
                <w:szCs w:val="18"/>
                <w:highlight w:val="none"/>
              </w:rPr>
              <w:t>1）</w:t>
            </w:r>
            <w:r>
              <w:rPr>
                <w:rFonts w:asciiTheme="minorEastAsia" w:hAnsiTheme="minorEastAsia" w:eastAsiaTheme="minorEastAsia"/>
                <w:color w:val="auto"/>
                <w:sz w:val="18"/>
                <w:szCs w:val="18"/>
                <w:highlight w:val="none"/>
              </w:rPr>
              <w:t>主要用于对工位型实验室的总电源远程控制管理，包含远程智能电源控制模块、大功率控制模块，断电保护模块，手动/自动智能切换模块等部分；</w:t>
            </w:r>
          </w:p>
          <w:p>
            <w:pPr>
              <w:spacing w:line="276" w:lineRule="auto"/>
              <w:ind w:left="-13" w:leftChars="-6"/>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智能电源控制终端与智能</w:t>
            </w:r>
            <w:r>
              <w:rPr>
                <w:rFonts w:hint="eastAsia" w:asciiTheme="minorEastAsia" w:hAnsiTheme="minorEastAsia" w:eastAsiaTheme="minorEastAsia"/>
                <w:color w:val="auto"/>
                <w:sz w:val="18"/>
                <w:szCs w:val="18"/>
                <w:highlight w:val="none"/>
              </w:rPr>
              <w:t>实验室管理</w:t>
            </w:r>
            <w:r>
              <w:rPr>
                <w:rFonts w:asciiTheme="minorEastAsia" w:hAnsiTheme="minorEastAsia" w:eastAsiaTheme="minorEastAsia"/>
                <w:color w:val="auto"/>
                <w:sz w:val="18"/>
                <w:szCs w:val="18"/>
                <w:highlight w:val="none"/>
              </w:rPr>
              <w:t>平台为同一品牌，</w:t>
            </w:r>
            <w:r>
              <w:rPr>
                <w:rFonts w:hint="eastAsia" w:asciiTheme="minorEastAsia" w:hAnsiTheme="minorEastAsia" w:eastAsiaTheme="minorEastAsia"/>
                <w:color w:val="auto"/>
                <w:sz w:val="18"/>
                <w:szCs w:val="18"/>
                <w:highlight w:val="none"/>
              </w:rPr>
              <w:t>能够</w:t>
            </w:r>
            <w:r>
              <w:rPr>
                <w:rFonts w:asciiTheme="minorEastAsia" w:hAnsiTheme="minorEastAsia" w:eastAsiaTheme="minorEastAsia"/>
                <w:color w:val="auto"/>
                <w:sz w:val="18"/>
                <w:szCs w:val="18"/>
                <w:highlight w:val="none"/>
              </w:rPr>
              <w:t>配合</w:t>
            </w:r>
            <w:r>
              <w:rPr>
                <w:rFonts w:hint="eastAsia" w:asciiTheme="minorEastAsia" w:hAnsiTheme="minorEastAsia" w:eastAsiaTheme="minorEastAsia"/>
                <w:color w:val="auto"/>
                <w:sz w:val="18"/>
                <w:szCs w:val="18"/>
                <w:highlight w:val="none"/>
              </w:rPr>
              <w:t>实验室综合管理</w:t>
            </w:r>
            <w:r>
              <w:rPr>
                <w:rFonts w:asciiTheme="minorEastAsia" w:hAnsiTheme="minorEastAsia" w:eastAsiaTheme="minorEastAsia"/>
                <w:color w:val="auto"/>
                <w:sz w:val="18"/>
                <w:szCs w:val="18"/>
                <w:highlight w:val="none"/>
              </w:rPr>
              <w:t>平台联动使用</w:t>
            </w:r>
            <w:r>
              <w:rPr>
                <w:rFonts w:hint="eastAsia" w:asciiTheme="minorEastAsia" w:hAnsiTheme="minorEastAsia" w:eastAsiaTheme="minorEastAsia"/>
                <w:color w:val="auto"/>
                <w:sz w:val="18"/>
                <w:szCs w:val="18"/>
                <w:highlight w:val="none"/>
              </w:rPr>
              <w:t>；</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3）智能电源控制终端，通过网络远程开关电源，无需连接计算机进行通讯控制；</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4）可将学生预约使用时间段下载至智能电源控制终端中，实现脱机后的定时开关设备电源，脱机计划开关控制；</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5）支持授权管理员使用手机等移动设备远程查看电源控制器开关信息且可远程操控；</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6）可获取设备当前的电流负载功率大小且具有应急预案，提供手动切换电源开关模式，在设备本身发生意外状态下可手动切换至传统实验室供电模式，防止教学及开放事故的发生；</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7）可添加、修改、删除智能远程电源控制终端信息和相关参数并对状态进行设置；</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8）能够</w:t>
            </w:r>
            <w:r>
              <w:rPr>
                <w:rFonts w:asciiTheme="minorEastAsia" w:hAnsiTheme="minorEastAsia" w:eastAsiaTheme="minorEastAsia"/>
                <w:color w:val="auto"/>
                <w:sz w:val="18"/>
                <w:szCs w:val="18"/>
                <w:highlight w:val="none"/>
              </w:rPr>
              <w:t>支持脱机存储最大卡片数量</w:t>
            </w:r>
            <w:r>
              <w:rPr>
                <w:rFonts w:hint="eastAsia" w:asciiTheme="minorEastAsia" w:hAnsiTheme="minorEastAsia" w:eastAsiaTheme="minorEastAsia"/>
                <w:color w:val="auto"/>
                <w:sz w:val="18"/>
                <w:szCs w:val="18"/>
                <w:highlight w:val="none"/>
              </w:rPr>
              <w:t>不少于4</w:t>
            </w:r>
            <w:r>
              <w:rPr>
                <w:rFonts w:asciiTheme="minorEastAsia" w:hAnsiTheme="minorEastAsia" w:eastAsiaTheme="minorEastAsia"/>
                <w:color w:val="auto"/>
                <w:sz w:val="18"/>
                <w:szCs w:val="18"/>
                <w:highlight w:val="none"/>
              </w:rPr>
              <w:t>000张，支持最大存储</w:t>
            </w:r>
            <w:r>
              <w:rPr>
                <w:rFonts w:hint="eastAsia" w:asciiTheme="minorEastAsia" w:hAnsiTheme="minorEastAsia" w:eastAsiaTheme="minorEastAsia"/>
                <w:color w:val="auto"/>
                <w:sz w:val="18"/>
                <w:szCs w:val="18"/>
                <w:highlight w:val="none"/>
              </w:rPr>
              <w:t>不少于</w:t>
            </w:r>
            <w:r>
              <w:rPr>
                <w:rFonts w:asciiTheme="minorEastAsia" w:hAnsiTheme="minorEastAsia" w:eastAsiaTheme="minorEastAsia"/>
                <w:color w:val="auto"/>
                <w:sz w:val="18"/>
                <w:szCs w:val="18"/>
                <w:highlight w:val="none"/>
              </w:rPr>
              <w:t>1</w:t>
            </w:r>
            <w:r>
              <w:rPr>
                <w:rFonts w:hint="eastAsia" w:asciiTheme="minorEastAsia" w:hAnsiTheme="minorEastAsia" w:eastAsiaTheme="minorEastAsia"/>
                <w:color w:val="auto"/>
                <w:sz w:val="18"/>
                <w:szCs w:val="18"/>
                <w:highlight w:val="none"/>
              </w:rPr>
              <w:t>2</w:t>
            </w:r>
            <w:r>
              <w:rPr>
                <w:rFonts w:asciiTheme="minorEastAsia" w:hAnsiTheme="minorEastAsia" w:eastAsiaTheme="minorEastAsia"/>
                <w:color w:val="auto"/>
                <w:sz w:val="18"/>
                <w:szCs w:val="18"/>
                <w:highlight w:val="none"/>
              </w:rPr>
              <w:t>000条刷卡记录；</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9）可与及智能门禁终端子系统联动，通过预约刷卡自动开关实验室总电源； </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10）输入电源：220V/AC 1路电源线接入；</w:t>
            </w:r>
          </w:p>
          <w:p>
            <w:pPr>
              <w:spacing w:line="276" w:lineRule="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11）输出控制：220V/20～</w:t>
            </w:r>
            <w:r>
              <w:rPr>
                <w:rFonts w:asciiTheme="minorEastAsia" w:hAnsiTheme="minorEastAsia" w:eastAsiaTheme="minorEastAsia"/>
                <w:color w:val="auto"/>
                <w:sz w:val="18"/>
                <w:szCs w:val="18"/>
                <w:highlight w:val="none"/>
              </w:rPr>
              <w:t>5</w:t>
            </w:r>
            <w:r>
              <w:rPr>
                <w:rFonts w:hint="eastAsia" w:asciiTheme="minorEastAsia" w:hAnsiTheme="minorEastAsia" w:eastAsiaTheme="minorEastAsia"/>
                <w:color w:val="auto"/>
                <w:sz w:val="18"/>
                <w:szCs w:val="18"/>
                <w:highlight w:val="none"/>
              </w:rPr>
              <w:t>0A/AC 至少4路输出接线端子。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智能视频监控管理</w:t>
            </w:r>
          </w:p>
        </w:tc>
        <w:tc>
          <w:tcPr>
            <w:tcW w:w="7494" w:type="dxa"/>
            <w:tcBorders>
              <w:top w:val="single" w:color="auto" w:sz="4" w:space="0"/>
              <w:left w:val="nil"/>
              <w:bottom w:val="single" w:color="auto" w:sz="4" w:space="0"/>
              <w:right w:val="single" w:color="auto" w:sz="4" w:space="0"/>
            </w:tcBorders>
            <w:vAlign w:val="center"/>
          </w:tcPr>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通过控制摄像机对用户的进入和实验过程进行监控与录像，管控实验全过程，保障开放性实验室的日常教学与开放安全。</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1）要求无需独立的视频监控软件及监控室，系统内嵌至管理平台中，实现只要能够登陆互联网，即可根据权限对监控目标进行浏览、控制，真正实现视频监控与系统平台的联动；</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2）远程监控实验室及仪器动态，保障实验室和仪器设备开放的安全，以及安防安全；</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3）智能视频管理系统需避免校园网等其它网络的广播风暴或网络病毒，不影响远程视频控制与管理的正常使用；</w:t>
            </w:r>
          </w:p>
          <w:p>
            <w:pPr>
              <w:spacing w:line="276" w:lineRule="auto"/>
              <w:ind w:left="-13" w:leftChars="-6"/>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4）可以接入学校原有录播系统的视频信号，不增加硬件监控设备。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管理工作站</w:t>
            </w:r>
          </w:p>
        </w:tc>
        <w:tc>
          <w:tcPr>
            <w:tcW w:w="7494" w:type="dxa"/>
            <w:tcBorders>
              <w:top w:val="single" w:color="auto" w:sz="4" w:space="0"/>
              <w:left w:val="nil"/>
              <w:bottom w:val="single" w:color="auto" w:sz="4" w:space="0"/>
              <w:right w:val="single" w:color="auto" w:sz="4" w:space="0"/>
            </w:tcBorders>
            <w:vAlign w:val="center"/>
          </w:tcPr>
          <w:p>
            <w:pPr>
              <w:spacing w:line="276" w:lineRule="auto"/>
              <w:ind w:left="-13" w:leftChars="-6"/>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微软Surface Laptop 3</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第十代英特尔I7 CPU</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13.5寸触控显示屏</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内存</w:t>
            </w:r>
            <w:r>
              <w:rPr>
                <w:rFonts w:hint="eastAsia" w:asciiTheme="minorEastAsia" w:hAnsiTheme="minorEastAsia" w:eastAsiaTheme="minorEastAsia"/>
                <w:color w:val="auto"/>
                <w:sz w:val="18"/>
                <w:szCs w:val="18"/>
                <w:highlight w:val="none"/>
              </w:rPr>
              <w:t>1</w:t>
            </w:r>
            <w:r>
              <w:rPr>
                <w:rFonts w:asciiTheme="minorEastAsia" w:hAnsiTheme="minorEastAsia" w:eastAsiaTheme="minorEastAsia"/>
                <w:color w:val="auto"/>
                <w:sz w:val="18"/>
                <w:szCs w:val="18"/>
                <w:highlight w:val="none"/>
              </w:rPr>
              <w:t>6G</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硬盘1T固态</w:t>
            </w:r>
            <w:r>
              <w:rPr>
                <w:rFonts w:hint="eastAsia" w:asciiTheme="minorEastAsia" w:hAnsiTheme="minorEastAsia" w:eastAsiaTheme="minorEastAsia"/>
                <w:color w:val="auto"/>
                <w:sz w:val="18"/>
                <w:szCs w:val="18"/>
                <w:highlight w:val="none"/>
              </w:rPr>
              <w:t>，微软</w:t>
            </w:r>
            <w:r>
              <w:rPr>
                <w:rFonts w:asciiTheme="minorEastAsia" w:hAnsiTheme="minorEastAsia" w:eastAsiaTheme="minorEastAsia"/>
                <w:color w:val="auto"/>
                <w:sz w:val="18"/>
                <w:szCs w:val="18"/>
                <w:highlight w:val="none"/>
              </w:rPr>
              <w:t>蓝牙鼠标</w:t>
            </w:r>
            <w:r>
              <w:rPr>
                <w:rFonts w:hint="eastAsia" w:asciiTheme="minorEastAsia" w:hAnsiTheme="minorEastAsia" w:eastAsiaTheme="minorEastAsia"/>
                <w:color w:val="auto"/>
                <w:sz w:val="18"/>
                <w:szCs w:val="18"/>
                <w:highlight w:val="none"/>
              </w:rPr>
              <w:t>、</w:t>
            </w:r>
            <w:r>
              <w:rPr>
                <w:rFonts w:asciiTheme="minorEastAsia" w:hAnsiTheme="minorEastAsia" w:eastAsiaTheme="minorEastAsia"/>
                <w:color w:val="auto"/>
                <w:sz w:val="18"/>
                <w:szCs w:val="18"/>
                <w:highlight w:val="none"/>
              </w:rPr>
              <w:t>触控笔</w:t>
            </w:r>
            <w:r>
              <w:rPr>
                <w:rFonts w:hint="eastAsia" w:asciiTheme="minorEastAsia" w:hAnsiTheme="minorEastAsia" w:eastAsiaTheme="minorEastAsia"/>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Merge w:val="restart"/>
            <w:tcBorders>
              <w:top w:val="single" w:color="auto" w:sz="4" w:space="0"/>
              <w:left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6</w:t>
            </w:r>
          </w:p>
        </w:tc>
        <w:tc>
          <w:tcPr>
            <w:tcW w:w="696" w:type="dxa"/>
            <w:vMerge w:val="restart"/>
            <w:tcBorders>
              <w:top w:val="single" w:color="auto" w:sz="4" w:space="0"/>
              <w:left w:val="nil"/>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网络设备及其他辅材</w:t>
            </w: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交换机</w:t>
            </w:r>
          </w:p>
        </w:tc>
        <w:tc>
          <w:tcPr>
            <w:tcW w:w="7494" w:type="dxa"/>
            <w:tcBorders>
              <w:top w:val="single" w:color="auto" w:sz="4" w:space="0"/>
              <w:left w:val="nil"/>
              <w:bottom w:val="single" w:color="auto" w:sz="4" w:space="0"/>
              <w:right w:val="single" w:color="auto" w:sz="4" w:space="0"/>
            </w:tcBorders>
            <w:vAlign w:val="center"/>
          </w:tcPr>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满足门禁系统和实验室电源控制布置需要。预留后期扩展接口。</w:t>
            </w:r>
            <w:r>
              <w:rPr>
                <w:rFonts w:hint="eastAsia" w:cs="宋体" w:asciiTheme="minorEastAsia" w:hAnsiTheme="minorEastAsia" w:eastAsiaTheme="minorEastAsia"/>
                <w:color w:val="auto"/>
                <w:sz w:val="18"/>
                <w:szCs w:val="21"/>
                <w:highlight w:val="none"/>
              </w:rPr>
              <w:t>规格要求：</w:t>
            </w:r>
            <w:r>
              <w:rPr>
                <w:rFonts w:cs="宋体" w:asciiTheme="minorEastAsia" w:hAnsiTheme="minorEastAsia" w:eastAsiaTheme="minorEastAsia"/>
                <w:color w:val="auto"/>
                <w:sz w:val="18"/>
                <w:szCs w:val="21"/>
                <w:highlight w:val="none"/>
              </w:rPr>
              <w:t xml:space="preserve"> </w:t>
            </w:r>
            <w:r>
              <w:rPr>
                <w:rFonts w:hint="eastAsia" w:cs="宋体" w:asciiTheme="minorEastAsia" w:hAnsiTheme="minorEastAsia" w:eastAsiaTheme="minorEastAsia"/>
                <w:color w:val="auto"/>
                <w:sz w:val="18"/>
                <w:szCs w:val="21"/>
                <w:highlight w:val="none"/>
              </w:rPr>
              <w:t>24口千兆以太网交换机，背板带宽不小于48Gbps，包转发率不低于35.71Mpps，符合网络标准IEEE 802.3，IEEE 802.3u，IEEE 802.3ab，电源功率不高于20W。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Merge w:val="continue"/>
            <w:tcBorders>
              <w:left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696" w:type="dxa"/>
            <w:vMerge w:val="continue"/>
            <w:tcBorders>
              <w:left w:val="nil"/>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网线</w:t>
            </w:r>
          </w:p>
        </w:tc>
        <w:tc>
          <w:tcPr>
            <w:tcW w:w="7494"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 w:val="18"/>
                <w:szCs w:val="18"/>
                <w:highlight w:val="none"/>
              </w:rPr>
              <w:t>满足门禁系统和实验室电源控制布置需要，</w:t>
            </w:r>
            <w:r>
              <w:rPr>
                <w:rFonts w:hint="eastAsia" w:cs="宋体" w:asciiTheme="minorEastAsia" w:hAnsiTheme="minorEastAsia" w:eastAsiaTheme="minorEastAsia"/>
                <w:color w:val="auto"/>
                <w:sz w:val="18"/>
                <w:szCs w:val="18"/>
                <w:highlight w:val="none"/>
              </w:rPr>
              <w:t>六类</w:t>
            </w:r>
            <w:r>
              <w:rPr>
                <w:rFonts w:cs="宋体" w:asciiTheme="minorEastAsia" w:hAnsiTheme="minorEastAsia" w:eastAsiaTheme="minorEastAsia"/>
                <w:color w:val="auto"/>
                <w:sz w:val="18"/>
                <w:szCs w:val="18"/>
                <w:highlight w:val="none"/>
              </w:rPr>
              <w:t>纯铜网线。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Merge w:val="continue"/>
            <w:tcBorders>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p>
        </w:tc>
        <w:tc>
          <w:tcPr>
            <w:tcW w:w="696" w:type="dxa"/>
            <w:vMerge w:val="continue"/>
            <w:tcBorders>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p>
        </w:tc>
        <w:tc>
          <w:tcPr>
            <w:tcW w:w="709" w:type="dxa"/>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其他辅材</w:t>
            </w:r>
          </w:p>
        </w:tc>
        <w:tc>
          <w:tcPr>
            <w:tcW w:w="7494" w:type="dxa"/>
            <w:tcBorders>
              <w:top w:val="single" w:color="auto" w:sz="4" w:space="0"/>
              <w:left w:val="nil"/>
              <w:bottom w:val="single" w:color="auto" w:sz="4" w:space="0"/>
              <w:right w:val="single" w:color="auto" w:sz="4" w:space="0"/>
            </w:tcBorders>
            <w:vAlign w:val="center"/>
          </w:tcPr>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满足整个项目布置需的所有辅材（17套门禁安装，3套电源管理安装）（包含3*1.0电源线不少于400米，3cm宽PVC线槽不少于60米，可伸缩金属防拉套管不少于60米，</w:t>
            </w:r>
            <w:r>
              <w:rPr>
                <w:rFonts w:asciiTheme="minorEastAsia" w:hAnsiTheme="minorEastAsia" w:eastAsiaTheme="minorEastAsia"/>
                <w:color w:val="auto"/>
                <w:sz w:val="18"/>
                <w:szCs w:val="18"/>
                <w:highlight w:val="none"/>
              </w:rPr>
              <w:t>86型</w:t>
            </w:r>
            <w:r>
              <w:rPr>
                <w:rFonts w:hint="eastAsia" w:asciiTheme="minorEastAsia" w:hAnsiTheme="minorEastAsia" w:eastAsiaTheme="minorEastAsia"/>
                <w:color w:val="auto"/>
                <w:sz w:val="18"/>
                <w:szCs w:val="18"/>
                <w:highlight w:val="none"/>
              </w:rPr>
              <w:t>明盒不少于17个，以及其他辅材</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7</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配套施工</w:t>
            </w:r>
          </w:p>
        </w:tc>
        <w:tc>
          <w:tcPr>
            <w:tcW w:w="7494" w:type="dxa"/>
            <w:tcBorders>
              <w:top w:val="single" w:color="auto" w:sz="4" w:space="0"/>
              <w:left w:val="nil"/>
              <w:bottom w:val="single" w:color="auto" w:sz="4" w:space="0"/>
              <w:right w:val="single" w:color="auto" w:sz="4" w:space="0"/>
            </w:tcBorders>
            <w:vAlign w:val="center"/>
          </w:tcPr>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整个系统的弱电施工，包含设备安装，开孔，开槽，拉网线（必须把所有门禁控制网线汇聚到弱电间）调试等。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8</w:t>
            </w:r>
          </w:p>
        </w:tc>
        <w:tc>
          <w:tcPr>
            <w:tcW w:w="1405" w:type="dxa"/>
            <w:gridSpan w:val="2"/>
            <w:tcBorders>
              <w:top w:val="single" w:color="auto" w:sz="4" w:space="0"/>
              <w:left w:val="nil"/>
              <w:bottom w:val="single" w:color="auto" w:sz="4" w:space="0"/>
              <w:right w:val="single" w:color="auto" w:sz="4" w:space="0"/>
            </w:tcBorders>
            <w:vAlign w:val="center"/>
          </w:tcPr>
          <w:p>
            <w:pPr>
              <w:pStyle w:val="33"/>
              <w:spacing w:line="276" w:lineRule="auto"/>
              <w:ind w:firstLine="0" w:firstLineChars="0"/>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后期服务</w:t>
            </w:r>
          </w:p>
        </w:tc>
        <w:tc>
          <w:tcPr>
            <w:tcW w:w="7494" w:type="dxa"/>
            <w:tcBorders>
              <w:top w:val="single" w:color="auto" w:sz="4" w:space="0"/>
              <w:left w:val="nil"/>
              <w:bottom w:val="single" w:color="auto" w:sz="4" w:space="0"/>
              <w:right w:val="single" w:color="auto" w:sz="4" w:space="0"/>
            </w:tcBorders>
            <w:vAlign w:val="center"/>
          </w:tcPr>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软件部署：★要求院级管理平台软件除本项目计划建设的二级学院外，还能部署到其它二级学院使用，相同功能软件平台不再收费，只收取二级平台的系统部署、调试、数据清理、录入以及系统的维护费用，其收费标准不得高于本投标分项表2.6报价单价。</w:t>
            </w:r>
          </w:p>
          <w:p>
            <w:pPr>
              <w:spacing w:line="276"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硬件部分：★要求在本校同类实验室扩建中，所有与本项目软件联动的同类硬件及配套施工，其报价标准不得高于本次投标分项表单价。</w:t>
            </w:r>
          </w:p>
        </w:tc>
      </w:tr>
    </w:tbl>
    <w:p>
      <w:pPr>
        <w:widowControl/>
        <w:jc w:val="left"/>
        <w:rPr>
          <w:color w:val="auto"/>
          <w:highlight w:val="none"/>
        </w:rPr>
      </w:pPr>
    </w:p>
    <w:p>
      <w:pPr>
        <w:rPr>
          <w:color w:val="auto"/>
          <w:highlight w:val="none"/>
        </w:rPr>
      </w:pPr>
    </w:p>
    <w:p>
      <w:pPr>
        <w:widowControl/>
        <w:jc w:val="left"/>
        <w:rPr>
          <w:rFonts w:hAnsi="宋体"/>
          <w:b/>
          <w:color w:val="auto"/>
          <w:sz w:val="36"/>
          <w:szCs w:val="36"/>
          <w:highlight w:val="none"/>
        </w:rPr>
      </w:pPr>
      <w:bookmarkStart w:id="8" w:name="_Toc462564147"/>
      <w:r>
        <w:rPr>
          <w:rFonts w:hAnsi="宋体"/>
          <w:b/>
          <w:color w:val="auto"/>
          <w:sz w:val="28"/>
          <w:szCs w:val="28"/>
          <w:highlight w:val="none"/>
        </w:rPr>
        <w:br w:type="page"/>
      </w: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9"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（项目名称）</w:t>
      </w:r>
      <w:r>
        <w:rPr>
          <w:rFonts w:hint="eastAsia" w:ascii="宋体" w:hAnsi="宋体"/>
          <w:b/>
          <w:color w:val="auto"/>
          <w:sz w:val="24"/>
          <w:highlight w:val="none"/>
          <w:u w:val="single"/>
          <w:lang w:val="zh-CN"/>
        </w:rPr>
        <w:t xml:space="preserve">        </w:t>
      </w:r>
      <w:r>
        <w:rPr>
          <w:rFonts w:hint="eastAsia" w:ascii="宋体" w:hAnsi="宋体"/>
          <w:color w:val="auto"/>
          <w:sz w:val="24"/>
          <w:highlight w:val="none"/>
          <w:lang w:val="zh-CN"/>
        </w:rPr>
        <w:t>（项目编号）投标邀请，正式授权下述签字人</w:t>
      </w:r>
      <w:r>
        <w:rPr>
          <w:rFonts w:hint="eastAsia" w:ascii="宋体" w:hAnsi="宋体"/>
          <w:color w:val="auto"/>
          <w:sz w:val="24"/>
          <w:highlight w:val="none"/>
          <w:u w:val="single"/>
          <w:lang w:val="zh-CN"/>
        </w:rPr>
        <w:t xml:space="preserve">        </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 xml:space="preserve">代表投标人 </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2"/>
          <w:szCs w:val="22"/>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40" w:firstLineChars="200"/>
        <w:rPr>
          <w:rFonts w:ascii="宋体" w:hAnsi="宋体"/>
          <w:color w:val="auto"/>
          <w:sz w:val="24"/>
          <w:highlight w:val="none"/>
          <w:lang w:val="zh-CN"/>
        </w:rPr>
      </w:pPr>
      <w:r>
        <w:rPr>
          <w:rFonts w:ascii="宋体" w:hAnsi="宋体"/>
          <w:color w:val="auto"/>
          <w:sz w:val="22"/>
          <w:szCs w:val="22"/>
          <w:highlight w:val="none"/>
        </w:rPr>
        <w:t>2</w:t>
      </w:r>
      <w:r>
        <w:rPr>
          <w:rFonts w:hint="eastAsia" w:ascii="宋体" w:hAnsi="宋体"/>
          <w:color w:val="auto"/>
          <w:sz w:val="22"/>
          <w:szCs w:val="22"/>
          <w:highlight w:val="none"/>
        </w:rPr>
        <w:t>、</w:t>
      </w:r>
      <w:r>
        <w:rPr>
          <w:rFonts w:hint="eastAsia" w:ascii="宋体" w:hAnsi="宋体"/>
          <w:color w:val="auto"/>
          <w:sz w:val="22"/>
          <w:szCs w:val="22"/>
          <w:highlight w:val="none"/>
          <w:lang w:val="zh-CN"/>
        </w:rPr>
        <w:t>按招标要求，我们的投标总报价为人民币</w:t>
      </w:r>
      <w:r>
        <w:rPr>
          <w:rFonts w:hint="eastAsia" w:ascii="宋体" w:hAnsi="宋体"/>
          <w:color w:val="auto"/>
          <w:sz w:val="24"/>
          <w:highlight w:val="none"/>
          <w:lang w:val="zh-CN"/>
        </w:rPr>
        <w:t>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hint="eastAsia" w:ascii="宋体" w:hAnsi="宋体"/>
          <w:color w:val="auto"/>
          <w:sz w:val="24"/>
          <w:highlight w:val="none"/>
          <w:u w:val="single"/>
          <w:lang w:val="zh-CN"/>
        </w:rPr>
        <w:t xml:space="preserve">         </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r>
        <w:rPr>
          <w:rFonts w:hint="eastAsia"/>
          <w:b/>
          <w:color w:val="auto"/>
          <w:sz w:val="28"/>
          <w:szCs w:val="28"/>
          <w:highlight w:val="none"/>
        </w:rPr>
        <w:t>服务要求</w:t>
      </w:r>
    </w:p>
    <w:bookmarkEnd w:id="8"/>
    <w:bookmarkEnd w:id="9"/>
    <w:p>
      <w:pPr>
        <w:adjustRightInd w:val="0"/>
        <w:snapToGrid w:val="0"/>
        <w:spacing w:before="156" w:beforeLines="50"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（一）投标人须提供优质的培训服务，制定相应的培训计划和培训方案，对系统应用人员进行系统的培训，帮助学校顺利实施该项目，使校方人员熟悉运用，提高业务能力和专业技术水平。</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（二）产品要求：</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中标方应按采购文件规定的货物性能、技术要求、质量标准向采购方提供未经使用的全新产品。</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采购方提供的货物在质量期内因货物本身的质量问题发生故障，招标方应负责免费更换。对达不到技术要求者，根据实际情况，经双方协商，可按以下办法处理：</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（1）更换：由中标方承担所发生的全部费用。</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（2）贬值处理：由双方合议定价。</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（3）退货处理：中标方应退还采购方支付的合同款，同时应承担该货物的直接费用（运输、保险、检验、货款利息及银行手续费等）。</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如在使用过程中发生质量问题，中标方在接到甲方通知后在2小时内到达采购方现场。</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在质保期内，中标方应对货物出现的质量及安全问题负责处理解决并承担一切费用。</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2.5上述的货物免费保修期为2年，因人为因素出现的故障不在免费保修范围内。超过保修期的机器设备，终生维修，维修时只收部件成本费。</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（三）其他要求：</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新设备的采购、安装调试、人员培训、后续维修服务等全部由中标人完成，投标人投标报价包括项目所有设备（材料）的采购、运输、施工、安装调试、人员培训至验收合格的一切费用。</w:t>
      </w:r>
    </w:p>
    <w:p>
      <w:pPr>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（四）有关说明：</w:t>
      </w:r>
    </w:p>
    <w:p>
      <w:pPr>
        <w:tabs>
          <w:tab w:val="left" w:pos="945"/>
        </w:tabs>
        <w:adjustRightInd w:val="0"/>
        <w:snapToGrid w:val="0"/>
        <w:spacing w:line="360" w:lineRule="auto"/>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1.投标总报价包括满足本项目要求的所有产品及其配件、包装、运杂、安装调试及售后服务等从项目中标起到项目正式交付以及质保期内所发生的一切费用。</w:t>
      </w:r>
    </w:p>
    <w:p>
      <w:pPr>
        <w:tabs>
          <w:tab w:val="left" w:pos="525"/>
          <w:tab w:val="left" w:pos="945"/>
        </w:tabs>
        <w:adjustRightInd w:val="0"/>
        <w:snapToGrid w:val="0"/>
        <w:spacing w:line="360" w:lineRule="auto"/>
        <w:ind w:left="52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2.完工期：供方于合同生效之日起7个工作日内至需方指定地点施工,并在自施工入场45天内完成设备运输（含上、下力）、安装调试等，所有费用由供方承担。安装调试完毕后需方用户负责试用并签收。</w:t>
      </w:r>
    </w:p>
    <w:p>
      <w:pPr>
        <w:rPr>
          <w:rFonts w:ascii="仿宋" w:hAnsi="仿宋" w:eastAsia="仿宋" w:cs="仿宋"/>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附件4：评标方法及评标标准</w:t>
      </w:r>
    </w:p>
    <w:tbl>
      <w:tblPr>
        <w:tblStyle w:val="1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6865"/>
        <w:gridCol w:w="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817" w:type="dxa"/>
            <w:vAlign w:val="center"/>
          </w:tcPr>
          <w:p>
            <w:pPr>
              <w:kinsoku w:val="0"/>
              <w:overflowPunct w:val="0"/>
              <w:spacing w:before="88" w:line="300" w:lineRule="auto"/>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134" w:type="dxa"/>
            <w:vAlign w:val="center"/>
          </w:tcPr>
          <w:p>
            <w:pPr>
              <w:kinsoku w:val="0"/>
              <w:overflowPunct w:val="0"/>
              <w:spacing w:before="88"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评审因素</w:t>
            </w:r>
          </w:p>
        </w:tc>
        <w:tc>
          <w:tcPr>
            <w:tcW w:w="6865" w:type="dxa"/>
            <w:vAlign w:val="center"/>
          </w:tcPr>
          <w:p>
            <w:pPr>
              <w:kinsoku w:val="0"/>
              <w:overflowPunct w:val="0"/>
              <w:spacing w:before="88" w:line="300" w:lineRule="auto"/>
              <w:ind w:right="34" w:rightChars="16"/>
              <w:jc w:val="center"/>
              <w:rPr>
                <w:rFonts w:ascii="宋体" w:hAnsi="宋体" w:cs="宋体"/>
                <w:bCs/>
                <w:color w:val="auto"/>
                <w:kern w:val="0"/>
                <w:sz w:val="24"/>
                <w:highlight w:val="none"/>
              </w:rPr>
            </w:pPr>
            <w:r>
              <w:rPr>
                <w:rFonts w:hint="eastAsia" w:ascii="宋体" w:hAnsi="宋体" w:cs="宋体"/>
                <w:bCs/>
                <w:color w:val="auto"/>
                <w:kern w:val="0"/>
                <w:sz w:val="24"/>
                <w:highlight w:val="none"/>
              </w:rPr>
              <w:t>评分细节</w:t>
            </w:r>
          </w:p>
        </w:tc>
        <w:tc>
          <w:tcPr>
            <w:tcW w:w="790" w:type="dxa"/>
            <w:vAlign w:val="center"/>
          </w:tcPr>
          <w:p>
            <w:pPr>
              <w:kinsoku w:val="0"/>
              <w:overflowPunct w:val="0"/>
              <w:spacing w:before="88" w:line="300" w:lineRule="auto"/>
              <w:rPr>
                <w:rFonts w:ascii="宋体" w:hAnsi="宋体" w:cs="宋体"/>
                <w:bCs/>
                <w:color w:val="auto"/>
                <w:kern w:val="0"/>
                <w:sz w:val="24"/>
                <w:highlight w:val="none"/>
              </w:rPr>
            </w:pPr>
            <w:r>
              <w:rPr>
                <w:rFonts w:hint="eastAsia" w:ascii="宋体" w:hAnsi="宋体" w:cs="宋体"/>
                <w:bCs/>
                <w:color w:val="auto"/>
                <w:kern w:val="0"/>
                <w:sz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606" w:type="dxa"/>
            <w:gridSpan w:val="4"/>
          </w:tcPr>
          <w:p>
            <w:pPr>
              <w:kinsoku w:val="0"/>
              <w:overflowPunct w:val="0"/>
              <w:spacing w:before="88" w:line="300" w:lineRule="auto"/>
              <w:rPr>
                <w:rFonts w:ascii="宋体" w:hAnsi="宋体" w:cs="宋体"/>
                <w:bCs/>
                <w:color w:val="auto"/>
                <w:kern w:val="0"/>
                <w:sz w:val="24"/>
                <w:highlight w:val="none"/>
              </w:rPr>
            </w:pPr>
            <w:r>
              <w:rPr>
                <w:rFonts w:hint="eastAsia" w:ascii="宋体" w:hAnsi="宋体" w:cs="宋体"/>
                <w:bCs/>
                <w:color w:val="auto"/>
                <w:kern w:val="0"/>
                <w:sz w:val="24"/>
                <w:highlight w:val="none"/>
              </w:rPr>
              <w:t>1、价格部分（30分）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817" w:type="dxa"/>
            <w:vAlign w:val="center"/>
          </w:tcPr>
          <w:p>
            <w:pPr>
              <w:kinsoku w:val="0"/>
              <w:overflowPunct w:val="0"/>
              <w:spacing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1.1</w:t>
            </w:r>
          </w:p>
        </w:tc>
        <w:tc>
          <w:tcPr>
            <w:tcW w:w="1134" w:type="dxa"/>
            <w:vAlign w:val="center"/>
          </w:tcPr>
          <w:p>
            <w:pPr>
              <w:kinsoku w:val="0"/>
              <w:overflowPunct w:val="0"/>
              <w:spacing w:line="300" w:lineRule="auto"/>
              <w:ind w:right="155"/>
              <w:jc w:val="center"/>
              <w:rPr>
                <w:rFonts w:ascii="宋体" w:hAnsi="宋体" w:cs="宋体"/>
                <w:bCs/>
                <w:color w:val="auto"/>
                <w:kern w:val="0"/>
                <w:sz w:val="24"/>
                <w:highlight w:val="none"/>
              </w:rPr>
            </w:pPr>
            <w:r>
              <w:rPr>
                <w:rFonts w:hint="eastAsia" w:ascii="宋体" w:hAnsi="宋体" w:cs="宋体"/>
                <w:bCs/>
                <w:color w:val="auto"/>
                <w:kern w:val="0"/>
                <w:sz w:val="24"/>
                <w:highlight w:val="none"/>
              </w:rPr>
              <w:t>价格分</w:t>
            </w:r>
          </w:p>
        </w:tc>
        <w:tc>
          <w:tcPr>
            <w:tcW w:w="6865" w:type="dxa"/>
          </w:tcPr>
          <w:p>
            <w:pPr>
              <w:spacing w:line="300" w:lineRule="auto"/>
              <w:rPr>
                <w:rFonts w:ascii="宋体" w:hAnsi="宋体" w:cs="宋体"/>
                <w:bCs/>
                <w:color w:val="auto"/>
                <w:kern w:val="0"/>
                <w:sz w:val="24"/>
                <w:highlight w:val="none"/>
              </w:rPr>
            </w:pPr>
            <w:r>
              <w:rPr>
                <w:rFonts w:hint="eastAsia" w:ascii="宋体" w:hAnsi="宋体" w:cs="宋体"/>
                <w:color w:val="auto"/>
                <w:kern w:val="0"/>
                <w:szCs w:val="21"/>
                <w:highlight w:val="none"/>
              </w:rPr>
              <w:t>价格分采用低价优先法计算，即满足招标文件要求且报价最低的供应商报价为评标基准价，其价格分为满分</w:t>
            </w:r>
            <w:r>
              <w:rPr>
                <w:rFonts w:hint="eastAsia" w:ascii="宋体" w:hAnsi="宋体"/>
                <w:color w:val="auto"/>
                <w:szCs w:val="21"/>
                <w:highlight w:val="none"/>
              </w:rPr>
              <w:t>30</w:t>
            </w:r>
            <w:r>
              <w:rPr>
                <w:rFonts w:hint="eastAsia" w:ascii="宋体" w:hAnsi="宋体" w:cs="宋体"/>
                <w:color w:val="auto"/>
                <w:kern w:val="0"/>
                <w:szCs w:val="21"/>
                <w:highlight w:val="none"/>
              </w:rPr>
              <w:t>分，其它投标人的价格分统一按照以下公式计算：投标报价得分=（评标基准价/该投标人的投标报价）×</w:t>
            </w:r>
            <w:r>
              <w:rPr>
                <w:rFonts w:hint="eastAsia" w:ascii="宋体" w:hAnsi="宋体"/>
                <w:color w:val="auto"/>
                <w:szCs w:val="21"/>
                <w:highlight w:val="none"/>
              </w:rPr>
              <w:t>30</w:t>
            </w:r>
            <w:r>
              <w:rPr>
                <w:rFonts w:hint="eastAsia" w:ascii="宋体" w:hAnsi="宋体" w:cs="宋体"/>
                <w:color w:val="auto"/>
                <w:kern w:val="0"/>
                <w:szCs w:val="21"/>
                <w:highlight w:val="none"/>
              </w:rPr>
              <w:t>分。分值保留小数点后1位。</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06" w:type="dxa"/>
            <w:gridSpan w:val="4"/>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2、技术部分（57分）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trPr>
        <w:tc>
          <w:tcPr>
            <w:tcW w:w="817"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2.1</w:t>
            </w:r>
          </w:p>
        </w:tc>
        <w:tc>
          <w:tcPr>
            <w:tcW w:w="1134"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865" w:type="dxa"/>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设备技术参数全部满足招标要求的得满分31分；打★号指标为必须满足项，如有负偏离将作为无效标；非打★号指标，有一项负偏离扣2分，扣完为止。严重负偏离影响设备性能的经半数以上评委认定，本项得0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各投标供应商均应如实填写偏离情况，技术参数性能等偏离不能改变采购产品使用的质量和功能，否则为无效投标。</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3" w:hRule="atLeast"/>
        </w:trPr>
        <w:tc>
          <w:tcPr>
            <w:tcW w:w="817" w:type="dxa"/>
            <w:vMerge w:val="restart"/>
            <w:vAlign w:val="center"/>
          </w:tcPr>
          <w:p>
            <w:pPr>
              <w:spacing w:line="300" w:lineRule="auto"/>
              <w:jc w:val="center"/>
              <w:rPr>
                <w:rFonts w:ascii="宋体" w:hAnsi="宋体" w:cs="宋体"/>
                <w:color w:val="auto"/>
                <w:kern w:val="0"/>
                <w:sz w:val="24"/>
                <w:highlight w:val="none"/>
              </w:rPr>
            </w:pPr>
            <w:r>
              <w:rPr>
                <w:rFonts w:ascii="宋体" w:hAnsi="宋体" w:cs="宋体"/>
                <w:color w:val="auto"/>
                <w:kern w:val="0"/>
                <w:sz w:val="24"/>
                <w:highlight w:val="none"/>
              </w:rPr>
              <w:t>2.2</w:t>
            </w:r>
          </w:p>
        </w:tc>
        <w:tc>
          <w:tcPr>
            <w:tcW w:w="1134" w:type="dxa"/>
            <w:vMerge w:val="restart"/>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现场展示演示</w:t>
            </w:r>
          </w:p>
        </w:tc>
        <w:tc>
          <w:tcPr>
            <w:tcW w:w="6865"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投标单位根据招标文件参数要求，提供演示(讲解)：</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1、对校级平台和院级平台分别进行功能演示，（内容必须包含：用户权限设置、数据呈现、实验室教学管理、实验室开放管理、信誉积分管理、物联网管控等）；</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评委根据演示情况，业务清晰、内容覆盖全面、功能先进完善、用户体验好、扩展性强的得8分；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评委根据演示情况，业务较清晰、内容覆盖较全面、功能较先进完善、用户体验较好、扩展性较强的得5分；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评委根据演示情况，业务不够清晰、内容覆盖不够全面、功能不够先进完善、用户体验不够好、扩展性不够强的得2分；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如不提供原型软件演示（只提供PPT、WORD等形式讲解的），此项评分将记为0分。</w:t>
            </w:r>
          </w:p>
          <w:p>
            <w:pPr>
              <w:spacing w:line="300" w:lineRule="auto"/>
              <w:jc w:val="left"/>
              <w:rPr>
                <w:rFonts w:cs="宋体"/>
                <w:b/>
                <w:bCs/>
                <w:color w:val="auto"/>
                <w:kern w:val="0"/>
                <w:sz w:val="24"/>
                <w:highlight w:val="none"/>
              </w:rPr>
            </w:pPr>
            <w:r>
              <w:rPr>
                <w:rFonts w:hint="eastAsia" w:ascii="宋体" w:hAnsi="宋体"/>
                <w:b/>
                <w:color w:val="auto"/>
                <w:szCs w:val="21"/>
                <w:highlight w:val="none"/>
              </w:rPr>
              <w:t>投标单位需要提供演示视频</w:t>
            </w:r>
            <w:r>
              <w:rPr>
                <w:rFonts w:hint="eastAsia" w:ascii="宋体" w:hAnsi="宋体"/>
                <w:b/>
                <w:i/>
                <w:color w:val="auto"/>
                <w:szCs w:val="21"/>
                <w:highlight w:val="none"/>
                <w:u w:val="single"/>
              </w:rPr>
              <w:t>（U盘寄送，未寄送演示视频视为无效投标）</w:t>
            </w:r>
          </w:p>
        </w:tc>
        <w:tc>
          <w:tcPr>
            <w:tcW w:w="790" w:type="dxa"/>
            <w:vMerge w:val="restart"/>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trPr>
        <w:tc>
          <w:tcPr>
            <w:tcW w:w="817" w:type="dxa"/>
            <w:vMerge w:val="continue"/>
            <w:vAlign w:val="center"/>
          </w:tcPr>
          <w:p>
            <w:pPr>
              <w:spacing w:line="300" w:lineRule="auto"/>
              <w:jc w:val="center"/>
              <w:rPr>
                <w:rFonts w:ascii="宋体" w:hAnsi="宋体" w:cs="宋体"/>
                <w:color w:val="auto"/>
                <w:kern w:val="0"/>
                <w:sz w:val="24"/>
                <w:highlight w:val="none"/>
              </w:rPr>
            </w:pPr>
          </w:p>
        </w:tc>
        <w:tc>
          <w:tcPr>
            <w:tcW w:w="1134" w:type="dxa"/>
            <w:vMerge w:val="continue"/>
            <w:vAlign w:val="center"/>
          </w:tcPr>
          <w:p>
            <w:pPr>
              <w:spacing w:line="300" w:lineRule="auto"/>
              <w:jc w:val="left"/>
              <w:rPr>
                <w:rFonts w:ascii="宋体" w:hAnsi="宋体" w:cs="宋体"/>
                <w:color w:val="auto"/>
                <w:kern w:val="0"/>
                <w:sz w:val="24"/>
                <w:highlight w:val="none"/>
              </w:rPr>
            </w:pPr>
          </w:p>
        </w:tc>
        <w:tc>
          <w:tcPr>
            <w:tcW w:w="6865"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2、多数据库支持</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为保障实验管理平台数据能够与教务系统、资产管理系统等顺利对接，要求系统能够演示多类数据库平滑切换，对各类主流数据库支持具有较强的适用性，至少能够支持Oracle/SQL SERVER等通用数据库，系统具备从现有数据库切换至另一类数据库时，实验综合管理系统业务功能可正常使用，不产生系统框架性定制开发。</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完全满足的得4分；部分满足的得2分；不提供演示或不满足</w:t>
            </w:r>
            <w:r>
              <w:rPr>
                <w:rFonts w:ascii="宋体" w:hAnsi="宋体" w:cs="宋体"/>
                <w:color w:val="auto"/>
                <w:kern w:val="0"/>
                <w:sz w:val="24"/>
                <w:highlight w:val="none"/>
              </w:rPr>
              <w:t>0</w:t>
            </w:r>
            <w:r>
              <w:rPr>
                <w:rFonts w:hint="eastAsia" w:ascii="宋体" w:hAnsi="宋体" w:cs="宋体"/>
                <w:color w:val="auto"/>
                <w:kern w:val="0"/>
                <w:sz w:val="24"/>
                <w:highlight w:val="none"/>
              </w:rPr>
              <w:t>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如不提供原型软件演示或录屏演示（只提供PPT、WORD等形式讲解的），此项评分将记为0分。</w:t>
            </w:r>
          </w:p>
        </w:tc>
        <w:tc>
          <w:tcPr>
            <w:tcW w:w="790" w:type="dxa"/>
            <w:vMerge w:val="continue"/>
            <w:vAlign w:val="center"/>
          </w:tcPr>
          <w:p>
            <w:pPr>
              <w:spacing w:line="30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4" w:hRule="atLeast"/>
        </w:trPr>
        <w:tc>
          <w:tcPr>
            <w:tcW w:w="817" w:type="dxa"/>
            <w:vMerge w:val="continue"/>
            <w:vAlign w:val="center"/>
          </w:tcPr>
          <w:p>
            <w:pPr>
              <w:spacing w:line="300" w:lineRule="auto"/>
              <w:jc w:val="center"/>
              <w:rPr>
                <w:rFonts w:ascii="宋体" w:hAnsi="宋体" w:cs="宋体"/>
                <w:color w:val="auto"/>
                <w:kern w:val="0"/>
                <w:sz w:val="24"/>
                <w:highlight w:val="none"/>
              </w:rPr>
            </w:pPr>
          </w:p>
        </w:tc>
        <w:tc>
          <w:tcPr>
            <w:tcW w:w="1134" w:type="dxa"/>
            <w:vMerge w:val="continue"/>
            <w:vAlign w:val="center"/>
          </w:tcPr>
          <w:p>
            <w:pPr>
              <w:spacing w:line="300" w:lineRule="auto"/>
              <w:jc w:val="left"/>
              <w:rPr>
                <w:rFonts w:ascii="宋体" w:hAnsi="宋体" w:cs="宋体"/>
                <w:color w:val="auto"/>
                <w:kern w:val="0"/>
                <w:sz w:val="24"/>
                <w:highlight w:val="none"/>
              </w:rPr>
            </w:pPr>
          </w:p>
        </w:tc>
        <w:tc>
          <w:tcPr>
            <w:tcW w:w="6865"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3、物联网智能终端运作状态检测演示（Health Monitor）</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系统具备对智能门禁终端及智能电源控制终端的健康状态（Health Monitor）Health Monitor物联网智能终端运作状态检测机制，Health Monitor隶属系统周期性工作的后台线程，负责跟踪终端节点上报的健康状况，并在健康状况变化时调用故障处理进程，以实现系统对终端故障的自我检测与预警，保障智能终端安全稳定运行。</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完全满足的得3分；部分满足的得1分；不提供演示或不满足0分。</w:t>
            </w:r>
          </w:p>
        </w:tc>
        <w:tc>
          <w:tcPr>
            <w:tcW w:w="790" w:type="dxa"/>
            <w:vMerge w:val="continue"/>
            <w:vAlign w:val="center"/>
          </w:tcPr>
          <w:p>
            <w:pPr>
              <w:spacing w:line="30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817" w:type="dxa"/>
            <w:vAlign w:val="center"/>
          </w:tcPr>
          <w:p>
            <w:pPr>
              <w:kinsoku w:val="0"/>
              <w:overflowPunct w:val="0"/>
              <w:spacing w:before="1"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2.3</w:t>
            </w:r>
          </w:p>
        </w:tc>
        <w:tc>
          <w:tcPr>
            <w:tcW w:w="1134"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产品专业检测机构评价</w:t>
            </w:r>
          </w:p>
        </w:tc>
        <w:tc>
          <w:tcPr>
            <w:tcW w:w="6865"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1、提供本项目产品相关的实验室综合管理软件著作权，著作权每提供一个得1分，最多得4分，与本管理系统无关软著不得分。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2、提供所投产品智能门禁终端产品软件著作权、软件测试报告及第三方权威检测部门出具的硬件检验报告。每提供一个得1分，最多得3分。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3、提供所投产品具有智能电源控制终端产品的软件著作权、软件测试报告及第三方权威检测部门出具的硬件检验报告。每提供一个得1分，最多得3分</w:t>
            </w:r>
          </w:p>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注：证明材料须在投标文件中装订复印件加盖投标供应商公章）</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06" w:type="dxa"/>
            <w:gridSpan w:val="4"/>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3、服务部分（4分）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817" w:type="dxa"/>
            <w:vAlign w:val="center"/>
          </w:tcPr>
          <w:p>
            <w:pPr>
              <w:kinsoku w:val="0"/>
              <w:overflowPunct w:val="0"/>
              <w:adjustRightInd w:val="0"/>
              <w:snapToGrid w:val="0"/>
              <w:spacing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3.1</w:t>
            </w:r>
          </w:p>
        </w:tc>
        <w:tc>
          <w:tcPr>
            <w:tcW w:w="1134"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质保期</w:t>
            </w:r>
          </w:p>
        </w:tc>
        <w:tc>
          <w:tcPr>
            <w:tcW w:w="6865"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投标产品应提供2年免费质保，在此基础上每增加一年得2分，最多得2分（需针对此项单独承诺，以承诺内容为准）。</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817" w:type="dxa"/>
            <w:vAlign w:val="center"/>
          </w:tcPr>
          <w:p>
            <w:pPr>
              <w:kinsoku w:val="0"/>
              <w:overflowPunct w:val="0"/>
              <w:spacing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3.2</w:t>
            </w:r>
          </w:p>
        </w:tc>
        <w:tc>
          <w:tcPr>
            <w:tcW w:w="1134"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安装调试及培训方案</w:t>
            </w:r>
          </w:p>
        </w:tc>
        <w:tc>
          <w:tcPr>
            <w:tcW w:w="6865"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评审专家结合供应商提供的安装调试及培训方案进行综合评价：评价良好，得1分；评价基本合理，得0.5分；评价不合理，得0分。</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3.3</w:t>
            </w:r>
          </w:p>
        </w:tc>
        <w:tc>
          <w:tcPr>
            <w:tcW w:w="1134"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售后服务方案</w:t>
            </w:r>
          </w:p>
        </w:tc>
        <w:tc>
          <w:tcPr>
            <w:tcW w:w="6865" w:type="dxa"/>
            <w:vAlign w:val="center"/>
          </w:tcPr>
          <w:p>
            <w:pPr>
              <w:spacing w:line="30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评审专家结合供应商提供的售后服务方案（内容包括本地化服务体系、服务内容、故障解决方案、服务响应、专业技术人员保障及服务电话，且需要有承诺函）进行综合评价：评价良好，得2分；评价基本合理，得0.5分；评价不合理，得0分。</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06" w:type="dxa"/>
            <w:gridSpan w:val="4"/>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4、业绩（4分）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trPr>
        <w:tc>
          <w:tcPr>
            <w:tcW w:w="817" w:type="dxa"/>
            <w:vAlign w:val="center"/>
          </w:tcPr>
          <w:p>
            <w:pPr>
              <w:kinsoku w:val="0"/>
              <w:overflowPunct w:val="0"/>
              <w:spacing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4.1</w:t>
            </w:r>
          </w:p>
        </w:tc>
        <w:tc>
          <w:tcPr>
            <w:tcW w:w="1134" w:type="dxa"/>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核心产品业绩证明材料</w:t>
            </w:r>
          </w:p>
        </w:tc>
        <w:tc>
          <w:tcPr>
            <w:tcW w:w="6865" w:type="dxa"/>
          </w:tcPr>
          <w:p>
            <w:pPr>
              <w:spacing w:line="300" w:lineRule="auto"/>
              <w:jc w:val="left"/>
              <w:rPr>
                <w:rFonts w:ascii="Calibri" w:hAnsi="Calibri" w:cs="宋体"/>
                <w:color w:val="auto"/>
                <w:kern w:val="0"/>
                <w:sz w:val="24"/>
                <w:highlight w:val="none"/>
              </w:rPr>
            </w:pPr>
            <w:r>
              <w:rPr>
                <w:rFonts w:hint="eastAsia" w:ascii="Calibri" w:hAnsi="Calibri" w:cs="宋体"/>
                <w:color w:val="auto"/>
                <w:kern w:val="0"/>
                <w:sz w:val="24"/>
                <w:highlight w:val="none"/>
              </w:rPr>
              <w:t>1.提供投标产品</w:t>
            </w:r>
            <w:r>
              <w:rPr>
                <w:rFonts w:ascii="Calibri" w:hAnsi="Calibri" w:cs="宋体"/>
                <w:color w:val="auto"/>
                <w:kern w:val="0"/>
                <w:sz w:val="24"/>
                <w:highlight w:val="none"/>
              </w:rPr>
              <w:t>2017</w:t>
            </w:r>
            <w:r>
              <w:rPr>
                <w:rFonts w:hint="eastAsia" w:ascii="Calibri" w:hAnsi="Calibri" w:cs="宋体"/>
                <w:color w:val="auto"/>
                <w:kern w:val="0"/>
                <w:sz w:val="24"/>
                <w:highlight w:val="none"/>
              </w:rPr>
              <w:t>年</w:t>
            </w:r>
            <w:r>
              <w:rPr>
                <w:rFonts w:ascii="Calibri" w:hAnsi="Calibri" w:cs="宋体"/>
                <w:color w:val="auto"/>
                <w:kern w:val="0"/>
                <w:sz w:val="24"/>
                <w:highlight w:val="none"/>
              </w:rPr>
              <w:t>07</w:t>
            </w:r>
            <w:r>
              <w:rPr>
                <w:rFonts w:hint="eastAsia" w:ascii="Calibri" w:hAnsi="Calibri" w:cs="宋体"/>
                <w:color w:val="auto"/>
                <w:kern w:val="0"/>
                <w:sz w:val="24"/>
                <w:highlight w:val="none"/>
              </w:rPr>
              <w:t>月</w:t>
            </w:r>
            <w:r>
              <w:rPr>
                <w:rFonts w:ascii="Calibri" w:hAnsi="Calibri" w:cs="宋体"/>
                <w:color w:val="auto"/>
                <w:kern w:val="0"/>
                <w:sz w:val="24"/>
                <w:highlight w:val="none"/>
              </w:rPr>
              <w:t>01</w:t>
            </w:r>
            <w:r>
              <w:rPr>
                <w:rFonts w:hint="eastAsia" w:ascii="Calibri" w:hAnsi="Calibri" w:cs="宋体"/>
                <w:color w:val="auto"/>
                <w:kern w:val="0"/>
                <w:sz w:val="24"/>
                <w:highlight w:val="none"/>
              </w:rPr>
              <w:t>日以来的类似案例用户反馈意见（或应用证明）的得1分，每提供一份得1分，最多得2分，不提供不得分。</w:t>
            </w:r>
          </w:p>
          <w:p>
            <w:pPr>
              <w:spacing w:line="300" w:lineRule="auto"/>
              <w:jc w:val="left"/>
              <w:rPr>
                <w:rFonts w:ascii="Calibri" w:hAnsi="Calibri" w:cs="宋体"/>
                <w:color w:val="auto"/>
                <w:kern w:val="0"/>
                <w:sz w:val="24"/>
                <w:highlight w:val="none"/>
              </w:rPr>
            </w:pPr>
            <w:r>
              <w:rPr>
                <w:rFonts w:hint="eastAsia" w:ascii="Calibri" w:hAnsi="Calibri" w:cs="宋体"/>
                <w:color w:val="auto"/>
                <w:kern w:val="0"/>
                <w:sz w:val="24"/>
                <w:highlight w:val="none"/>
              </w:rPr>
              <w:t>2.投标产品生产商具有与数字化校园、教务系统、资产系统接口技术方案完整安全，以成功对接案例证明文件为准。每份证明文件得1分，满分2分。</w:t>
            </w:r>
          </w:p>
          <w:p>
            <w:pPr>
              <w:spacing w:line="300" w:lineRule="auto"/>
              <w:jc w:val="left"/>
              <w:rPr>
                <w:rFonts w:ascii="Calibri" w:hAnsi="Calibri" w:cs="宋体"/>
                <w:color w:val="auto"/>
                <w:kern w:val="0"/>
                <w:sz w:val="24"/>
                <w:highlight w:val="none"/>
              </w:rPr>
            </w:pPr>
            <w:r>
              <w:rPr>
                <w:rFonts w:hint="eastAsia" w:ascii="Calibri" w:hAnsi="Calibri" w:cs="宋体"/>
                <w:color w:val="auto"/>
                <w:kern w:val="0"/>
                <w:sz w:val="24"/>
                <w:highlight w:val="none"/>
              </w:rPr>
              <w:t>（提供有效证明扫描件加盖公章，原件中标后备查）</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9606" w:type="dxa"/>
            <w:gridSpan w:val="4"/>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5、企业资信（4分）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817" w:type="dxa"/>
            <w:vAlign w:val="center"/>
          </w:tcPr>
          <w:p>
            <w:pPr>
              <w:kinsoku w:val="0"/>
              <w:overflowPunct w:val="0"/>
              <w:spacing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5.1</w:t>
            </w:r>
          </w:p>
        </w:tc>
        <w:tc>
          <w:tcPr>
            <w:tcW w:w="1134"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信用等级</w:t>
            </w:r>
          </w:p>
        </w:tc>
        <w:tc>
          <w:tcPr>
            <w:tcW w:w="6865" w:type="dxa"/>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供应商提供信用评级机构出具的信用评级报告为AAA级的得2分，提供评级报告复印件加盖投标人公章。</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817" w:type="dxa"/>
            <w:vAlign w:val="center"/>
          </w:tcPr>
          <w:p>
            <w:pPr>
              <w:kinsoku w:val="0"/>
              <w:overflowPunct w:val="0"/>
              <w:spacing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5.2</w:t>
            </w:r>
          </w:p>
        </w:tc>
        <w:tc>
          <w:tcPr>
            <w:tcW w:w="1134" w:type="dxa"/>
            <w:vAlign w:val="center"/>
          </w:tcPr>
          <w:p>
            <w:pPr>
              <w:spacing w:line="300" w:lineRule="auto"/>
              <w:rPr>
                <w:rFonts w:ascii="宋体" w:hAnsi="宋体" w:cs="宋体"/>
                <w:color w:val="auto"/>
                <w:kern w:val="0"/>
                <w:sz w:val="24"/>
                <w:highlight w:val="none"/>
              </w:rPr>
            </w:pPr>
            <w:r>
              <w:rPr>
                <w:rFonts w:hint="eastAsia" w:ascii="宋体" w:hAnsi="宋体" w:cs="宋体"/>
                <w:color w:val="auto"/>
                <w:sz w:val="24"/>
                <w:highlight w:val="none"/>
              </w:rPr>
              <w:t>质量安全体系认证</w:t>
            </w:r>
          </w:p>
        </w:tc>
        <w:tc>
          <w:tcPr>
            <w:tcW w:w="6865" w:type="dxa"/>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所投产品生产商具有高新技术企业、ISO9001、ISO45001、</w:t>
            </w:r>
            <w:r>
              <w:rPr>
                <w:rFonts w:ascii="宋体" w:hAnsi="宋体" w:cs="宋体"/>
                <w:color w:val="auto"/>
                <w:kern w:val="0"/>
                <w:sz w:val="24"/>
                <w:highlight w:val="none"/>
              </w:rPr>
              <w:t>ISO14001</w:t>
            </w:r>
            <w:r>
              <w:rPr>
                <w:rFonts w:hint="eastAsia" w:ascii="宋体" w:hAnsi="宋体" w:cs="宋体"/>
                <w:color w:val="auto"/>
                <w:kern w:val="0"/>
                <w:sz w:val="24"/>
                <w:highlight w:val="none"/>
              </w:rPr>
              <w:t>、体系认证的，每提供1个证书复印件加盖投标人公章得0.5分，最多2分。</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9606" w:type="dxa"/>
            <w:gridSpan w:val="4"/>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6、对招标文件响应程度（2分）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817" w:type="dxa"/>
            <w:vAlign w:val="center"/>
          </w:tcPr>
          <w:p>
            <w:pPr>
              <w:kinsoku w:val="0"/>
              <w:overflowPunct w:val="0"/>
              <w:spacing w:line="30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6.1</w:t>
            </w:r>
          </w:p>
        </w:tc>
        <w:tc>
          <w:tcPr>
            <w:tcW w:w="1134"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对招标文件的响应程度</w:t>
            </w:r>
          </w:p>
        </w:tc>
        <w:tc>
          <w:tcPr>
            <w:tcW w:w="6865" w:type="dxa"/>
            <w:vAlign w:val="center"/>
          </w:tcPr>
          <w:p>
            <w:pPr>
              <w:spacing w:line="300" w:lineRule="auto"/>
              <w:rPr>
                <w:rFonts w:ascii="宋体" w:hAnsi="宋体" w:cs="宋体"/>
                <w:color w:val="auto"/>
                <w:kern w:val="0"/>
                <w:sz w:val="24"/>
                <w:highlight w:val="none"/>
              </w:rPr>
            </w:pPr>
            <w:r>
              <w:rPr>
                <w:rFonts w:hint="eastAsia" w:ascii="宋体" w:hAnsi="宋体" w:cs="宋体"/>
                <w:color w:val="auto"/>
                <w:kern w:val="0"/>
                <w:sz w:val="24"/>
                <w:highlight w:val="none"/>
              </w:rPr>
              <w:t>文件内容完备，格式规范，封装整齐，目录、页码齐全，目录与页码能准确对应，满足招标文件要求得2分，否则不得分。未经胶封（如文件夹或订书机等）此项不得分。</w:t>
            </w:r>
          </w:p>
        </w:tc>
        <w:tc>
          <w:tcPr>
            <w:tcW w:w="790" w:type="dxa"/>
            <w:vAlign w:val="center"/>
          </w:tcPr>
          <w:p>
            <w:pPr>
              <w:spacing w:line="30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w:t>
            </w:r>
          </w:p>
        </w:tc>
      </w:tr>
    </w:tbl>
    <w:p>
      <w:pPr>
        <w:rPr>
          <w:rFonts w:cs="宋体" w:asciiTheme="majorEastAsia" w:hAnsiTheme="majorEastAsia" w:eastAsiaTheme="majorEastAsia"/>
          <w:b/>
          <w:bCs/>
          <w:color w:val="auto"/>
          <w:kern w:val="0"/>
          <w:sz w:val="24"/>
          <w:highlight w:val="none"/>
        </w:rPr>
      </w:pPr>
    </w:p>
    <w:p>
      <w:pP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b/>
          <w:bCs/>
          <w:color w:val="auto"/>
          <w:kern w:val="0"/>
          <w:sz w:val="24"/>
          <w:highlight w:val="none"/>
        </w:rPr>
        <w:t>特别说明</w:t>
      </w:r>
      <w:r>
        <w:rPr>
          <w:rFonts w:hint="eastAsia" w:cs="宋体" w:asciiTheme="majorEastAsia" w:hAnsiTheme="majorEastAsia" w:eastAsiaTheme="majorEastAsia"/>
          <w:color w:val="auto"/>
          <w:kern w:val="0"/>
          <w:sz w:val="24"/>
          <w:highlight w:val="none"/>
        </w:rPr>
        <w:t>：</w:t>
      </w:r>
    </w:p>
    <w:p>
      <w:pP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招标结束后，用户将对中标候选人所投产品进行主要性能及功能测试，测试通过后方可签订合同。</w:t>
      </w:r>
    </w:p>
    <w:p>
      <w:pPr>
        <w:ind w:firstLine="560" w:firstLineChars="200"/>
        <w:rPr>
          <w:rFonts w:ascii="仿宋" w:hAnsi="仿宋" w:eastAsia="仿宋" w:cs="仿宋"/>
          <w:color w:val="auto"/>
          <w:sz w:val="28"/>
          <w:szCs w:val="28"/>
          <w:highlight w:val="none"/>
        </w:rPr>
      </w:pP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30</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南京信息工程大学招标办2020年招标文件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86686"/>
    <w:multiLevelType w:val="singleLevel"/>
    <w:tmpl w:val="B0C86686"/>
    <w:lvl w:ilvl="0" w:tentative="0">
      <w:start w:val="1"/>
      <w:numFmt w:val="decimal"/>
      <w:suff w:val="nothing"/>
      <w:lvlText w:val="%1）"/>
      <w:lvlJc w:val="left"/>
    </w:lvl>
  </w:abstractNum>
  <w:abstractNum w:abstractNumId="1">
    <w:nsid w:val="34567487"/>
    <w:multiLevelType w:val="multilevel"/>
    <w:tmpl w:val="3456748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C81B5A"/>
    <w:multiLevelType w:val="multilevel"/>
    <w:tmpl w:val="3BC81B5A"/>
    <w:lvl w:ilvl="0" w:tentative="0">
      <w:start w:val="1"/>
      <w:numFmt w:val="lowerLetter"/>
      <w:lvlText w:val="%1)"/>
      <w:lvlJc w:val="left"/>
      <w:pPr>
        <w:ind w:left="0" w:firstLine="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91"/>
    <w:rsid w:val="00003606"/>
    <w:rsid w:val="000054CA"/>
    <w:rsid w:val="0000571D"/>
    <w:rsid w:val="0001759B"/>
    <w:rsid w:val="00022B05"/>
    <w:rsid w:val="00023D12"/>
    <w:rsid w:val="00026E76"/>
    <w:rsid w:val="00027971"/>
    <w:rsid w:val="00030600"/>
    <w:rsid w:val="00030DF4"/>
    <w:rsid w:val="000319F3"/>
    <w:rsid w:val="00035C14"/>
    <w:rsid w:val="000430D6"/>
    <w:rsid w:val="00043F02"/>
    <w:rsid w:val="000441D9"/>
    <w:rsid w:val="000527A0"/>
    <w:rsid w:val="000531E7"/>
    <w:rsid w:val="00054A22"/>
    <w:rsid w:val="00054EE4"/>
    <w:rsid w:val="0005500B"/>
    <w:rsid w:val="00055F2F"/>
    <w:rsid w:val="0006055A"/>
    <w:rsid w:val="000607CB"/>
    <w:rsid w:val="00066441"/>
    <w:rsid w:val="00066583"/>
    <w:rsid w:val="0007020C"/>
    <w:rsid w:val="0007020F"/>
    <w:rsid w:val="00070DC7"/>
    <w:rsid w:val="00070F0A"/>
    <w:rsid w:val="000716D4"/>
    <w:rsid w:val="000774F2"/>
    <w:rsid w:val="00080B5E"/>
    <w:rsid w:val="00081175"/>
    <w:rsid w:val="000819A3"/>
    <w:rsid w:val="00085E3F"/>
    <w:rsid w:val="00087F42"/>
    <w:rsid w:val="0009319D"/>
    <w:rsid w:val="000933AE"/>
    <w:rsid w:val="00094419"/>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4F6F"/>
    <w:rsid w:val="000B5806"/>
    <w:rsid w:val="000B5F77"/>
    <w:rsid w:val="000B6607"/>
    <w:rsid w:val="000C0356"/>
    <w:rsid w:val="000C03E3"/>
    <w:rsid w:val="000C05BE"/>
    <w:rsid w:val="000C153E"/>
    <w:rsid w:val="000C22CE"/>
    <w:rsid w:val="000C35BE"/>
    <w:rsid w:val="000C3706"/>
    <w:rsid w:val="000C3B85"/>
    <w:rsid w:val="000C3E19"/>
    <w:rsid w:val="000C5121"/>
    <w:rsid w:val="000C7AC8"/>
    <w:rsid w:val="000D26E7"/>
    <w:rsid w:val="000D2CE1"/>
    <w:rsid w:val="000D4B6E"/>
    <w:rsid w:val="000D6B77"/>
    <w:rsid w:val="000D7B55"/>
    <w:rsid w:val="000E1026"/>
    <w:rsid w:val="000E12A9"/>
    <w:rsid w:val="000E1EAF"/>
    <w:rsid w:val="000E37D8"/>
    <w:rsid w:val="000E490E"/>
    <w:rsid w:val="000E794A"/>
    <w:rsid w:val="000E7B1F"/>
    <w:rsid w:val="000E7E73"/>
    <w:rsid w:val="000F0A5B"/>
    <w:rsid w:val="000F1E4F"/>
    <w:rsid w:val="000F2EDC"/>
    <w:rsid w:val="000F33C3"/>
    <w:rsid w:val="000F7C08"/>
    <w:rsid w:val="00100533"/>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6A66"/>
    <w:rsid w:val="00137542"/>
    <w:rsid w:val="00143684"/>
    <w:rsid w:val="001448F3"/>
    <w:rsid w:val="0014591D"/>
    <w:rsid w:val="00146508"/>
    <w:rsid w:val="00147BB6"/>
    <w:rsid w:val="001502CF"/>
    <w:rsid w:val="00151817"/>
    <w:rsid w:val="0015214C"/>
    <w:rsid w:val="0015225B"/>
    <w:rsid w:val="00152BCB"/>
    <w:rsid w:val="00153196"/>
    <w:rsid w:val="001559FB"/>
    <w:rsid w:val="00155AE4"/>
    <w:rsid w:val="0016003D"/>
    <w:rsid w:val="0016077E"/>
    <w:rsid w:val="0016395E"/>
    <w:rsid w:val="00163CFF"/>
    <w:rsid w:val="0016465F"/>
    <w:rsid w:val="0016590B"/>
    <w:rsid w:val="0016658A"/>
    <w:rsid w:val="00166DEB"/>
    <w:rsid w:val="001679D2"/>
    <w:rsid w:val="00170356"/>
    <w:rsid w:val="00171002"/>
    <w:rsid w:val="00171C84"/>
    <w:rsid w:val="0017451F"/>
    <w:rsid w:val="00175E61"/>
    <w:rsid w:val="00175F6E"/>
    <w:rsid w:val="001765AA"/>
    <w:rsid w:val="00176B5A"/>
    <w:rsid w:val="001770B9"/>
    <w:rsid w:val="0018135E"/>
    <w:rsid w:val="0018161B"/>
    <w:rsid w:val="00181FC1"/>
    <w:rsid w:val="00183C53"/>
    <w:rsid w:val="00184165"/>
    <w:rsid w:val="001847AB"/>
    <w:rsid w:val="001863B0"/>
    <w:rsid w:val="001908D8"/>
    <w:rsid w:val="00191DB6"/>
    <w:rsid w:val="00191E7A"/>
    <w:rsid w:val="00192A7F"/>
    <w:rsid w:val="00192E9E"/>
    <w:rsid w:val="0019347E"/>
    <w:rsid w:val="00193B07"/>
    <w:rsid w:val="0019510E"/>
    <w:rsid w:val="00195E66"/>
    <w:rsid w:val="00196A0F"/>
    <w:rsid w:val="00196DB1"/>
    <w:rsid w:val="001973B6"/>
    <w:rsid w:val="001A200D"/>
    <w:rsid w:val="001A2F5F"/>
    <w:rsid w:val="001A76A0"/>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277F"/>
    <w:rsid w:val="002047AF"/>
    <w:rsid w:val="00204A89"/>
    <w:rsid w:val="00205E83"/>
    <w:rsid w:val="0021174A"/>
    <w:rsid w:val="002122A3"/>
    <w:rsid w:val="00212636"/>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1634"/>
    <w:rsid w:val="002423F2"/>
    <w:rsid w:val="00242CCB"/>
    <w:rsid w:val="002430D7"/>
    <w:rsid w:val="00243632"/>
    <w:rsid w:val="00243E27"/>
    <w:rsid w:val="0024517A"/>
    <w:rsid w:val="00247603"/>
    <w:rsid w:val="00250805"/>
    <w:rsid w:val="00250B49"/>
    <w:rsid w:val="00250C11"/>
    <w:rsid w:val="00251A77"/>
    <w:rsid w:val="0025266B"/>
    <w:rsid w:val="002526D9"/>
    <w:rsid w:val="0025396A"/>
    <w:rsid w:val="002540DE"/>
    <w:rsid w:val="002549CE"/>
    <w:rsid w:val="00255B7B"/>
    <w:rsid w:val="002567BD"/>
    <w:rsid w:val="00256A61"/>
    <w:rsid w:val="00263046"/>
    <w:rsid w:val="00263444"/>
    <w:rsid w:val="0026451A"/>
    <w:rsid w:val="00264F91"/>
    <w:rsid w:val="00266C22"/>
    <w:rsid w:val="00271C38"/>
    <w:rsid w:val="00273B4E"/>
    <w:rsid w:val="00281343"/>
    <w:rsid w:val="0028272C"/>
    <w:rsid w:val="002832EA"/>
    <w:rsid w:val="002838CB"/>
    <w:rsid w:val="00283C8F"/>
    <w:rsid w:val="00285A3E"/>
    <w:rsid w:val="00286DFD"/>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4546"/>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3DE"/>
    <w:rsid w:val="00300D50"/>
    <w:rsid w:val="00302F70"/>
    <w:rsid w:val="003034BA"/>
    <w:rsid w:val="0030387A"/>
    <w:rsid w:val="00303EFB"/>
    <w:rsid w:val="00304692"/>
    <w:rsid w:val="003048F1"/>
    <w:rsid w:val="0030541B"/>
    <w:rsid w:val="003072D4"/>
    <w:rsid w:val="003076E5"/>
    <w:rsid w:val="00307F8E"/>
    <w:rsid w:val="00310DA0"/>
    <w:rsid w:val="00311CFE"/>
    <w:rsid w:val="00312104"/>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6EE4"/>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537E"/>
    <w:rsid w:val="003A6141"/>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C7948"/>
    <w:rsid w:val="003D02DE"/>
    <w:rsid w:val="003D20EB"/>
    <w:rsid w:val="003D6222"/>
    <w:rsid w:val="003D6FB8"/>
    <w:rsid w:val="003E1368"/>
    <w:rsid w:val="003E1A52"/>
    <w:rsid w:val="003E2217"/>
    <w:rsid w:val="003E4227"/>
    <w:rsid w:val="003E51F3"/>
    <w:rsid w:val="003E572A"/>
    <w:rsid w:val="003E6AA7"/>
    <w:rsid w:val="003E700B"/>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17D19"/>
    <w:rsid w:val="004201A3"/>
    <w:rsid w:val="00420C3D"/>
    <w:rsid w:val="004220ED"/>
    <w:rsid w:val="00422573"/>
    <w:rsid w:val="00423C3B"/>
    <w:rsid w:val="00425843"/>
    <w:rsid w:val="00425C30"/>
    <w:rsid w:val="0043026A"/>
    <w:rsid w:val="004311A5"/>
    <w:rsid w:val="004326E9"/>
    <w:rsid w:val="004356B0"/>
    <w:rsid w:val="00435B13"/>
    <w:rsid w:val="00437796"/>
    <w:rsid w:val="00437939"/>
    <w:rsid w:val="00437C24"/>
    <w:rsid w:val="00437F7A"/>
    <w:rsid w:val="00441696"/>
    <w:rsid w:val="00442423"/>
    <w:rsid w:val="00443437"/>
    <w:rsid w:val="00444741"/>
    <w:rsid w:val="0044640C"/>
    <w:rsid w:val="004472FA"/>
    <w:rsid w:val="00447C24"/>
    <w:rsid w:val="00450900"/>
    <w:rsid w:val="00452C84"/>
    <w:rsid w:val="004551EC"/>
    <w:rsid w:val="00456BB9"/>
    <w:rsid w:val="004578F1"/>
    <w:rsid w:val="00460A25"/>
    <w:rsid w:val="00460FE0"/>
    <w:rsid w:val="00461656"/>
    <w:rsid w:val="00463313"/>
    <w:rsid w:val="00463944"/>
    <w:rsid w:val="00464599"/>
    <w:rsid w:val="00466713"/>
    <w:rsid w:val="00467161"/>
    <w:rsid w:val="004703D3"/>
    <w:rsid w:val="00472664"/>
    <w:rsid w:val="004734A1"/>
    <w:rsid w:val="00477371"/>
    <w:rsid w:val="00477570"/>
    <w:rsid w:val="0048022E"/>
    <w:rsid w:val="00480665"/>
    <w:rsid w:val="00480DDA"/>
    <w:rsid w:val="00480FA7"/>
    <w:rsid w:val="00481A9A"/>
    <w:rsid w:val="00482645"/>
    <w:rsid w:val="00482772"/>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164B"/>
    <w:rsid w:val="004C2E0A"/>
    <w:rsid w:val="004C3C68"/>
    <w:rsid w:val="004D0748"/>
    <w:rsid w:val="004D0EAC"/>
    <w:rsid w:val="004D64A5"/>
    <w:rsid w:val="004D65DA"/>
    <w:rsid w:val="004D7557"/>
    <w:rsid w:val="004D765A"/>
    <w:rsid w:val="004E1C2C"/>
    <w:rsid w:val="004E1C93"/>
    <w:rsid w:val="004E2588"/>
    <w:rsid w:val="004E390B"/>
    <w:rsid w:val="004E448F"/>
    <w:rsid w:val="004E608C"/>
    <w:rsid w:val="004E779C"/>
    <w:rsid w:val="004F0339"/>
    <w:rsid w:val="004F763C"/>
    <w:rsid w:val="004F7A31"/>
    <w:rsid w:val="004F7D5E"/>
    <w:rsid w:val="00500476"/>
    <w:rsid w:val="00502577"/>
    <w:rsid w:val="00504207"/>
    <w:rsid w:val="0050554A"/>
    <w:rsid w:val="00507394"/>
    <w:rsid w:val="00507451"/>
    <w:rsid w:val="00510D48"/>
    <w:rsid w:val="005119C9"/>
    <w:rsid w:val="00511A0E"/>
    <w:rsid w:val="005143CD"/>
    <w:rsid w:val="00514476"/>
    <w:rsid w:val="0051635A"/>
    <w:rsid w:val="0051653B"/>
    <w:rsid w:val="00517953"/>
    <w:rsid w:val="00520E29"/>
    <w:rsid w:val="0052262E"/>
    <w:rsid w:val="00522BF5"/>
    <w:rsid w:val="00522C1C"/>
    <w:rsid w:val="00523679"/>
    <w:rsid w:val="0053025C"/>
    <w:rsid w:val="00531000"/>
    <w:rsid w:val="00533F15"/>
    <w:rsid w:val="005354A4"/>
    <w:rsid w:val="00537018"/>
    <w:rsid w:val="00540A3F"/>
    <w:rsid w:val="00541B97"/>
    <w:rsid w:val="00541EFA"/>
    <w:rsid w:val="00545F0F"/>
    <w:rsid w:val="00546198"/>
    <w:rsid w:val="005503C9"/>
    <w:rsid w:val="00552143"/>
    <w:rsid w:val="00552355"/>
    <w:rsid w:val="005526FE"/>
    <w:rsid w:val="00552BE2"/>
    <w:rsid w:val="00552BF3"/>
    <w:rsid w:val="00552C82"/>
    <w:rsid w:val="005554FE"/>
    <w:rsid w:val="00556203"/>
    <w:rsid w:val="0055742D"/>
    <w:rsid w:val="00557D90"/>
    <w:rsid w:val="005629FF"/>
    <w:rsid w:val="00564725"/>
    <w:rsid w:val="00565862"/>
    <w:rsid w:val="00566142"/>
    <w:rsid w:val="005662B0"/>
    <w:rsid w:val="00570271"/>
    <w:rsid w:val="00571ECE"/>
    <w:rsid w:val="00572CF3"/>
    <w:rsid w:val="00576728"/>
    <w:rsid w:val="00585BC1"/>
    <w:rsid w:val="00585C5F"/>
    <w:rsid w:val="00587E68"/>
    <w:rsid w:val="00592237"/>
    <w:rsid w:val="005947A6"/>
    <w:rsid w:val="00595AEA"/>
    <w:rsid w:val="00595D26"/>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719"/>
    <w:rsid w:val="005F5A2C"/>
    <w:rsid w:val="005F624D"/>
    <w:rsid w:val="005F6275"/>
    <w:rsid w:val="005F75FC"/>
    <w:rsid w:val="006006F8"/>
    <w:rsid w:val="00603569"/>
    <w:rsid w:val="006040E9"/>
    <w:rsid w:val="00610391"/>
    <w:rsid w:val="006105EE"/>
    <w:rsid w:val="00610DA9"/>
    <w:rsid w:val="0061381F"/>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1B48"/>
    <w:rsid w:val="006332B6"/>
    <w:rsid w:val="006340FC"/>
    <w:rsid w:val="00637990"/>
    <w:rsid w:val="00637BFF"/>
    <w:rsid w:val="00637FE2"/>
    <w:rsid w:val="00641CAF"/>
    <w:rsid w:val="00643689"/>
    <w:rsid w:val="00646947"/>
    <w:rsid w:val="006475DC"/>
    <w:rsid w:val="00650D24"/>
    <w:rsid w:val="006519C1"/>
    <w:rsid w:val="0065630D"/>
    <w:rsid w:val="00657F59"/>
    <w:rsid w:val="0066030C"/>
    <w:rsid w:val="006615DD"/>
    <w:rsid w:val="00662ACF"/>
    <w:rsid w:val="006634D8"/>
    <w:rsid w:val="00665444"/>
    <w:rsid w:val="00665C5E"/>
    <w:rsid w:val="00666762"/>
    <w:rsid w:val="00667840"/>
    <w:rsid w:val="00670C74"/>
    <w:rsid w:val="006712CE"/>
    <w:rsid w:val="006721F1"/>
    <w:rsid w:val="00672B76"/>
    <w:rsid w:val="00674154"/>
    <w:rsid w:val="006744F7"/>
    <w:rsid w:val="0067581D"/>
    <w:rsid w:val="006817D5"/>
    <w:rsid w:val="006818DB"/>
    <w:rsid w:val="0068228D"/>
    <w:rsid w:val="0068303C"/>
    <w:rsid w:val="006831B6"/>
    <w:rsid w:val="00684A9B"/>
    <w:rsid w:val="00691A38"/>
    <w:rsid w:val="00692892"/>
    <w:rsid w:val="00692C36"/>
    <w:rsid w:val="006947DF"/>
    <w:rsid w:val="00694A36"/>
    <w:rsid w:val="006951B5"/>
    <w:rsid w:val="0069524B"/>
    <w:rsid w:val="00696030"/>
    <w:rsid w:val="00697C03"/>
    <w:rsid w:val="006A00DA"/>
    <w:rsid w:val="006A1F85"/>
    <w:rsid w:val="006A210C"/>
    <w:rsid w:val="006A28E2"/>
    <w:rsid w:val="006A2B28"/>
    <w:rsid w:val="006A4D56"/>
    <w:rsid w:val="006A59A2"/>
    <w:rsid w:val="006A5ECF"/>
    <w:rsid w:val="006A669E"/>
    <w:rsid w:val="006B12E8"/>
    <w:rsid w:val="006B1B75"/>
    <w:rsid w:val="006B2014"/>
    <w:rsid w:val="006B2340"/>
    <w:rsid w:val="006B324C"/>
    <w:rsid w:val="006B449D"/>
    <w:rsid w:val="006B5088"/>
    <w:rsid w:val="006B5A78"/>
    <w:rsid w:val="006B5C08"/>
    <w:rsid w:val="006B7503"/>
    <w:rsid w:val="006B79D8"/>
    <w:rsid w:val="006C0C1E"/>
    <w:rsid w:val="006C18D2"/>
    <w:rsid w:val="006C1C3C"/>
    <w:rsid w:val="006C22D3"/>
    <w:rsid w:val="006C3882"/>
    <w:rsid w:val="006C5128"/>
    <w:rsid w:val="006C5A98"/>
    <w:rsid w:val="006C7A10"/>
    <w:rsid w:val="006D167B"/>
    <w:rsid w:val="006D358F"/>
    <w:rsid w:val="006D3851"/>
    <w:rsid w:val="006D42CC"/>
    <w:rsid w:val="006D46AA"/>
    <w:rsid w:val="006D4BE8"/>
    <w:rsid w:val="006D4C79"/>
    <w:rsid w:val="006D52A9"/>
    <w:rsid w:val="006D5989"/>
    <w:rsid w:val="006D662E"/>
    <w:rsid w:val="006D6C7B"/>
    <w:rsid w:val="006E079B"/>
    <w:rsid w:val="006E1024"/>
    <w:rsid w:val="006E1220"/>
    <w:rsid w:val="006E1F92"/>
    <w:rsid w:val="006E2598"/>
    <w:rsid w:val="006E4FEE"/>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296"/>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37A0E"/>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67293"/>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2D72"/>
    <w:rsid w:val="007F3D00"/>
    <w:rsid w:val="007F3D98"/>
    <w:rsid w:val="007F4654"/>
    <w:rsid w:val="007F5FF0"/>
    <w:rsid w:val="007F6481"/>
    <w:rsid w:val="007F794E"/>
    <w:rsid w:val="00801FBF"/>
    <w:rsid w:val="00803D3C"/>
    <w:rsid w:val="0080591C"/>
    <w:rsid w:val="0081037F"/>
    <w:rsid w:val="008109D2"/>
    <w:rsid w:val="008111F7"/>
    <w:rsid w:val="00813477"/>
    <w:rsid w:val="00814876"/>
    <w:rsid w:val="00814B12"/>
    <w:rsid w:val="008152E2"/>
    <w:rsid w:val="008169FD"/>
    <w:rsid w:val="00821CB7"/>
    <w:rsid w:val="00821FFD"/>
    <w:rsid w:val="008220BA"/>
    <w:rsid w:val="0082252B"/>
    <w:rsid w:val="008228FA"/>
    <w:rsid w:val="008236DB"/>
    <w:rsid w:val="00823E33"/>
    <w:rsid w:val="008248B3"/>
    <w:rsid w:val="00827A4C"/>
    <w:rsid w:val="00830E6E"/>
    <w:rsid w:val="0083138A"/>
    <w:rsid w:val="00833FFC"/>
    <w:rsid w:val="00834277"/>
    <w:rsid w:val="008346FE"/>
    <w:rsid w:val="00834AC5"/>
    <w:rsid w:val="00837C07"/>
    <w:rsid w:val="00840686"/>
    <w:rsid w:val="00842E41"/>
    <w:rsid w:val="00845335"/>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249"/>
    <w:rsid w:val="008A6840"/>
    <w:rsid w:val="008B0B83"/>
    <w:rsid w:val="008B3077"/>
    <w:rsid w:val="008B3765"/>
    <w:rsid w:val="008C0020"/>
    <w:rsid w:val="008C10D8"/>
    <w:rsid w:val="008C144B"/>
    <w:rsid w:val="008C1BE9"/>
    <w:rsid w:val="008C4B4E"/>
    <w:rsid w:val="008C4EC6"/>
    <w:rsid w:val="008C5BDB"/>
    <w:rsid w:val="008C5BDF"/>
    <w:rsid w:val="008C67F8"/>
    <w:rsid w:val="008C77DF"/>
    <w:rsid w:val="008D04B1"/>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3E7D"/>
    <w:rsid w:val="008E4CE6"/>
    <w:rsid w:val="008E4DF6"/>
    <w:rsid w:val="008E7D85"/>
    <w:rsid w:val="008E7FC4"/>
    <w:rsid w:val="008F00C5"/>
    <w:rsid w:val="008F18F6"/>
    <w:rsid w:val="008F27E6"/>
    <w:rsid w:val="008F3832"/>
    <w:rsid w:val="008F3E40"/>
    <w:rsid w:val="008F630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013C"/>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160A"/>
    <w:rsid w:val="00972A26"/>
    <w:rsid w:val="00973706"/>
    <w:rsid w:val="009772D5"/>
    <w:rsid w:val="00980230"/>
    <w:rsid w:val="0098055C"/>
    <w:rsid w:val="00980AE6"/>
    <w:rsid w:val="0098171A"/>
    <w:rsid w:val="00982C89"/>
    <w:rsid w:val="00984C6F"/>
    <w:rsid w:val="00987CEF"/>
    <w:rsid w:val="00990A91"/>
    <w:rsid w:val="00990BFB"/>
    <w:rsid w:val="00992262"/>
    <w:rsid w:val="00993A92"/>
    <w:rsid w:val="009948F7"/>
    <w:rsid w:val="0099682B"/>
    <w:rsid w:val="009A0CB9"/>
    <w:rsid w:val="009A4472"/>
    <w:rsid w:val="009A723F"/>
    <w:rsid w:val="009B0674"/>
    <w:rsid w:val="009B1174"/>
    <w:rsid w:val="009B4732"/>
    <w:rsid w:val="009B5355"/>
    <w:rsid w:val="009B5D2C"/>
    <w:rsid w:val="009B5E85"/>
    <w:rsid w:val="009B7C1E"/>
    <w:rsid w:val="009B7FB8"/>
    <w:rsid w:val="009C018C"/>
    <w:rsid w:val="009C4FC6"/>
    <w:rsid w:val="009C6B79"/>
    <w:rsid w:val="009C6CAB"/>
    <w:rsid w:val="009C70D4"/>
    <w:rsid w:val="009D0A67"/>
    <w:rsid w:val="009D0BDD"/>
    <w:rsid w:val="009D30D9"/>
    <w:rsid w:val="009D4CB2"/>
    <w:rsid w:val="009D4DA2"/>
    <w:rsid w:val="009D6922"/>
    <w:rsid w:val="009E1A9A"/>
    <w:rsid w:val="009E375D"/>
    <w:rsid w:val="009E3D58"/>
    <w:rsid w:val="009E45D0"/>
    <w:rsid w:val="009E6F30"/>
    <w:rsid w:val="009F25A3"/>
    <w:rsid w:val="009F3D7E"/>
    <w:rsid w:val="009F3F56"/>
    <w:rsid w:val="009F5F09"/>
    <w:rsid w:val="009F612D"/>
    <w:rsid w:val="009F62E4"/>
    <w:rsid w:val="009F68F9"/>
    <w:rsid w:val="009F6D13"/>
    <w:rsid w:val="009F7780"/>
    <w:rsid w:val="00A01DFD"/>
    <w:rsid w:val="00A04DA3"/>
    <w:rsid w:val="00A05C2D"/>
    <w:rsid w:val="00A06278"/>
    <w:rsid w:val="00A06EF1"/>
    <w:rsid w:val="00A0716D"/>
    <w:rsid w:val="00A07274"/>
    <w:rsid w:val="00A0733D"/>
    <w:rsid w:val="00A10A7C"/>
    <w:rsid w:val="00A13AEC"/>
    <w:rsid w:val="00A14EA1"/>
    <w:rsid w:val="00A17335"/>
    <w:rsid w:val="00A2064C"/>
    <w:rsid w:val="00A208EE"/>
    <w:rsid w:val="00A233D2"/>
    <w:rsid w:val="00A23AE3"/>
    <w:rsid w:val="00A240CA"/>
    <w:rsid w:val="00A24485"/>
    <w:rsid w:val="00A2538D"/>
    <w:rsid w:val="00A257F7"/>
    <w:rsid w:val="00A2623E"/>
    <w:rsid w:val="00A27277"/>
    <w:rsid w:val="00A27722"/>
    <w:rsid w:val="00A27FB2"/>
    <w:rsid w:val="00A309D6"/>
    <w:rsid w:val="00A312EA"/>
    <w:rsid w:val="00A31753"/>
    <w:rsid w:val="00A31C4C"/>
    <w:rsid w:val="00A32878"/>
    <w:rsid w:val="00A332A0"/>
    <w:rsid w:val="00A33CC4"/>
    <w:rsid w:val="00A346EC"/>
    <w:rsid w:val="00A346FD"/>
    <w:rsid w:val="00A34931"/>
    <w:rsid w:val="00A3529C"/>
    <w:rsid w:val="00A3632A"/>
    <w:rsid w:val="00A36D07"/>
    <w:rsid w:val="00A36D9A"/>
    <w:rsid w:val="00A40A2B"/>
    <w:rsid w:val="00A42BC4"/>
    <w:rsid w:val="00A4334E"/>
    <w:rsid w:val="00A43640"/>
    <w:rsid w:val="00A43F31"/>
    <w:rsid w:val="00A441CE"/>
    <w:rsid w:val="00A44750"/>
    <w:rsid w:val="00A46220"/>
    <w:rsid w:val="00A46DA5"/>
    <w:rsid w:val="00A477B0"/>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D6A7E"/>
    <w:rsid w:val="00AE0219"/>
    <w:rsid w:val="00AE1233"/>
    <w:rsid w:val="00AE1E9B"/>
    <w:rsid w:val="00AE23FD"/>
    <w:rsid w:val="00AE3990"/>
    <w:rsid w:val="00AE6369"/>
    <w:rsid w:val="00AE63DE"/>
    <w:rsid w:val="00AF1F50"/>
    <w:rsid w:val="00AF26B3"/>
    <w:rsid w:val="00AF55EC"/>
    <w:rsid w:val="00AF65A2"/>
    <w:rsid w:val="00AF6936"/>
    <w:rsid w:val="00AF771D"/>
    <w:rsid w:val="00B00AB4"/>
    <w:rsid w:val="00B00CD9"/>
    <w:rsid w:val="00B014A0"/>
    <w:rsid w:val="00B0153F"/>
    <w:rsid w:val="00B03135"/>
    <w:rsid w:val="00B04178"/>
    <w:rsid w:val="00B048CC"/>
    <w:rsid w:val="00B04A34"/>
    <w:rsid w:val="00B06FE2"/>
    <w:rsid w:val="00B07095"/>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434"/>
    <w:rsid w:val="00B25A20"/>
    <w:rsid w:val="00B26902"/>
    <w:rsid w:val="00B26C68"/>
    <w:rsid w:val="00B30171"/>
    <w:rsid w:val="00B302F5"/>
    <w:rsid w:val="00B30302"/>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0612"/>
    <w:rsid w:val="00B61596"/>
    <w:rsid w:val="00B64BC3"/>
    <w:rsid w:val="00B661C0"/>
    <w:rsid w:val="00B66FDF"/>
    <w:rsid w:val="00B70712"/>
    <w:rsid w:val="00B70BB7"/>
    <w:rsid w:val="00B724E2"/>
    <w:rsid w:val="00B744CF"/>
    <w:rsid w:val="00B75363"/>
    <w:rsid w:val="00B766EE"/>
    <w:rsid w:val="00B8029F"/>
    <w:rsid w:val="00B8226C"/>
    <w:rsid w:val="00B84962"/>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B652B"/>
    <w:rsid w:val="00BC15E1"/>
    <w:rsid w:val="00BC1B9A"/>
    <w:rsid w:val="00BC47DD"/>
    <w:rsid w:val="00BC538C"/>
    <w:rsid w:val="00BC67EE"/>
    <w:rsid w:val="00BD222E"/>
    <w:rsid w:val="00BD6961"/>
    <w:rsid w:val="00BE0A11"/>
    <w:rsid w:val="00BE0E84"/>
    <w:rsid w:val="00BE1ECE"/>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1682"/>
    <w:rsid w:val="00C1294A"/>
    <w:rsid w:val="00C16B79"/>
    <w:rsid w:val="00C16D40"/>
    <w:rsid w:val="00C17D57"/>
    <w:rsid w:val="00C214AD"/>
    <w:rsid w:val="00C21BD8"/>
    <w:rsid w:val="00C24629"/>
    <w:rsid w:val="00C3003A"/>
    <w:rsid w:val="00C31819"/>
    <w:rsid w:val="00C31A61"/>
    <w:rsid w:val="00C32017"/>
    <w:rsid w:val="00C33BE7"/>
    <w:rsid w:val="00C35694"/>
    <w:rsid w:val="00C404ED"/>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3AF3"/>
    <w:rsid w:val="00C55064"/>
    <w:rsid w:val="00C56D72"/>
    <w:rsid w:val="00C5794A"/>
    <w:rsid w:val="00C61197"/>
    <w:rsid w:val="00C62EF1"/>
    <w:rsid w:val="00C65F8F"/>
    <w:rsid w:val="00C666CE"/>
    <w:rsid w:val="00C6714F"/>
    <w:rsid w:val="00C674FD"/>
    <w:rsid w:val="00C675D7"/>
    <w:rsid w:val="00C7077B"/>
    <w:rsid w:val="00C72499"/>
    <w:rsid w:val="00C729CD"/>
    <w:rsid w:val="00C73CBE"/>
    <w:rsid w:val="00C7631A"/>
    <w:rsid w:val="00C8251B"/>
    <w:rsid w:val="00C82AFE"/>
    <w:rsid w:val="00C8350E"/>
    <w:rsid w:val="00C86370"/>
    <w:rsid w:val="00C866C5"/>
    <w:rsid w:val="00C8703B"/>
    <w:rsid w:val="00C905CD"/>
    <w:rsid w:val="00C90997"/>
    <w:rsid w:val="00C92654"/>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31B6"/>
    <w:rsid w:val="00CC4AC7"/>
    <w:rsid w:val="00CC6087"/>
    <w:rsid w:val="00CC7630"/>
    <w:rsid w:val="00CC7C8D"/>
    <w:rsid w:val="00CD0071"/>
    <w:rsid w:val="00CD1EC5"/>
    <w:rsid w:val="00CD2FD4"/>
    <w:rsid w:val="00CD346D"/>
    <w:rsid w:val="00CD4000"/>
    <w:rsid w:val="00CD4769"/>
    <w:rsid w:val="00CD4C4B"/>
    <w:rsid w:val="00CD65F7"/>
    <w:rsid w:val="00CD688D"/>
    <w:rsid w:val="00CD6EF8"/>
    <w:rsid w:val="00CD7375"/>
    <w:rsid w:val="00CE2071"/>
    <w:rsid w:val="00CE5AED"/>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0DAF"/>
    <w:rsid w:val="00D118B2"/>
    <w:rsid w:val="00D11C4A"/>
    <w:rsid w:val="00D126AB"/>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009"/>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0DB5"/>
    <w:rsid w:val="00D75CED"/>
    <w:rsid w:val="00D80D4D"/>
    <w:rsid w:val="00D81F1F"/>
    <w:rsid w:val="00D8279E"/>
    <w:rsid w:val="00D83ED0"/>
    <w:rsid w:val="00D84206"/>
    <w:rsid w:val="00D848A7"/>
    <w:rsid w:val="00D84B8D"/>
    <w:rsid w:val="00D850DA"/>
    <w:rsid w:val="00D85520"/>
    <w:rsid w:val="00D860C3"/>
    <w:rsid w:val="00D86291"/>
    <w:rsid w:val="00D86770"/>
    <w:rsid w:val="00D87F19"/>
    <w:rsid w:val="00D90A28"/>
    <w:rsid w:val="00D96690"/>
    <w:rsid w:val="00D974D3"/>
    <w:rsid w:val="00D975E7"/>
    <w:rsid w:val="00D97757"/>
    <w:rsid w:val="00DA0916"/>
    <w:rsid w:val="00DA2723"/>
    <w:rsid w:val="00DA5080"/>
    <w:rsid w:val="00DA6452"/>
    <w:rsid w:val="00DA695E"/>
    <w:rsid w:val="00DA6ADA"/>
    <w:rsid w:val="00DA6C53"/>
    <w:rsid w:val="00DA7DC5"/>
    <w:rsid w:val="00DB02AD"/>
    <w:rsid w:val="00DB071D"/>
    <w:rsid w:val="00DB2081"/>
    <w:rsid w:val="00DB2715"/>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99D"/>
    <w:rsid w:val="00DE0AE4"/>
    <w:rsid w:val="00DE0BB8"/>
    <w:rsid w:val="00DE3399"/>
    <w:rsid w:val="00DE41DB"/>
    <w:rsid w:val="00DF27E2"/>
    <w:rsid w:val="00DF2896"/>
    <w:rsid w:val="00DF637A"/>
    <w:rsid w:val="00DF74C6"/>
    <w:rsid w:val="00E00B59"/>
    <w:rsid w:val="00E02998"/>
    <w:rsid w:val="00E029A1"/>
    <w:rsid w:val="00E02D97"/>
    <w:rsid w:val="00E0577E"/>
    <w:rsid w:val="00E07816"/>
    <w:rsid w:val="00E117CD"/>
    <w:rsid w:val="00E11D84"/>
    <w:rsid w:val="00E11E11"/>
    <w:rsid w:val="00E1267E"/>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11AC"/>
    <w:rsid w:val="00E5360E"/>
    <w:rsid w:val="00E617B0"/>
    <w:rsid w:val="00E6205C"/>
    <w:rsid w:val="00E6252B"/>
    <w:rsid w:val="00E64653"/>
    <w:rsid w:val="00E65519"/>
    <w:rsid w:val="00E65BBF"/>
    <w:rsid w:val="00E66729"/>
    <w:rsid w:val="00E67A36"/>
    <w:rsid w:val="00E71C71"/>
    <w:rsid w:val="00E746D4"/>
    <w:rsid w:val="00E749A3"/>
    <w:rsid w:val="00E749A5"/>
    <w:rsid w:val="00E74D1E"/>
    <w:rsid w:val="00E75779"/>
    <w:rsid w:val="00E7641F"/>
    <w:rsid w:val="00E811D2"/>
    <w:rsid w:val="00E867B8"/>
    <w:rsid w:val="00E87DB5"/>
    <w:rsid w:val="00E922E2"/>
    <w:rsid w:val="00E94C27"/>
    <w:rsid w:val="00E95454"/>
    <w:rsid w:val="00E9548A"/>
    <w:rsid w:val="00EA0247"/>
    <w:rsid w:val="00EA111A"/>
    <w:rsid w:val="00EA185B"/>
    <w:rsid w:val="00EA318F"/>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1D88"/>
    <w:rsid w:val="00EC3155"/>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6739"/>
    <w:rsid w:val="00EE7894"/>
    <w:rsid w:val="00EF0969"/>
    <w:rsid w:val="00EF22DD"/>
    <w:rsid w:val="00EF62FC"/>
    <w:rsid w:val="00EF7252"/>
    <w:rsid w:val="00F00EF4"/>
    <w:rsid w:val="00F021F4"/>
    <w:rsid w:val="00F02FB9"/>
    <w:rsid w:val="00F0301E"/>
    <w:rsid w:val="00F037D9"/>
    <w:rsid w:val="00F06DB3"/>
    <w:rsid w:val="00F07799"/>
    <w:rsid w:val="00F1100E"/>
    <w:rsid w:val="00F11288"/>
    <w:rsid w:val="00F115D6"/>
    <w:rsid w:val="00F146EC"/>
    <w:rsid w:val="00F14A31"/>
    <w:rsid w:val="00F14F56"/>
    <w:rsid w:val="00F1528B"/>
    <w:rsid w:val="00F1617E"/>
    <w:rsid w:val="00F16303"/>
    <w:rsid w:val="00F16D9D"/>
    <w:rsid w:val="00F176B6"/>
    <w:rsid w:val="00F20002"/>
    <w:rsid w:val="00F232A6"/>
    <w:rsid w:val="00F251AF"/>
    <w:rsid w:val="00F25526"/>
    <w:rsid w:val="00F26B20"/>
    <w:rsid w:val="00F30682"/>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66CAA"/>
    <w:rsid w:val="00F70717"/>
    <w:rsid w:val="00F71552"/>
    <w:rsid w:val="00F71EFB"/>
    <w:rsid w:val="00F7340B"/>
    <w:rsid w:val="00F745D4"/>
    <w:rsid w:val="00F74814"/>
    <w:rsid w:val="00F74AFD"/>
    <w:rsid w:val="00F76B94"/>
    <w:rsid w:val="00F80C33"/>
    <w:rsid w:val="00F81941"/>
    <w:rsid w:val="00F8226F"/>
    <w:rsid w:val="00F905AB"/>
    <w:rsid w:val="00F969CF"/>
    <w:rsid w:val="00FA0486"/>
    <w:rsid w:val="00FA1CF2"/>
    <w:rsid w:val="00FA27FD"/>
    <w:rsid w:val="00FA3E55"/>
    <w:rsid w:val="00FA5295"/>
    <w:rsid w:val="00FA5FDC"/>
    <w:rsid w:val="00FA660A"/>
    <w:rsid w:val="00FA6AA0"/>
    <w:rsid w:val="00FA6CDD"/>
    <w:rsid w:val="00FA7824"/>
    <w:rsid w:val="00FB09F9"/>
    <w:rsid w:val="00FB0C6B"/>
    <w:rsid w:val="00FB1117"/>
    <w:rsid w:val="00FB338E"/>
    <w:rsid w:val="00FB3B75"/>
    <w:rsid w:val="00FB4D67"/>
    <w:rsid w:val="00FB51BB"/>
    <w:rsid w:val="00FB63CD"/>
    <w:rsid w:val="00FB6AF9"/>
    <w:rsid w:val="00FB6CA7"/>
    <w:rsid w:val="00FC1918"/>
    <w:rsid w:val="00FC2280"/>
    <w:rsid w:val="00FC2322"/>
    <w:rsid w:val="00FC2877"/>
    <w:rsid w:val="00FC2DC3"/>
    <w:rsid w:val="00FC4F3C"/>
    <w:rsid w:val="00FC558C"/>
    <w:rsid w:val="00FC624B"/>
    <w:rsid w:val="00FC6C4A"/>
    <w:rsid w:val="00FD013C"/>
    <w:rsid w:val="00FD095F"/>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03927D33"/>
    <w:rsid w:val="056D18F0"/>
    <w:rsid w:val="081366B8"/>
    <w:rsid w:val="11E5455D"/>
    <w:rsid w:val="137779F7"/>
    <w:rsid w:val="15A32A25"/>
    <w:rsid w:val="1B167D7E"/>
    <w:rsid w:val="1D345BDE"/>
    <w:rsid w:val="1DD05E16"/>
    <w:rsid w:val="22870E2F"/>
    <w:rsid w:val="22C4090F"/>
    <w:rsid w:val="26D76490"/>
    <w:rsid w:val="2CE81BAF"/>
    <w:rsid w:val="34BD6F1E"/>
    <w:rsid w:val="36571275"/>
    <w:rsid w:val="36CA658A"/>
    <w:rsid w:val="38F33167"/>
    <w:rsid w:val="3BB32D5F"/>
    <w:rsid w:val="3C963D43"/>
    <w:rsid w:val="3D6231DB"/>
    <w:rsid w:val="4000256C"/>
    <w:rsid w:val="4D63442B"/>
    <w:rsid w:val="4F9712C8"/>
    <w:rsid w:val="506A1849"/>
    <w:rsid w:val="55432304"/>
    <w:rsid w:val="5BB92A8A"/>
    <w:rsid w:val="5C556F87"/>
    <w:rsid w:val="5D445730"/>
    <w:rsid w:val="5DC52492"/>
    <w:rsid w:val="5F9A2102"/>
    <w:rsid w:val="60FD34BD"/>
    <w:rsid w:val="63112326"/>
    <w:rsid w:val="647559F8"/>
    <w:rsid w:val="67311D73"/>
    <w:rsid w:val="6B8A1B65"/>
    <w:rsid w:val="6BC1702A"/>
    <w:rsid w:val="6D046F85"/>
    <w:rsid w:val="6D2C554B"/>
    <w:rsid w:val="6FAB5603"/>
    <w:rsid w:val="720C4779"/>
    <w:rsid w:val="73AA65FF"/>
    <w:rsid w:val="75BE6EB5"/>
    <w:rsid w:val="7DE24E9C"/>
    <w:rsid w:val="7EEF6C2A"/>
    <w:rsid w:val="7F07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qFormat/>
    <w:uiPriority w:val="99"/>
    <w:pPr>
      <w:jc w:val="left"/>
    </w:pPr>
    <w:rPr>
      <w:sz w:val="24"/>
      <w:szCs w:val="20"/>
    </w:rPr>
  </w:style>
  <w:style w:type="paragraph" w:styleId="5">
    <w:name w:val="Body Text"/>
    <w:basedOn w:val="1"/>
    <w:link w:val="42"/>
    <w:unhideWhenUsed/>
    <w:qFormat/>
    <w:locked/>
    <w:uiPriority w:val="99"/>
    <w:pPr>
      <w:spacing w:after="120"/>
    </w:pPr>
  </w:style>
  <w:style w:type="paragraph" w:styleId="6">
    <w:name w:val="Body Text Indent"/>
    <w:basedOn w:val="1"/>
    <w:link w:val="24"/>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5"/>
    <w:qFormat/>
    <w:uiPriority w:val="0"/>
    <w:rPr>
      <w:rFonts w:ascii="宋体" w:hAnsi="Courier New"/>
      <w:szCs w:val="20"/>
    </w:rPr>
  </w:style>
  <w:style w:type="paragraph" w:styleId="10">
    <w:name w:val="Date"/>
    <w:basedOn w:val="1"/>
    <w:next w:val="1"/>
    <w:link w:val="26"/>
    <w:qFormat/>
    <w:uiPriority w:val="99"/>
    <w:pPr>
      <w:ind w:left="100" w:leftChars="2500"/>
    </w:pPr>
    <w:rPr>
      <w:sz w:val="24"/>
      <w:szCs w:val="20"/>
    </w:rPr>
  </w:style>
  <w:style w:type="paragraph" w:styleId="11">
    <w:name w:val="Balloon Text"/>
    <w:basedOn w:val="1"/>
    <w:link w:val="27"/>
    <w:semiHidden/>
    <w:qFormat/>
    <w:uiPriority w:val="99"/>
    <w:rPr>
      <w:kern w:val="0"/>
      <w:sz w:val="2"/>
      <w:szCs w:val="20"/>
    </w:rPr>
  </w:style>
  <w:style w:type="paragraph" w:styleId="12">
    <w:name w:val="footer"/>
    <w:basedOn w:val="1"/>
    <w:link w:val="28"/>
    <w:qFormat/>
    <w:uiPriority w:val="99"/>
    <w:pPr>
      <w:tabs>
        <w:tab w:val="center" w:pos="4153"/>
        <w:tab w:val="right" w:pos="8306"/>
      </w:tabs>
      <w:snapToGrid w:val="0"/>
      <w:jc w:val="left"/>
    </w:pPr>
    <w:rPr>
      <w:kern w:val="0"/>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0"/>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locked/>
    <w:uiPriority w:val="99"/>
    <w:rPr>
      <w:color w:val="800080" w:themeColor="followedHyperlink"/>
      <w:u w:val="single"/>
      <w14:textFill>
        <w14:solidFill>
          <w14:schemeClr w14:val="folHlink"/>
        </w14:solidFill>
      </w14:textFill>
    </w:rPr>
  </w:style>
  <w:style w:type="character" w:styleId="20">
    <w:name w:val="Hyperlink"/>
    <w:qFormat/>
    <w:uiPriority w:val="99"/>
    <w:rPr>
      <w:rFonts w:cs="Times New Roman"/>
      <w:color w:val="0563C1"/>
      <w:u w:val="single"/>
    </w:rPr>
  </w:style>
  <w:style w:type="character" w:styleId="21">
    <w:name w:val="annotation reference"/>
    <w:qFormat/>
    <w:uiPriority w:val="99"/>
    <w:rPr>
      <w:rFonts w:cs="Times New Roman"/>
      <w:sz w:val="21"/>
    </w:rPr>
  </w:style>
  <w:style w:type="character" w:customStyle="1" w:styleId="22">
    <w:name w:val="标题 1 Char"/>
    <w:link w:val="3"/>
    <w:qFormat/>
    <w:locked/>
    <w:uiPriority w:val="99"/>
    <w:rPr>
      <w:rFonts w:cs="Times New Roman"/>
      <w:b/>
      <w:kern w:val="44"/>
      <w:sz w:val="44"/>
    </w:rPr>
  </w:style>
  <w:style w:type="character" w:customStyle="1" w:styleId="23">
    <w:name w:val="批注文字 Char"/>
    <w:link w:val="4"/>
    <w:qFormat/>
    <w:locked/>
    <w:uiPriority w:val="99"/>
    <w:rPr>
      <w:rFonts w:cs="Times New Roman"/>
      <w:kern w:val="2"/>
      <w:sz w:val="24"/>
    </w:rPr>
  </w:style>
  <w:style w:type="character" w:customStyle="1" w:styleId="24">
    <w:name w:val="正文文本缩进 Char"/>
    <w:link w:val="6"/>
    <w:qFormat/>
    <w:locked/>
    <w:uiPriority w:val="99"/>
    <w:rPr>
      <w:rFonts w:ascii="等线" w:eastAsia="等线" w:cs="Times New Roman"/>
      <w:kern w:val="2"/>
      <w:sz w:val="22"/>
    </w:rPr>
  </w:style>
  <w:style w:type="character" w:customStyle="1" w:styleId="25">
    <w:name w:val="纯文本 Char"/>
    <w:link w:val="9"/>
    <w:qFormat/>
    <w:locked/>
    <w:uiPriority w:val="0"/>
    <w:rPr>
      <w:rFonts w:ascii="宋体" w:hAnsi="Courier New" w:cs="Times New Roman"/>
      <w:kern w:val="2"/>
      <w:sz w:val="21"/>
    </w:rPr>
  </w:style>
  <w:style w:type="character" w:customStyle="1" w:styleId="26">
    <w:name w:val="日期 Char"/>
    <w:link w:val="10"/>
    <w:qFormat/>
    <w:locked/>
    <w:uiPriority w:val="99"/>
    <w:rPr>
      <w:rFonts w:cs="Times New Roman"/>
      <w:kern w:val="2"/>
      <w:sz w:val="24"/>
    </w:rPr>
  </w:style>
  <w:style w:type="character" w:customStyle="1" w:styleId="27">
    <w:name w:val="批注框文本 Char"/>
    <w:link w:val="11"/>
    <w:semiHidden/>
    <w:qFormat/>
    <w:locked/>
    <w:uiPriority w:val="99"/>
    <w:rPr>
      <w:rFonts w:cs="Times New Roman"/>
      <w:sz w:val="2"/>
    </w:rPr>
  </w:style>
  <w:style w:type="character" w:customStyle="1" w:styleId="28">
    <w:name w:val="页脚 Char"/>
    <w:link w:val="12"/>
    <w:semiHidden/>
    <w:qFormat/>
    <w:locked/>
    <w:uiPriority w:val="99"/>
    <w:rPr>
      <w:rFonts w:cs="Times New Roman"/>
      <w:sz w:val="18"/>
      <w:szCs w:val="18"/>
    </w:rPr>
  </w:style>
  <w:style w:type="character" w:customStyle="1" w:styleId="29">
    <w:name w:val="页眉 Char"/>
    <w:link w:val="13"/>
    <w:qFormat/>
    <w:locked/>
    <w:uiPriority w:val="99"/>
    <w:rPr>
      <w:rFonts w:cs="Times New Roman"/>
      <w:kern w:val="2"/>
      <w:sz w:val="18"/>
    </w:rPr>
  </w:style>
  <w:style w:type="character" w:customStyle="1" w:styleId="30">
    <w:name w:val="批注主题 Char"/>
    <w:link w:val="15"/>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Char"/>
    <w:link w:val="33"/>
    <w:qFormat/>
    <w:locked/>
    <w:uiPriority w:val="0"/>
  </w:style>
  <w:style w:type="paragraph" w:styleId="33">
    <w:name w:val="List Paragraph"/>
    <w:basedOn w:val="1"/>
    <w:link w:val="32"/>
    <w:qFormat/>
    <w:uiPriority w:val="0"/>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Char"/>
    <w:link w:val="5"/>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character" w:customStyle="1" w:styleId="44">
    <w:name w:val="font212"/>
    <w:basedOn w:val="18"/>
    <w:qFormat/>
    <w:uiPriority w:val="0"/>
    <w:rPr>
      <w:rFonts w:hint="eastAsia" w:ascii="宋体" w:hAnsi="宋体" w:eastAsia="宋体" w:cs="宋体"/>
      <w:color w:val="000000"/>
      <w:sz w:val="18"/>
      <w:szCs w:val="18"/>
      <w:u w:val="none"/>
    </w:rPr>
  </w:style>
  <w:style w:type="character" w:customStyle="1" w:styleId="45">
    <w:name w:val="font231"/>
    <w:basedOn w:val="18"/>
    <w:qFormat/>
    <w:uiPriority w:val="0"/>
    <w:rPr>
      <w:rFonts w:hint="eastAsia" w:ascii="宋体" w:hAnsi="宋体" w:eastAsia="宋体" w:cs="宋体"/>
      <w:b/>
      <w:color w:val="FF0000"/>
      <w:sz w:val="18"/>
      <w:szCs w:val="18"/>
      <w:u w:val="none"/>
    </w:rPr>
  </w:style>
  <w:style w:type="paragraph" w:customStyle="1" w:styleId="46">
    <w:name w:val="表格样式"/>
    <w:basedOn w:val="1"/>
    <w:qFormat/>
    <w:uiPriority w:val="0"/>
    <w:pPr>
      <w:spacing w:beforeLines="30" w:afterLines="30"/>
      <w:jc w:val="left"/>
    </w:pPr>
    <w:rPr>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AA3C4-7FED-4645-8AD1-132766F26E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3931</Words>
  <Characters>22407</Characters>
  <Lines>186</Lines>
  <Paragraphs>52</Paragraphs>
  <TotalTime>5</TotalTime>
  <ScaleCrop>false</ScaleCrop>
  <LinksUpToDate>false</LinksUpToDate>
  <CharactersWithSpaces>26286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2020-09-02T04:52:00Z</dcterms:created>
  <dc:creator>微软用户</dc:creator>
  <cp:lastModifiedBy>nxdlu</cp:lastModifiedBy>
  <cp:lastPrinted>2020-08-07T01:34:00Z</cp:lastPrinted>
  <dcterms:modified xsi:type="dcterms:W3CDTF">2020-09-02T07:31:18Z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