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highlight w:val="none"/>
        </w:rPr>
      </w:pPr>
      <w:bookmarkStart w:id="11" w:name="_GoBack"/>
      <w:bookmarkStart w:id="0" w:name="OLE_LINK2"/>
      <w:bookmarkStart w:id="1" w:name="OLE_LINK1"/>
      <w:r>
        <w:rPr>
          <w:b/>
          <w:color w:val="auto"/>
          <w:sz w:val="44"/>
          <w:szCs w:val="44"/>
          <w:highlight w:val="none"/>
        </w:rPr>
        <w:t>南京信息工程大学</w:t>
      </w:r>
      <w:bookmarkEnd w:id="0"/>
      <w:bookmarkEnd w:id="1"/>
      <w:r>
        <w:rPr>
          <w:rFonts w:hint="eastAsia"/>
          <w:b/>
          <w:color w:val="auto"/>
          <w:sz w:val="44"/>
          <w:szCs w:val="44"/>
          <w:highlight w:val="none"/>
        </w:rPr>
        <w:t>大气与环境实验教学中心服务器</w:t>
      </w:r>
      <w:r>
        <w:rPr>
          <w:rFonts w:hint="eastAsia" w:ascii="宋体" w:hAnsi="宋体"/>
          <w:b/>
          <w:color w:val="auto"/>
          <w:sz w:val="44"/>
          <w:szCs w:val="44"/>
          <w:highlight w:val="none"/>
        </w:rPr>
        <w:t>采购</w:t>
      </w:r>
      <w:r>
        <w:rPr>
          <w:rFonts w:hint="eastAsia"/>
          <w:b/>
          <w:color w:val="auto"/>
          <w:sz w:val="44"/>
          <w:szCs w:val="44"/>
          <w:highlight w:val="none"/>
        </w:rPr>
        <w:t>项目</w:t>
      </w:r>
      <w:r>
        <w:rPr>
          <w:b/>
          <w:color w:val="auto"/>
          <w:sz w:val="44"/>
          <w:szCs w:val="44"/>
          <w:highlight w:val="none"/>
        </w:rPr>
        <w:t>招标文件</w:t>
      </w:r>
    </w:p>
    <w:p>
      <w:pPr>
        <w:pStyle w:val="8"/>
        <w:ind w:left="1470" w:right="1470"/>
        <w:rPr>
          <w:color w:val="auto"/>
          <w:highlight w:val="none"/>
        </w:rPr>
      </w:pPr>
    </w:p>
    <w:p>
      <w:pPr>
        <w:adjustRightInd w:val="0"/>
        <w:snapToGrid w:val="0"/>
        <w:spacing w:line="360" w:lineRule="auto"/>
        <w:jc w:val="center"/>
        <w:rPr>
          <w:rFonts w:ascii="宋体" w:hAnsi="宋体" w:cs="仿宋"/>
          <w:color w:val="auto"/>
          <w:sz w:val="28"/>
          <w:szCs w:val="28"/>
          <w:highlight w:val="none"/>
        </w:rPr>
      </w:pPr>
      <w:r>
        <w:rPr>
          <w:rFonts w:hint="eastAsia" w:ascii="宋体" w:hAnsi="宋体" w:cs="仿宋"/>
          <w:color w:val="auto"/>
          <w:sz w:val="28"/>
          <w:szCs w:val="28"/>
          <w:highlight w:val="none"/>
        </w:rPr>
        <w:t>（招标编号：SBC2020057）</w:t>
      </w:r>
    </w:p>
    <w:p>
      <w:pPr>
        <w:adjustRightInd w:val="0"/>
        <w:snapToGrid w:val="0"/>
        <w:spacing w:line="360" w:lineRule="auto"/>
        <w:jc w:val="center"/>
        <w:rPr>
          <w:rFonts w:ascii="宋体" w:cs="仿宋"/>
          <w:color w:val="auto"/>
          <w:sz w:val="28"/>
          <w:szCs w:val="28"/>
          <w:highlight w:val="none"/>
        </w:rPr>
      </w:pPr>
    </w:p>
    <w:p>
      <w:pPr>
        <w:adjustRightInd w:val="0"/>
        <w:snapToGrid w:val="0"/>
        <w:spacing w:line="360" w:lineRule="auto"/>
        <w:jc w:val="center"/>
        <w:rPr>
          <w:rFonts w:ascii="宋体" w:cs="仿宋"/>
          <w:color w:val="auto"/>
          <w:sz w:val="28"/>
          <w:szCs w:val="28"/>
          <w:highlight w:val="none"/>
        </w:rPr>
      </w:pPr>
      <w:r>
        <w:rPr>
          <w:rFonts w:ascii="宋体" w:hAnsi="宋体" w:cs="仿宋"/>
          <w:color w:val="auto"/>
          <w:sz w:val="28"/>
          <w:szCs w:val="28"/>
          <w:highlight w:val="none"/>
        </w:rPr>
        <w:t>(</w:t>
      </w:r>
      <w:r>
        <w:rPr>
          <w:rFonts w:ascii="宋体" w:hAnsi="宋体" w:cs="仿宋"/>
          <w:color w:val="auto"/>
          <w:sz w:val="28"/>
          <w:szCs w:val="28"/>
          <w:highlight w:val="none"/>
          <w:u w:val="single"/>
        </w:rPr>
        <w:t>20</w:t>
      </w:r>
      <w:r>
        <w:rPr>
          <w:rFonts w:hint="eastAsia" w:ascii="宋体" w:hAnsi="宋体" w:cs="仿宋"/>
          <w:color w:val="auto"/>
          <w:sz w:val="28"/>
          <w:szCs w:val="28"/>
          <w:highlight w:val="none"/>
          <w:u w:val="single"/>
        </w:rPr>
        <w:t>20年07月</w:t>
      </w:r>
      <w:r>
        <w:rPr>
          <w:rFonts w:hint="eastAsia" w:ascii="宋体" w:hAnsi="宋体" w:cs="仿宋"/>
          <w:color w:val="auto"/>
          <w:sz w:val="28"/>
          <w:szCs w:val="28"/>
          <w:highlight w:val="none"/>
          <w:u w:val="single"/>
          <w:lang w:val="en-US" w:eastAsia="zh-CN"/>
        </w:rPr>
        <w:t>23</w:t>
      </w:r>
      <w:r>
        <w:rPr>
          <w:rFonts w:hint="eastAsia" w:ascii="宋体" w:hAnsi="宋体" w:cs="仿宋"/>
          <w:color w:val="auto"/>
          <w:sz w:val="28"/>
          <w:szCs w:val="28"/>
          <w:highlight w:val="none"/>
          <w:u w:val="single"/>
        </w:rPr>
        <w:t>日</w:t>
      </w:r>
      <w:r>
        <w:rPr>
          <w:rFonts w:hint="eastAsia" w:ascii="宋体" w:hAnsi="宋体" w:cs="仿宋"/>
          <w:color w:val="auto"/>
          <w:sz w:val="28"/>
          <w:szCs w:val="28"/>
          <w:highlight w:val="none"/>
          <w:u w:val="single"/>
          <w:lang w:val="en-US" w:eastAsia="zh-CN"/>
        </w:rPr>
        <w:t>15</w:t>
      </w:r>
      <w:r>
        <w:rPr>
          <w:rFonts w:hint="eastAsia" w:ascii="宋体" w:hAnsi="宋体" w:cs="仿宋"/>
          <w:color w:val="auto"/>
          <w:sz w:val="28"/>
          <w:szCs w:val="28"/>
          <w:highlight w:val="none"/>
          <w:u w:val="single"/>
        </w:rPr>
        <w:t>：</w:t>
      </w:r>
      <w:r>
        <w:rPr>
          <w:rFonts w:ascii="宋体" w:cs="仿宋"/>
          <w:color w:val="auto"/>
          <w:sz w:val="28"/>
          <w:szCs w:val="28"/>
          <w:highlight w:val="none"/>
          <w:u w:val="single"/>
        </w:rPr>
        <w:t>00</w:t>
      </w:r>
      <w:r>
        <w:rPr>
          <w:rFonts w:hint="eastAsia" w:ascii="宋体" w:hAnsi="宋体" w:cs="仿宋"/>
          <w:color w:val="auto"/>
          <w:sz w:val="28"/>
          <w:szCs w:val="28"/>
          <w:highlight w:val="none"/>
          <w:u w:val="single"/>
        </w:rPr>
        <w:t>定标发标版</w:t>
      </w:r>
      <w:r>
        <w:rPr>
          <w:rFonts w:ascii="宋体" w:hAnsi="宋体" w:cs="仿宋"/>
          <w:color w:val="auto"/>
          <w:sz w:val="28"/>
          <w:szCs w:val="28"/>
          <w:highlight w:val="none"/>
        </w:rPr>
        <w:t>)</w:t>
      </w:r>
    </w:p>
    <w:p>
      <w:pPr>
        <w:jc w:val="center"/>
        <w:rPr>
          <w:b/>
          <w:color w:val="auto"/>
          <w:sz w:val="28"/>
          <w:szCs w:val="28"/>
          <w:highlight w:val="none"/>
        </w:rPr>
      </w:pPr>
    </w:p>
    <w:p>
      <w:pPr>
        <w:spacing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为满足学校相关</w:t>
      </w:r>
      <w:r>
        <w:rPr>
          <w:rFonts w:hint="eastAsia" w:ascii="宋体" w:hAnsi="宋体"/>
          <w:color w:val="auto"/>
          <w:sz w:val="28"/>
          <w:szCs w:val="28"/>
          <w:highlight w:val="none"/>
        </w:rPr>
        <w:t>教学</w:t>
      </w:r>
      <w:r>
        <w:rPr>
          <w:rFonts w:ascii="宋体" w:hAnsi="宋体"/>
          <w:color w:val="auto"/>
          <w:sz w:val="28"/>
          <w:szCs w:val="28"/>
          <w:highlight w:val="none"/>
        </w:rPr>
        <w:t>科研工作需要，受校实验室与设备管理处委托，就</w:t>
      </w:r>
      <w:r>
        <w:rPr>
          <w:rFonts w:hint="eastAsia" w:ascii="宋体" w:hAnsi="宋体"/>
          <w:color w:val="auto"/>
          <w:sz w:val="28"/>
          <w:szCs w:val="28"/>
          <w:highlight w:val="none"/>
        </w:rPr>
        <w:t>大气与环境实验教学中心服务器采购项目</w:t>
      </w:r>
      <w:r>
        <w:rPr>
          <w:rFonts w:ascii="宋体" w:hAnsi="宋体"/>
          <w:color w:val="auto"/>
          <w:sz w:val="28"/>
          <w:szCs w:val="28"/>
          <w:highlight w:val="none"/>
        </w:rPr>
        <w:t>进行公开招标，欢迎符合条件的供应商报名投标，现将有关情况说明如下：</w:t>
      </w:r>
    </w:p>
    <w:p>
      <w:pPr>
        <w:spacing w:line="360" w:lineRule="auto"/>
        <w:ind w:firstLine="480" w:firstLineChars="200"/>
        <w:rPr>
          <w:color w:val="auto"/>
          <w:sz w:val="24"/>
          <w:highlight w:val="none"/>
        </w:rPr>
      </w:pPr>
    </w:p>
    <w:p>
      <w:pPr>
        <w:pStyle w:val="33"/>
        <w:spacing w:line="360" w:lineRule="auto"/>
        <w:ind w:firstLine="0" w:firstLineChars="0"/>
        <w:jc w:val="center"/>
        <w:outlineLvl w:val="0"/>
        <w:rPr>
          <w:rFonts w:ascii="宋体" w:hAnsi="宋体" w:cs="仿宋"/>
          <w:b/>
          <w:bCs/>
          <w:color w:val="auto"/>
          <w:kern w:val="2"/>
          <w:sz w:val="28"/>
          <w:szCs w:val="28"/>
          <w:highlight w:val="none"/>
        </w:rPr>
      </w:pPr>
      <w:r>
        <w:rPr>
          <w:rFonts w:hint="eastAsia" w:ascii="宋体" w:hAnsi="宋体" w:cs="仿宋"/>
          <w:b/>
          <w:bCs/>
          <w:color w:val="auto"/>
          <w:kern w:val="2"/>
          <w:sz w:val="28"/>
          <w:szCs w:val="28"/>
          <w:highlight w:val="none"/>
        </w:rPr>
        <w:t>一、招标项目名称及简要说明</w:t>
      </w:r>
    </w:p>
    <w:p>
      <w:pPr>
        <w:pStyle w:val="33"/>
        <w:spacing w:line="360" w:lineRule="auto"/>
        <w:ind w:firstLine="560"/>
        <w:rPr>
          <w:rFonts w:ascii="宋体" w:hAnsi="宋体"/>
          <w:color w:val="auto"/>
          <w:kern w:val="2"/>
          <w:sz w:val="28"/>
          <w:szCs w:val="28"/>
          <w:highlight w:val="none"/>
        </w:rPr>
      </w:pPr>
      <w:r>
        <w:rPr>
          <w:rFonts w:ascii="宋体" w:hAnsi="宋体"/>
          <w:color w:val="auto"/>
          <w:kern w:val="2"/>
          <w:sz w:val="28"/>
          <w:szCs w:val="28"/>
          <w:highlight w:val="none"/>
        </w:rPr>
        <w:t>1. 项目名称：南京信息工程大学</w:t>
      </w:r>
      <w:r>
        <w:rPr>
          <w:rFonts w:hint="eastAsia" w:ascii="宋体" w:hAnsi="宋体"/>
          <w:color w:val="auto"/>
          <w:sz w:val="28"/>
          <w:szCs w:val="28"/>
          <w:highlight w:val="none"/>
        </w:rPr>
        <w:t>大气与环境实验教学中心服务器采购项目</w:t>
      </w:r>
      <w:r>
        <w:rPr>
          <w:rFonts w:ascii="宋体" w:hAnsi="宋体"/>
          <w:color w:val="auto"/>
          <w:kern w:val="2"/>
          <w:sz w:val="28"/>
          <w:szCs w:val="28"/>
          <w:highlight w:val="none"/>
        </w:rPr>
        <w:t>。</w:t>
      </w:r>
    </w:p>
    <w:p>
      <w:pPr>
        <w:spacing w:line="300" w:lineRule="auto"/>
        <w:ind w:firstLine="560" w:firstLineChars="200"/>
        <w:rPr>
          <w:rFonts w:ascii="宋体" w:hAnsi="宋体"/>
          <w:color w:val="auto"/>
          <w:sz w:val="28"/>
          <w:szCs w:val="28"/>
          <w:highlight w:val="none"/>
        </w:rPr>
      </w:pPr>
      <w:r>
        <w:rPr>
          <w:rFonts w:ascii="宋体" w:hAnsi="宋体"/>
          <w:color w:val="auto"/>
          <w:sz w:val="28"/>
          <w:szCs w:val="28"/>
          <w:highlight w:val="none"/>
        </w:rPr>
        <w:t xml:space="preserve">2. </w:t>
      </w:r>
      <w:r>
        <w:rPr>
          <w:rFonts w:hint="eastAsia" w:ascii="宋体" w:hAnsi="宋体" w:cs="仿宋"/>
          <w:color w:val="auto"/>
          <w:sz w:val="28"/>
          <w:szCs w:val="28"/>
          <w:highlight w:val="none"/>
        </w:rPr>
        <w:t>项目说明：</w:t>
      </w:r>
      <w:r>
        <w:rPr>
          <w:rFonts w:hint="eastAsia" w:ascii="宋体" w:hAnsi="宋体"/>
          <w:color w:val="auto"/>
          <w:sz w:val="28"/>
          <w:szCs w:val="28"/>
          <w:highlight w:val="none"/>
        </w:rPr>
        <w:t>南京信息工程大学校内，本次招标</w:t>
      </w:r>
      <w:r>
        <w:rPr>
          <w:rFonts w:hint="eastAsia" w:ascii="宋体" w:hAnsi="宋体" w:cs="仿宋"/>
          <w:color w:val="auto"/>
          <w:sz w:val="28"/>
          <w:szCs w:val="28"/>
          <w:highlight w:val="none"/>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color w:val="auto"/>
          <w:sz w:val="28"/>
          <w:szCs w:val="28"/>
          <w:highlight w:val="none"/>
        </w:rPr>
      </w:pPr>
      <w:r>
        <w:rPr>
          <w:rFonts w:ascii="宋体" w:hAnsi="宋体"/>
          <w:color w:val="auto"/>
          <w:sz w:val="28"/>
          <w:szCs w:val="28"/>
          <w:highlight w:val="none"/>
        </w:rPr>
        <w:t>3</w:t>
      </w:r>
      <w:bookmarkStart w:id="2" w:name="_Hlk9865971"/>
      <w:r>
        <w:rPr>
          <w:rFonts w:hint="eastAsia" w:ascii="宋体" w:hAnsi="宋体"/>
          <w:color w:val="auto"/>
          <w:sz w:val="28"/>
          <w:szCs w:val="28"/>
          <w:highlight w:val="none"/>
        </w:rPr>
        <w:t>.本次招标采取公开招标方式，不承诺最低价（最高价）中标。招标公告和中标公示信息均在</w:t>
      </w:r>
      <w:r>
        <w:rPr>
          <w:color w:val="auto"/>
          <w:highlight w:val="none"/>
        </w:rPr>
        <w:fldChar w:fldCharType="begin"/>
      </w:r>
      <w:r>
        <w:rPr>
          <w:color w:val="auto"/>
          <w:highlight w:val="none"/>
        </w:rPr>
        <w:instrText xml:space="preserve"> HYPERLINK "https://bulletin.nuist.edu.cn/779/list.htm" </w:instrText>
      </w:r>
      <w:r>
        <w:rPr>
          <w:color w:val="auto"/>
          <w:highlight w:val="none"/>
        </w:rPr>
        <w:fldChar w:fldCharType="separate"/>
      </w:r>
      <w:r>
        <w:rPr>
          <w:rStyle w:val="20"/>
          <w:b/>
          <w:color w:val="auto"/>
          <w:sz w:val="24"/>
          <w:highlight w:val="none"/>
        </w:rPr>
        <w:t>https://bulletin.nuist.edu.cn/779/lis</w:t>
      </w:r>
      <w:r>
        <w:rPr>
          <w:rStyle w:val="20"/>
          <w:color w:val="auto"/>
          <w:sz w:val="24"/>
          <w:highlight w:val="none"/>
        </w:rPr>
        <w:t>t.htm</w:t>
      </w:r>
      <w:r>
        <w:rPr>
          <w:rStyle w:val="20"/>
          <w:color w:val="auto"/>
          <w:sz w:val="24"/>
          <w:highlight w:val="none"/>
        </w:rPr>
        <w:fldChar w:fldCharType="end"/>
      </w:r>
      <w:r>
        <w:rPr>
          <w:rFonts w:hint="eastAsia" w:ascii="宋体" w:hAnsi="宋体"/>
          <w:color w:val="auto"/>
          <w:sz w:val="28"/>
          <w:szCs w:val="28"/>
          <w:highlight w:val="none"/>
        </w:rPr>
        <w:t>和</w:t>
      </w:r>
      <w:r>
        <w:rPr>
          <w:color w:val="auto"/>
          <w:highlight w:val="none"/>
        </w:rPr>
        <w:fldChar w:fldCharType="begin"/>
      </w:r>
      <w:r>
        <w:rPr>
          <w:color w:val="auto"/>
          <w:highlight w:val="none"/>
        </w:rPr>
        <w:instrText xml:space="preserve"> HYPERLINK "http://zbc.nuist.edu.cn" </w:instrText>
      </w:r>
      <w:r>
        <w:rPr>
          <w:color w:val="auto"/>
          <w:highlight w:val="none"/>
        </w:rPr>
        <w:fldChar w:fldCharType="separate"/>
      </w:r>
      <w:r>
        <w:rPr>
          <w:rFonts w:ascii="宋体" w:hAnsi="宋体"/>
          <w:b/>
          <w:color w:val="auto"/>
          <w:sz w:val="24"/>
          <w:szCs w:val="28"/>
          <w:highlight w:val="none"/>
        </w:rPr>
        <w:t>zbc.nuist.edu.cn</w:t>
      </w:r>
      <w:r>
        <w:rPr>
          <w:rFonts w:ascii="宋体" w:hAnsi="宋体"/>
          <w:b/>
          <w:color w:val="auto"/>
          <w:sz w:val="24"/>
          <w:szCs w:val="28"/>
          <w:highlight w:val="none"/>
        </w:rPr>
        <w:fldChar w:fldCharType="end"/>
      </w:r>
      <w:r>
        <w:rPr>
          <w:rFonts w:hint="eastAsia" w:ascii="宋体" w:hAnsi="宋体"/>
          <w:color w:val="auto"/>
          <w:sz w:val="28"/>
          <w:szCs w:val="28"/>
          <w:highlight w:val="none"/>
        </w:rPr>
        <w:t>网页上公开发布</w:t>
      </w:r>
      <w:r>
        <w:rPr>
          <w:rFonts w:ascii="宋体"/>
          <w:color w:val="auto"/>
          <w:sz w:val="28"/>
          <w:szCs w:val="28"/>
          <w:highlight w:val="none"/>
        </w:rPr>
        <w:t>,</w:t>
      </w:r>
      <w:r>
        <w:rPr>
          <w:rFonts w:hint="eastAsia" w:ascii="宋体" w:hAnsi="宋体"/>
          <w:color w:val="auto"/>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cs="宋体"/>
          <w:color w:val="auto"/>
          <w:sz w:val="28"/>
          <w:szCs w:val="28"/>
          <w:highlight w:val="none"/>
        </w:rPr>
      </w:pPr>
      <w:r>
        <w:rPr>
          <w:rFonts w:ascii="宋体" w:hAnsi="宋体"/>
          <w:color w:val="auto"/>
          <w:sz w:val="28"/>
          <w:szCs w:val="28"/>
          <w:highlight w:val="none"/>
        </w:rPr>
        <w:t>4</w:t>
      </w:r>
      <w:bookmarkStart w:id="3" w:name="_Hlk9866054"/>
      <w:r>
        <w:rPr>
          <w:rFonts w:hint="eastAsia" w:ascii="宋体" w:hAnsi="宋体"/>
          <w:color w:val="auto"/>
          <w:sz w:val="28"/>
          <w:szCs w:val="28"/>
          <w:highlight w:val="none"/>
        </w:rPr>
        <w:t>.招标文件由我校采购人、项目归口管理部门和招标办联合起草；经学校相关职能部门会审通过形成正式招标文件。同时</w:t>
      </w:r>
      <w:r>
        <w:rPr>
          <w:rFonts w:hint="eastAsia" w:ascii="宋体" w:hAnsi="宋体" w:cs="宋体"/>
          <w:color w:val="auto"/>
          <w:sz w:val="28"/>
          <w:szCs w:val="28"/>
          <w:highlight w:val="none"/>
        </w:rPr>
        <w:t>打印</w:t>
      </w:r>
      <w:r>
        <w:rPr>
          <w:rFonts w:ascii="宋体" w:hAnsi="宋体" w:cs="宋体"/>
          <w:color w:val="auto"/>
          <w:sz w:val="28"/>
          <w:szCs w:val="28"/>
          <w:highlight w:val="none"/>
        </w:rPr>
        <w:t>3</w:t>
      </w:r>
      <w:r>
        <w:rPr>
          <w:rFonts w:hint="eastAsia" w:ascii="宋体" w:hAnsi="宋体" w:cs="宋体"/>
          <w:color w:val="auto"/>
          <w:sz w:val="28"/>
          <w:szCs w:val="28"/>
          <w:highlight w:val="none"/>
        </w:rPr>
        <w:t>份纸质的正式招标文件，由招标办负责人和招标办工作人员同时签字并加盖财务处骑缝章后，分别交招标办、项目归口管理部门（或采购人）、审计处各</w:t>
      </w:r>
      <w:r>
        <w:rPr>
          <w:rFonts w:ascii="宋体" w:hAnsi="宋体" w:cs="宋体"/>
          <w:color w:val="auto"/>
          <w:sz w:val="28"/>
          <w:szCs w:val="28"/>
          <w:highlight w:val="none"/>
        </w:rPr>
        <w:t>1</w:t>
      </w:r>
      <w:r>
        <w:rPr>
          <w:rFonts w:hint="eastAsia" w:ascii="宋体" w:hAnsi="宋体" w:cs="宋体"/>
          <w:color w:val="auto"/>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color w:val="auto"/>
          <w:sz w:val="28"/>
          <w:szCs w:val="28"/>
          <w:highlight w:val="none"/>
        </w:rPr>
      </w:pPr>
      <w:r>
        <w:rPr>
          <w:rFonts w:ascii="宋体" w:hAnsi="宋体"/>
          <w:color w:val="auto"/>
          <w:sz w:val="28"/>
          <w:szCs w:val="28"/>
          <w:highlight w:val="none"/>
        </w:rPr>
        <w:t>5.</w:t>
      </w:r>
      <w:r>
        <w:rPr>
          <w:rFonts w:hint="eastAsia" w:ascii="宋体" w:hAnsi="宋体"/>
          <w:color w:val="auto"/>
          <w:sz w:val="28"/>
          <w:szCs w:val="28"/>
          <w:highlight w:val="none"/>
        </w:rPr>
        <w:t>正式的答疑回复文件也按上述方式处理留存。</w:t>
      </w:r>
    </w:p>
    <w:p>
      <w:pPr>
        <w:pStyle w:val="41"/>
        <w:adjustRightInd w:val="0"/>
        <w:snapToGrid w:val="0"/>
        <w:spacing w:before="0" w:beforeAutospacing="0" w:after="0" w:afterAutospacing="0" w:line="360" w:lineRule="auto"/>
        <w:ind w:firstLine="560" w:firstLineChars="200"/>
        <w:rPr>
          <w:rFonts w:cs="Times New Roman"/>
          <w:color w:val="auto"/>
          <w:kern w:val="2"/>
          <w:sz w:val="28"/>
          <w:szCs w:val="28"/>
          <w:highlight w:val="none"/>
        </w:rPr>
      </w:pPr>
      <w:r>
        <w:rPr>
          <w:rFonts w:cs="Times New Roman"/>
          <w:color w:val="auto"/>
          <w:kern w:val="2"/>
          <w:sz w:val="28"/>
          <w:szCs w:val="28"/>
          <w:highlight w:val="none"/>
        </w:rPr>
        <w:t>6.</w:t>
      </w:r>
      <w:r>
        <w:rPr>
          <w:rFonts w:hint="eastAsia" w:cs="Times New Roman"/>
          <w:color w:val="auto"/>
          <w:kern w:val="2"/>
          <w:sz w:val="28"/>
          <w:szCs w:val="28"/>
          <w:highlight w:val="none"/>
        </w:rPr>
        <w:t>投标有效期：自开标之日起90天内投标有效。</w:t>
      </w:r>
    </w:p>
    <w:p>
      <w:pPr>
        <w:pStyle w:val="41"/>
        <w:adjustRightInd w:val="0"/>
        <w:snapToGrid w:val="0"/>
        <w:spacing w:before="0" w:beforeAutospacing="0" w:after="0" w:afterAutospacing="0" w:line="360" w:lineRule="auto"/>
        <w:ind w:firstLine="560" w:firstLineChars="200"/>
        <w:rPr>
          <w:rFonts w:cs="Times New Roman"/>
          <w:color w:val="auto"/>
          <w:sz w:val="28"/>
          <w:szCs w:val="28"/>
          <w:highlight w:val="none"/>
        </w:rPr>
      </w:pPr>
      <w:r>
        <w:rPr>
          <w:rFonts w:hint="eastAsia" w:cs="Times New Roman"/>
          <w:color w:val="auto"/>
          <w:kern w:val="2"/>
          <w:sz w:val="28"/>
          <w:szCs w:val="28"/>
          <w:highlight w:val="none"/>
        </w:rPr>
        <w:t>7.</w:t>
      </w:r>
      <w:r>
        <w:rPr>
          <w:rFonts w:hint="eastAsia" w:cs="Times New Roman"/>
          <w:color w:val="auto"/>
          <w:sz w:val="28"/>
          <w:szCs w:val="28"/>
          <w:highlight w:val="none"/>
        </w:rPr>
        <w:t>招标过程接受学校纪检监察部门监督检查。</w:t>
      </w:r>
    </w:p>
    <w:p>
      <w:pPr>
        <w:adjustRightInd w:val="0"/>
        <w:snapToGrid w:val="0"/>
        <w:spacing w:before="312" w:beforeLines="100" w:after="312" w:afterLines="100" w:line="360" w:lineRule="auto"/>
        <w:jc w:val="center"/>
        <w:rPr>
          <w:rFonts w:ascii="宋体" w:cs="仿宋"/>
          <w:b/>
          <w:bCs/>
          <w:color w:val="auto"/>
          <w:sz w:val="28"/>
          <w:szCs w:val="28"/>
          <w:highlight w:val="none"/>
        </w:rPr>
      </w:pPr>
      <w:r>
        <w:rPr>
          <w:rFonts w:hint="eastAsia" w:ascii="宋体" w:hAnsi="宋体" w:cs="仿宋"/>
          <w:b/>
          <w:bCs/>
          <w:color w:val="auto"/>
          <w:sz w:val="28"/>
          <w:szCs w:val="28"/>
          <w:highlight w:val="none"/>
        </w:rPr>
        <w:t>二、对投标人及投标报价的要求</w:t>
      </w:r>
    </w:p>
    <w:p>
      <w:pPr>
        <w:snapToGrid w:val="0"/>
        <w:spacing w:line="360" w:lineRule="auto"/>
        <w:ind w:firstLine="540" w:firstLineChars="192"/>
        <w:rPr>
          <w:rFonts w:ascii="宋体" w:hAnsi="宋体"/>
          <w:b/>
          <w:color w:val="auto"/>
          <w:kern w:val="0"/>
          <w:sz w:val="28"/>
          <w:szCs w:val="28"/>
          <w:highlight w:val="none"/>
        </w:rPr>
      </w:pPr>
      <w:r>
        <w:rPr>
          <w:rFonts w:hint="eastAsia" w:ascii="宋体" w:hAnsi="宋体"/>
          <w:b/>
          <w:color w:val="auto"/>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color w:val="auto"/>
          <w:kern w:val="0"/>
          <w:sz w:val="28"/>
          <w:szCs w:val="28"/>
          <w:highlight w:val="none"/>
          <w:u w:val="single"/>
        </w:rPr>
      </w:pPr>
      <w:r>
        <w:rPr>
          <w:rFonts w:hint="eastAsia" w:ascii="宋体" w:hAnsi="宋体" w:cs="Arial"/>
          <w:i/>
          <w:iCs/>
          <w:color w:val="auto"/>
          <w:sz w:val="28"/>
          <w:szCs w:val="28"/>
          <w:highlight w:val="none"/>
          <w:u w:val="single"/>
        </w:rPr>
        <w:t>（一）参加政府采购的供应商应当具备政府采购法</w:t>
      </w:r>
      <w:r>
        <w:rPr>
          <w:rFonts w:ascii="宋体" w:hAnsi="宋体" w:cs="Arial"/>
          <w:i/>
          <w:iCs/>
          <w:color w:val="auto"/>
          <w:sz w:val="28"/>
          <w:szCs w:val="28"/>
          <w:highlight w:val="none"/>
          <w:u w:val="single"/>
        </w:rPr>
        <w:t>第二十二条</w:t>
      </w:r>
      <w:r>
        <w:rPr>
          <w:rFonts w:hint="eastAsia" w:ascii="宋体" w:hAnsi="宋体" w:cs="Arial"/>
          <w:i/>
          <w:iCs/>
          <w:color w:val="auto"/>
          <w:sz w:val="28"/>
          <w:szCs w:val="28"/>
          <w:highlight w:val="none"/>
          <w:u w:val="single"/>
        </w:rPr>
        <w:t>第一款</w:t>
      </w:r>
      <w:r>
        <w:rPr>
          <w:rFonts w:ascii="宋体" w:hAnsi="宋体" w:cs="Arial"/>
          <w:i/>
          <w:iCs/>
          <w:color w:val="auto"/>
          <w:sz w:val="28"/>
          <w:szCs w:val="28"/>
          <w:highlight w:val="none"/>
          <w:u w:val="single"/>
        </w:rPr>
        <w:t>规定</w:t>
      </w:r>
      <w:r>
        <w:rPr>
          <w:rFonts w:hint="eastAsia" w:ascii="宋体" w:hAnsi="宋体" w:cs="Arial"/>
          <w:i/>
          <w:iCs/>
          <w:color w:val="auto"/>
          <w:sz w:val="28"/>
          <w:szCs w:val="28"/>
          <w:highlight w:val="none"/>
          <w:u w:val="single"/>
        </w:rPr>
        <w:t>的条件，并依照政府采购法实施条例第十七条规定提供下列材料：</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Arial"/>
          <w:i/>
          <w:iCs/>
          <w:color w:val="auto"/>
          <w:sz w:val="28"/>
          <w:szCs w:val="28"/>
          <w:highlight w:val="none"/>
          <w:u w:val="single"/>
        </w:rPr>
        <w:t>1.具有独立承担民事责任的能力</w:t>
      </w:r>
      <w:r>
        <w:rPr>
          <w:rFonts w:hint="eastAsia" w:ascii="宋体" w:hAnsi="宋体"/>
          <w:i/>
          <w:iCs/>
          <w:color w:val="auto"/>
          <w:sz w:val="28"/>
          <w:szCs w:val="28"/>
          <w:highlight w:val="none"/>
          <w:u w:val="single"/>
        </w:rPr>
        <w:t>：须为独立法人企业，需提供企业法人营业执照；</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2.具有良好的商业信誉和健全的财务会计制度</w:t>
      </w:r>
      <w:r>
        <w:rPr>
          <w:rFonts w:hint="eastAsia" w:ascii="宋体" w:hAnsi="宋体"/>
          <w:i/>
          <w:iCs/>
          <w:color w:val="auto"/>
          <w:sz w:val="28"/>
          <w:szCs w:val="28"/>
          <w:highlight w:val="none"/>
          <w:u w:val="single"/>
        </w:rPr>
        <w:t>：需提供参加本次投标活动前近六个月内（2020年01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4.有依法缴纳税收和社会保障资金的良好记录</w:t>
      </w:r>
      <w:r>
        <w:rPr>
          <w:rFonts w:hint="eastAsia" w:ascii="宋体" w:hAnsi="宋体"/>
          <w:i/>
          <w:iCs/>
          <w:color w:val="auto"/>
          <w:sz w:val="28"/>
          <w:szCs w:val="28"/>
          <w:highlight w:val="none"/>
          <w:u w:val="single"/>
        </w:rPr>
        <w:t>：提供参加本次投标活动前近六个月内（2020年01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5.参加政府采购活动前三年内，在经营活动中没有违法记录</w:t>
      </w:r>
      <w:r>
        <w:rPr>
          <w:rFonts w:hint="eastAsia" w:ascii="宋体" w:hAnsi="宋体"/>
          <w:i/>
          <w:iCs/>
          <w:color w:val="auto"/>
          <w:sz w:val="28"/>
          <w:szCs w:val="28"/>
          <w:highlight w:val="none"/>
          <w:u w:val="single"/>
        </w:rPr>
        <w:t>：需提供参加本次投标活动前3年内在经营活动中没有重大违法记录的书面声明；</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6.法律、行政法规规定的其他条件：无。</w:t>
      </w:r>
    </w:p>
    <w:p>
      <w:pPr>
        <w:snapToGrid w:val="0"/>
        <w:spacing w:line="360" w:lineRule="auto"/>
        <w:ind w:firstLine="560" w:firstLineChars="200"/>
        <w:outlineLvl w:val="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（二）投标人不得存在下列情形之一</w:t>
      </w:r>
      <w:r>
        <w:rPr>
          <w:rFonts w:hint="eastAsia" w:ascii="宋体" w:hAnsi="宋体"/>
          <w:i/>
          <w:iCs/>
          <w:color w:val="auto"/>
          <w:sz w:val="28"/>
          <w:szCs w:val="28"/>
          <w:highlight w:val="none"/>
          <w:u w:val="single"/>
        </w:rPr>
        <w:t>（</w:t>
      </w:r>
      <w:r>
        <w:rPr>
          <w:rFonts w:hint="eastAsia" w:ascii="宋体" w:hAnsi="宋体"/>
          <w:b/>
          <w:i/>
          <w:iCs/>
          <w:color w:val="auto"/>
          <w:sz w:val="28"/>
          <w:szCs w:val="28"/>
          <w:highlight w:val="none"/>
          <w:u w:val="single"/>
        </w:rPr>
        <w:t>提供加盖投标人公章的承诺书）</w:t>
      </w:r>
      <w:r>
        <w:rPr>
          <w:rFonts w:hint="eastAsia" w:ascii="宋体" w:hAnsi="宋体" w:cs="宋体"/>
          <w:i/>
          <w:iCs/>
          <w:color w:val="auto"/>
          <w:kern w:val="0"/>
          <w:sz w:val="28"/>
          <w:szCs w:val="28"/>
          <w:highlight w:val="none"/>
          <w:u w:val="single"/>
        </w:rPr>
        <w:t>：</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（1）为招标人不具有独立法人资格的附属机构（单位）；</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（2）与招标人存在利害关系可能影响招标公正性的；</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（3）单位负责人为同一人或者存在控股、管理关系的不同单位；</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（5）投标人近3年内有行贿犯罪行为且被记录，或者法定代表人有行贿犯罪记录且自记录之日起未超过 5年的。</w:t>
      </w:r>
    </w:p>
    <w:p>
      <w:pPr>
        <w:snapToGrid w:val="0"/>
        <w:spacing w:line="360" w:lineRule="auto"/>
        <w:ind w:firstLine="560" w:firstLineChars="200"/>
        <w:outlineLvl w:val="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（三）</w:t>
      </w:r>
      <w:r>
        <w:rPr>
          <w:rFonts w:hint="eastAsia" w:ascii="宋体" w:hAnsi="宋体" w:cs="宋体"/>
          <w:bCs/>
          <w:i/>
          <w:iCs/>
          <w:color w:val="auto"/>
          <w:kern w:val="0"/>
          <w:sz w:val="28"/>
          <w:szCs w:val="28"/>
          <w:highlight w:val="none"/>
          <w:u w:val="singl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i/>
          <w:iCs/>
          <w:color w:val="auto"/>
          <w:kern w:val="0"/>
          <w:sz w:val="28"/>
          <w:szCs w:val="28"/>
          <w:highlight w:val="none"/>
          <w:u w:val="single"/>
        </w:rPr>
      </w:pPr>
      <w:r>
        <w:rPr>
          <w:rFonts w:hint="eastAsia" w:ascii="宋体" w:hAnsi="宋体" w:cs="宋体"/>
          <w:i/>
          <w:iCs/>
          <w:color w:val="auto"/>
          <w:sz w:val="28"/>
          <w:szCs w:val="28"/>
          <w:highlight w:val="none"/>
          <w:u w:val="single"/>
        </w:rPr>
        <w:t>供应商被“信用中国”网站（www.creditchina.gov.cn）、“中国政府采购网”(www.ccgp.gov.cn)列入失信被执行人、重大税收违法案件当事人名单、政府采购严重违法失信行为记录名单</w:t>
      </w:r>
      <w:r>
        <w:rPr>
          <w:rFonts w:hint="eastAsia" w:ascii="宋体" w:hAnsi="宋体" w:cs="宋体"/>
          <w:b/>
          <w:i/>
          <w:iCs/>
          <w:color w:val="auto"/>
          <w:sz w:val="28"/>
          <w:szCs w:val="28"/>
          <w:highlight w:val="none"/>
          <w:u w:val="single"/>
        </w:rPr>
        <w:t>（提供本项目报名截止日后的以上两个网站截图并加盖单位公章）</w:t>
      </w:r>
      <w:r>
        <w:rPr>
          <w:rFonts w:hint="eastAsia" w:ascii="宋体" w:hAnsi="宋体" w:cs="宋体"/>
          <w:i/>
          <w:iCs/>
          <w:color w:val="auto"/>
          <w:sz w:val="28"/>
          <w:szCs w:val="28"/>
          <w:highlight w:val="none"/>
          <w:u w:val="singl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二、本项目采用资格后审法，唱标后，进行资格审定。</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三、投标人应按附件</w:t>
      </w:r>
      <w:r>
        <w:rPr>
          <w:rFonts w:ascii="宋体" w:hAnsi="宋体" w:cs="宋体"/>
          <w:color w:val="auto"/>
          <w:sz w:val="28"/>
          <w:szCs w:val="28"/>
          <w:highlight w:val="none"/>
        </w:rPr>
        <w:t>2</w:t>
      </w:r>
      <w:r>
        <w:rPr>
          <w:rFonts w:hint="eastAsia" w:ascii="宋体" w:hAnsi="宋体" w:cs="宋体"/>
          <w:color w:val="auto"/>
          <w:sz w:val="28"/>
          <w:szCs w:val="28"/>
          <w:highlight w:val="none"/>
        </w:rPr>
        <w:t>、附件</w:t>
      </w:r>
      <w:r>
        <w:rPr>
          <w:rFonts w:ascii="宋体" w:hAnsi="宋体" w:cs="宋体"/>
          <w:color w:val="auto"/>
          <w:sz w:val="28"/>
          <w:szCs w:val="28"/>
          <w:highlight w:val="none"/>
        </w:rPr>
        <w:t>3</w:t>
      </w:r>
      <w:r>
        <w:rPr>
          <w:rFonts w:hint="eastAsia" w:ascii="宋体" w:hAnsi="宋体" w:cs="宋体"/>
          <w:color w:val="auto"/>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pStyle w:val="41"/>
        <w:adjustRightInd w:val="0"/>
        <w:snapToGrid w:val="0"/>
        <w:spacing w:before="0" w:beforeAutospacing="0" w:after="0" w:afterAutospacing="0" w:line="360" w:lineRule="auto"/>
        <w:ind w:firstLine="560" w:firstLineChars="200"/>
        <w:rPr>
          <w:color w:val="auto"/>
          <w:kern w:val="2"/>
          <w:sz w:val="28"/>
          <w:szCs w:val="28"/>
          <w:highlight w:val="none"/>
        </w:rPr>
      </w:pPr>
      <w:r>
        <w:rPr>
          <w:rFonts w:hint="eastAsia"/>
          <w:color w:val="auto"/>
          <w:kern w:val="2"/>
          <w:sz w:val="28"/>
          <w:szCs w:val="28"/>
          <w:highlight w:val="none"/>
        </w:rPr>
        <w:t>六、本项目预算价为29.70万元，本项目只接受人民币报价。</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七、进口货物的外贸代理公司由投标人（中标人）在我校确定的两家外贸代理公司中自行选择（江苏苏美达仪器设备有限公司，练经理：025-84531280，15205153042；江苏海外集团国际技术工程有限公司，方经理：025-84795955，15996350251），代理费由投标人与所选外贸公司协商确定并含在报价中。我校协助办理入关、免税等相关证明材料手续。</w:t>
      </w:r>
    </w:p>
    <w:p>
      <w:pPr>
        <w:spacing w:before="312" w:beforeLines="100" w:after="312" w:afterLines="100" w:line="360" w:lineRule="auto"/>
        <w:ind w:firstLine="548" w:firstLineChars="196"/>
        <w:jc w:val="center"/>
        <w:outlineLvl w:val="0"/>
        <w:rPr>
          <w:rFonts w:ascii="黑体" w:hAnsi="黑体" w:eastAsia="黑体" w:cs="宋体"/>
          <w:color w:val="auto"/>
          <w:sz w:val="28"/>
          <w:szCs w:val="28"/>
          <w:highlight w:val="none"/>
        </w:rPr>
      </w:pPr>
      <w:bookmarkStart w:id="4" w:name="_Hlk9866140"/>
      <w:r>
        <w:rPr>
          <w:rFonts w:hint="eastAsia" w:ascii="黑体" w:hAnsi="黑体" w:eastAsia="黑体" w:cs="宋体"/>
          <w:color w:val="auto"/>
          <w:sz w:val="28"/>
          <w:szCs w:val="28"/>
          <w:highlight w:val="none"/>
        </w:rPr>
        <w:t>三、对投标文件的要求</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为便于唱标和减少浪费，请将</w:t>
      </w:r>
      <w:r>
        <w:rPr>
          <w:rFonts w:ascii="宋体" w:hAnsi="宋体" w:cs="宋体"/>
          <w:color w:val="auto"/>
          <w:sz w:val="28"/>
          <w:szCs w:val="28"/>
          <w:highlight w:val="none"/>
        </w:rPr>
        <w:t>1</w:t>
      </w:r>
      <w:r>
        <w:rPr>
          <w:rFonts w:hint="eastAsia" w:ascii="宋体" w:hAnsi="宋体" w:cs="宋体"/>
          <w:color w:val="auto"/>
          <w:sz w:val="28"/>
          <w:szCs w:val="28"/>
          <w:highlight w:val="none"/>
        </w:rPr>
        <w:t>份正本单独封装，另外</w:t>
      </w:r>
      <w:r>
        <w:rPr>
          <w:rFonts w:ascii="宋体" w:hAnsi="宋体" w:cs="宋体"/>
          <w:color w:val="auto"/>
          <w:sz w:val="28"/>
          <w:szCs w:val="28"/>
          <w:highlight w:val="none"/>
        </w:rPr>
        <w:t>4</w:t>
      </w:r>
      <w:r>
        <w:rPr>
          <w:rFonts w:hint="eastAsia" w:ascii="宋体" w:hAnsi="宋体" w:cs="宋体"/>
          <w:color w:val="auto"/>
          <w:sz w:val="28"/>
          <w:szCs w:val="28"/>
          <w:highlight w:val="none"/>
        </w:rPr>
        <w:t>份副本可叠加封装在一个大的档案袋中（</w:t>
      </w:r>
      <w:r>
        <w:rPr>
          <w:rFonts w:ascii="宋体" w:hAnsi="宋体" w:cs="宋体"/>
          <w:color w:val="auto"/>
          <w:sz w:val="28"/>
          <w:szCs w:val="28"/>
          <w:highlight w:val="none"/>
        </w:rPr>
        <w:t>4</w:t>
      </w:r>
      <w:r>
        <w:rPr>
          <w:rFonts w:hint="eastAsia" w:ascii="宋体" w:hAnsi="宋体" w:cs="宋体"/>
          <w:color w:val="auto"/>
          <w:sz w:val="28"/>
          <w:szCs w:val="28"/>
          <w:highlight w:val="none"/>
        </w:rPr>
        <w:t>份副本无需分别封装在</w:t>
      </w:r>
      <w:r>
        <w:rPr>
          <w:rFonts w:ascii="宋体" w:hAnsi="宋体" w:cs="宋体"/>
          <w:color w:val="auto"/>
          <w:sz w:val="28"/>
          <w:szCs w:val="28"/>
          <w:highlight w:val="none"/>
        </w:rPr>
        <w:t>4</w:t>
      </w:r>
      <w:r>
        <w:rPr>
          <w:rFonts w:hint="eastAsia" w:ascii="宋体" w:hAnsi="宋体" w:cs="宋体"/>
          <w:color w:val="auto"/>
          <w:sz w:val="28"/>
          <w:szCs w:val="28"/>
          <w:highlight w:val="none"/>
        </w:rPr>
        <w:t>个档案袋中，一个大档案袋封装不下的除外）。每家投标人在送交投标文件时，只需交</w:t>
      </w:r>
      <w:r>
        <w:rPr>
          <w:rFonts w:ascii="宋体" w:hAnsi="宋体" w:cs="宋体"/>
          <w:color w:val="auto"/>
          <w:sz w:val="28"/>
          <w:szCs w:val="28"/>
          <w:highlight w:val="none"/>
        </w:rPr>
        <w:t>2</w:t>
      </w:r>
      <w:r>
        <w:rPr>
          <w:rFonts w:hint="eastAsia" w:ascii="宋体" w:hAnsi="宋体" w:cs="宋体"/>
          <w:color w:val="auto"/>
          <w:sz w:val="28"/>
          <w:szCs w:val="28"/>
          <w:highlight w:val="none"/>
        </w:rPr>
        <w:t>个档案袋即可，即</w:t>
      </w:r>
      <w:r>
        <w:rPr>
          <w:rFonts w:ascii="宋体" w:hAnsi="宋体" w:cs="宋体"/>
          <w:color w:val="auto"/>
          <w:sz w:val="28"/>
          <w:szCs w:val="28"/>
          <w:highlight w:val="none"/>
        </w:rPr>
        <w:t>1</w:t>
      </w:r>
      <w:r>
        <w:rPr>
          <w:rFonts w:hint="eastAsia" w:ascii="宋体" w:hAnsi="宋体" w:cs="宋体"/>
          <w:color w:val="auto"/>
          <w:sz w:val="28"/>
          <w:szCs w:val="28"/>
          <w:highlight w:val="none"/>
        </w:rPr>
        <w:t>个正本档案袋，</w:t>
      </w:r>
      <w:r>
        <w:rPr>
          <w:rFonts w:ascii="宋体" w:hAnsi="宋体" w:cs="宋体"/>
          <w:color w:val="auto"/>
          <w:sz w:val="28"/>
          <w:szCs w:val="28"/>
          <w:highlight w:val="none"/>
        </w:rPr>
        <w:t>1</w:t>
      </w:r>
      <w:r>
        <w:rPr>
          <w:rFonts w:hint="eastAsia" w:ascii="宋体" w:hAnsi="宋体" w:cs="宋体"/>
          <w:color w:val="auto"/>
          <w:sz w:val="28"/>
          <w:szCs w:val="28"/>
          <w:highlight w:val="none"/>
        </w:rPr>
        <w:t>个大的副本档案袋。</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投标文件应包含以下内容（所有材料必须加盖投标单位公章）：</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）经投标单位法人或委托代理人代表签字并加盖单位公章的投标函（附件</w:t>
      </w:r>
      <w:r>
        <w:rPr>
          <w:rFonts w:ascii="宋体" w:hAnsi="宋体" w:cs="宋体"/>
          <w:color w:val="auto"/>
          <w:sz w:val="28"/>
          <w:szCs w:val="28"/>
          <w:highlight w:val="none"/>
        </w:rPr>
        <w:t>2</w:t>
      </w:r>
      <w:r>
        <w:rPr>
          <w:rFonts w:hint="eastAsia" w:ascii="宋体" w:hAnsi="宋体" w:cs="宋体"/>
          <w:color w:val="auto"/>
          <w:sz w:val="28"/>
          <w:szCs w:val="28"/>
          <w:highlight w:val="none"/>
        </w:rPr>
        <w:t>格式，为便于唱标，此函件请务必放置在投标文件内页的第一页）；</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）投标价格明细表（附件</w:t>
      </w:r>
      <w:r>
        <w:rPr>
          <w:rFonts w:ascii="宋体" w:hAnsi="宋体" w:cs="宋体"/>
          <w:color w:val="auto"/>
          <w:sz w:val="28"/>
          <w:szCs w:val="28"/>
          <w:highlight w:val="none"/>
        </w:rPr>
        <w:t>3</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）授权委托书、被委托人身份证复印件；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）产品（或服务，下同）技术性能参数的详细描述一览表（投标文件在对投标标的物进行技术和商务描述时，必须完全按照招标文件附件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中的章节顺序依次逐条响应，不得颠倒顺序，不得有漏项，不得原封不动地引用招标文件附件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）产品技术和商务指标偏差表；</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）产品服务方案；</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9</w:t>
      </w:r>
      <w:r>
        <w:rPr>
          <w:rFonts w:hint="eastAsia" w:ascii="宋体" w:hAnsi="宋体" w:cs="宋体"/>
          <w:color w:val="auto"/>
          <w:sz w:val="28"/>
          <w:szCs w:val="28"/>
          <w:highlight w:val="none"/>
        </w:rPr>
        <w:t>）产品销售授权书或代理证书（如系代理公司的）；</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10)</w:t>
      </w:r>
      <w:r>
        <w:rPr>
          <w:rFonts w:hint="eastAsia" w:ascii="宋体" w:hAnsi="宋体" w:cs="宋体"/>
          <w:color w:val="auto"/>
          <w:sz w:val="28"/>
          <w:szCs w:val="28"/>
          <w:highlight w:val="none"/>
        </w:rPr>
        <w:t xml:space="preserve"> 产品质量、工期、安全、管理及售后服务承诺书；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11</w:t>
      </w:r>
      <w:r>
        <w:rPr>
          <w:rFonts w:hint="eastAsia" w:ascii="宋体" w:hAnsi="宋体" w:cs="宋体"/>
          <w:color w:val="auto"/>
          <w:sz w:val="28"/>
          <w:szCs w:val="28"/>
          <w:highlight w:val="none"/>
        </w:rPr>
        <w:t>）产品质量检测报告、质保、认证等证书；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12</w:t>
      </w:r>
      <w:r>
        <w:rPr>
          <w:rFonts w:hint="eastAsia" w:ascii="宋体" w:hAnsi="宋体" w:cs="宋体"/>
          <w:color w:val="auto"/>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13</w:t>
      </w:r>
      <w:r>
        <w:rPr>
          <w:rFonts w:hint="eastAsia" w:ascii="宋体" w:hAnsi="宋体" w:cs="宋体"/>
          <w:color w:val="auto"/>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14</w:t>
      </w:r>
      <w:r>
        <w:rPr>
          <w:rFonts w:hint="eastAsia" w:ascii="宋体" w:hAnsi="宋体" w:cs="宋体"/>
          <w:color w:val="auto"/>
          <w:sz w:val="28"/>
          <w:szCs w:val="28"/>
          <w:highlight w:val="none"/>
        </w:rPr>
        <w:t>）招标文件规定或投标人对照评标办法的得分因素以及附件</w:t>
      </w:r>
      <w:r>
        <w:rPr>
          <w:rFonts w:ascii="宋体" w:hAnsi="宋体" w:cs="宋体"/>
          <w:color w:val="auto"/>
          <w:sz w:val="28"/>
          <w:szCs w:val="28"/>
          <w:highlight w:val="none"/>
        </w:rPr>
        <w:t>1</w:t>
      </w:r>
      <w:r>
        <w:rPr>
          <w:rFonts w:hint="eastAsia" w:ascii="宋体" w:hAnsi="宋体" w:cs="宋体"/>
          <w:color w:val="auto"/>
          <w:sz w:val="28"/>
          <w:szCs w:val="28"/>
          <w:highlight w:val="none"/>
        </w:rPr>
        <w:t>相关要求认为应提交的其他资料和文件。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15</w:t>
      </w:r>
      <w:r>
        <w:rPr>
          <w:rFonts w:hint="eastAsia" w:ascii="宋体" w:hAnsi="宋体" w:cs="宋体"/>
          <w:color w:val="auto"/>
          <w:sz w:val="28"/>
          <w:szCs w:val="28"/>
          <w:highlight w:val="none"/>
        </w:rPr>
        <w:t>）</w:t>
      </w:r>
      <w:r>
        <w:rPr>
          <w:rFonts w:hint="eastAsia"/>
          <w:color w:val="auto"/>
          <w:sz w:val="28"/>
          <w:szCs w:val="28"/>
          <w:highlight w:val="none"/>
        </w:rPr>
        <w:t>投标人必须投本标书所有标段的设备，不允许分标段投标；标书中服务器标段必须满足所有参数要求，其余标段标</w:t>
      </w:r>
      <w:r>
        <w:rPr>
          <w:rFonts w:hint="eastAsia" w:ascii="宋体" w:hAnsi="宋体" w:cs="Arial"/>
          <w:color w:val="auto"/>
          <w:kern w:val="0"/>
          <w:sz w:val="18"/>
          <w:szCs w:val="18"/>
          <w:highlight w:val="none"/>
        </w:rPr>
        <w:t>★</w:t>
      </w:r>
      <w:r>
        <w:rPr>
          <w:rFonts w:hint="eastAsia"/>
          <w:color w:val="auto"/>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投标人在投标文件中应承诺对如下内容已完全理解，如不承诺，视为认可：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）在参与我校相关项目的招投标活动中，遵纪守法，诚信经营，公平竞争；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）不采取不正当手段诋毁、排挤其他投标人；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）未能中标单位，本校对其原因不作解释；</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outlineLvl w:val="0"/>
        <w:rPr>
          <w:rFonts w:ascii="黑体" w:hAnsi="黑体" w:eastAsia="黑体" w:cs="宋体"/>
          <w:color w:val="auto"/>
          <w:sz w:val="28"/>
          <w:szCs w:val="28"/>
          <w:highlight w:val="none"/>
        </w:rPr>
      </w:pPr>
      <w:bookmarkStart w:id="5" w:name="_Hlk9866206"/>
      <w:r>
        <w:rPr>
          <w:rFonts w:hint="eastAsia" w:ascii="黑体" w:hAnsi="黑体" w:eastAsia="黑体" w:cs="宋体"/>
          <w:color w:val="auto"/>
          <w:sz w:val="28"/>
          <w:szCs w:val="28"/>
          <w:highlight w:val="none"/>
        </w:rPr>
        <w:t>四、开标程序</w:t>
      </w:r>
    </w:p>
    <w:bookmarkEnd w:id="5"/>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招标文件给出评标办法（见附件</w:t>
      </w:r>
      <w:r>
        <w:rPr>
          <w:rFonts w:ascii="宋体" w:hAnsi="宋体" w:cs="宋体"/>
          <w:color w:val="auto"/>
          <w:sz w:val="28"/>
          <w:szCs w:val="28"/>
          <w:highlight w:val="none"/>
        </w:rPr>
        <w:t>5</w:t>
      </w:r>
      <w:r>
        <w:rPr>
          <w:rFonts w:hint="eastAsia" w:ascii="宋体" w:hAnsi="宋体" w:cs="宋体"/>
          <w:color w:val="auto"/>
          <w:sz w:val="28"/>
          <w:szCs w:val="28"/>
          <w:highlight w:val="none"/>
        </w:rPr>
        <w:t>）</w:t>
      </w:r>
      <w:r>
        <w:rPr>
          <w:rFonts w:ascii="宋体" w:cs="宋体"/>
          <w:color w:val="auto"/>
          <w:sz w:val="28"/>
          <w:szCs w:val="28"/>
          <w:highlight w:val="none"/>
        </w:rPr>
        <w:t>,</w:t>
      </w:r>
      <w:r>
        <w:rPr>
          <w:rFonts w:hint="eastAsia" w:ascii="宋体" w:hAnsi="宋体" w:cs="宋体"/>
          <w:color w:val="auto"/>
          <w:sz w:val="28"/>
          <w:szCs w:val="28"/>
          <w:highlight w:val="none"/>
        </w:rPr>
        <w:t>供投标人和评标专家组参考。</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color w:val="auto"/>
          <w:sz w:val="28"/>
          <w:szCs w:val="28"/>
          <w:highlight w:val="none"/>
        </w:rPr>
      </w:pPr>
      <w:r>
        <w:rPr>
          <w:rFonts w:hint="eastAsia" w:ascii="宋体" w:hAnsi="宋体" w:cs="宋体"/>
          <w:color w:val="auto"/>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招标办根据评标专家组综合排序，在学校网站和招标办网站对拟中标单位进行公示。公示结束，无异议，确定中标单位。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五、无效投标</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投标文件出现下列情形的，将作为无效投标文件，不得进入评标：</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投标文件未按照招标文件的要求予以密封的；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投标文件少项漏项，或关键内容字迹模糊、无法辨认的；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有</w:t>
      </w:r>
      <w:r>
        <w:rPr>
          <w:rFonts w:ascii="宋体" w:hAnsi="宋体" w:cs="宋体"/>
          <w:color w:val="auto"/>
          <w:sz w:val="28"/>
          <w:szCs w:val="28"/>
          <w:highlight w:val="none"/>
        </w:rPr>
        <w:t>1</w:t>
      </w:r>
      <w:r>
        <w:rPr>
          <w:rFonts w:hint="eastAsia" w:ascii="宋体" w:hAnsi="宋体" w:cs="宋体"/>
          <w:color w:val="auto"/>
          <w:sz w:val="28"/>
          <w:szCs w:val="28"/>
          <w:highlight w:val="none"/>
        </w:rPr>
        <w:t>个核心指标或有</w:t>
      </w:r>
      <w:r>
        <w:rPr>
          <w:rFonts w:ascii="宋体" w:hAnsi="宋体" w:cs="宋体"/>
          <w:color w:val="auto"/>
          <w:sz w:val="28"/>
          <w:szCs w:val="28"/>
          <w:highlight w:val="none"/>
        </w:rPr>
        <w:t>5</w:t>
      </w:r>
      <w:r>
        <w:rPr>
          <w:rFonts w:hint="eastAsia" w:ascii="宋体" w:hAnsi="宋体" w:cs="宋体"/>
          <w:color w:val="auto"/>
          <w:sz w:val="28"/>
          <w:szCs w:val="28"/>
          <w:highlight w:val="none"/>
        </w:rPr>
        <w:t>个及以上非核心指标未能满足的；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技术指标响应内容未按照招标文件附件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8.</w:t>
      </w:r>
      <w:r>
        <w:rPr>
          <w:rFonts w:hint="eastAsia" w:ascii="宋体" w:hAnsi="宋体" w:cs="宋体"/>
          <w:color w:val="auto"/>
          <w:sz w:val="28"/>
          <w:szCs w:val="28"/>
          <w:highlight w:val="none"/>
        </w:rPr>
        <w:t>报价超过预算金额，或以人民币之外的币种报价的；</w:t>
      </w:r>
    </w:p>
    <w:p>
      <w:pPr>
        <w:spacing w:line="360" w:lineRule="auto"/>
        <w:ind w:firstLine="548" w:firstLineChars="196"/>
        <w:rPr>
          <w:rFonts w:ascii="宋体" w:hAnsi="宋体" w:cs="宋体"/>
          <w:b/>
          <w:color w:val="auto"/>
          <w:sz w:val="28"/>
          <w:szCs w:val="28"/>
          <w:highlight w:val="none"/>
        </w:rPr>
      </w:pPr>
      <w:r>
        <w:rPr>
          <w:rFonts w:ascii="宋体" w:hAnsi="宋体" w:cs="宋体"/>
          <w:color w:val="auto"/>
          <w:sz w:val="28"/>
          <w:szCs w:val="28"/>
          <w:highlight w:val="none"/>
        </w:rPr>
        <w:t>9.</w:t>
      </w:r>
      <w:r>
        <w:rPr>
          <w:rFonts w:hint="eastAsia" w:ascii="宋体" w:hAnsi="宋体" w:cs="宋体"/>
          <w:color w:val="auto"/>
          <w:sz w:val="28"/>
          <w:szCs w:val="28"/>
          <w:highlight w:val="none"/>
        </w:rPr>
        <w:t>无</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元报名资料费银行转账回单复印件的，或报名资料费银行转账回单中无</w:t>
      </w:r>
      <w:r>
        <w:rPr>
          <w:rFonts w:hint="eastAsia" w:ascii="宋体" w:hAnsi="宋体" w:cs="宋体"/>
          <w:b/>
          <w:color w:val="auto"/>
          <w:sz w:val="28"/>
          <w:szCs w:val="28"/>
          <w:highlight w:val="none"/>
        </w:rPr>
        <w:t>“SBC2020057资料费”</w:t>
      </w:r>
      <w:r>
        <w:rPr>
          <w:rFonts w:hint="eastAsia" w:ascii="宋体" w:hAnsi="宋体" w:cs="宋体"/>
          <w:color w:val="auto"/>
          <w:sz w:val="28"/>
          <w:szCs w:val="28"/>
          <w:highlight w:val="none"/>
        </w:rPr>
        <w:t>字样的；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10.</w:t>
      </w:r>
      <w:r>
        <w:rPr>
          <w:rFonts w:hint="eastAsia" w:ascii="宋体" w:hAnsi="宋体" w:cs="宋体"/>
          <w:color w:val="auto"/>
          <w:sz w:val="28"/>
          <w:szCs w:val="28"/>
          <w:highlight w:val="none"/>
        </w:rPr>
        <w:t>招标文件中虽没明确，但经评标专家组讨论通过的符合无效投标情形的其他条件。</w:t>
      </w:r>
    </w:p>
    <w:p>
      <w:pPr>
        <w:spacing w:before="312" w:beforeLines="100" w:after="312" w:afterLines="100" w:line="360" w:lineRule="auto"/>
        <w:ind w:firstLine="548" w:firstLineChars="196"/>
        <w:jc w:val="center"/>
        <w:outlineLvl w:val="0"/>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六、评标办法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本着“质量第一、价格合理、服务优异、保障有力”的原则，由采购人、项目归口管理部门和招标办从报价得分、技术得分、服务、业绩、信誉得分五个方面提出评标办法（见附件</w:t>
      </w:r>
      <w:r>
        <w:rPr>
          <w:rFonts w:ascii="宋体" w:hAnsi="宋体" w:cs="宋体"/>
          <w:color w:val="auto"/>
          <w:sz w:val="28"/>
          <w:szCs w:val="28"/>
          <w:highlight w:val="none"/>
        </w:rPr>
        <w:t>5</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为保证招标质量，在评标办法中设核心指标。每个分包的核心指标不超过</w:t>
      </w:r>
      <w:r>
        <w:rPr>
          <w:rFonts w:ascii="宋体" w:hAnsi="宋体" w:cs="宋体"/>
          <w:color w:val="auto"/>
          <w:sz w:val="28"/>
          <w:szCs w:val="28"/>
          <w:highlight w:val="none"/>
        </w:rPr>
        <w:t>5</w:t>
      </w:r>
      <w:r>
        <w:rPr>
          <w:rFonts w:hint="eastAsia" w:ascii="宋体" w:hAnsi="宋体" w:cs="宋体"/>
          <w:color w:val="auto"/>
          <w:sz w:val="28"/>
          <w:szCs w:val="28"/>
          <w:highlight w:val="none"/>
        </w:rPr>
        <w:t>个。</w:t>
      </w:r>
    </w:p>
    <w:p>
      <w:pPr>
        <w:spacing w:before="312" w:beforeLines="100" w:after="312" w:afterLines="100" w:line="360" w:lineRule="auto"/>
        <w:ind w:firstLine="548" w:firstLineChars="196"/>
        <w:jc w:val="center"/>
        <w:outlineLvl w:val="0"/>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七、合同、履约、验收及结算等事项</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合同：</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）中标公示结束无异议后</w:t>
      </w:r>
      <w:r>
        <w:rPr>
          <w:rFonts w:ascii="宋体" w:hAnsi="宋体" w:cs="宋体"/>
          <w:color w:val="auto"/>
          <w:sz w:val="28"/>
          <w:szCs w:val="28"/>
          <w:highlight w:val="none"/>
        </w:rPr>
        <w:t>5</w:t>
      </w:r>
      <w:r>
        <w:rPr>
          <w:rFonts w:hint="eastAsia" w:ascii="宋体" w:hAnsi="宋体" w:cs="宋体"/>
          <w:color w:val="auto"/>
          <w:sz w:val="28"/>
          <w:szCs w:val="28"/>
          <w:highlight w:val="none"/>
        </w:rPr>
        <w:t>个工作日内，中标单位须及时缴纳中标价的10%作为履约保证金并前来我校领取《中标通知书》（一式二份）。服务完成，验收合格后返还50%履约保证金，另50%履约保证金转为质量保证金。</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）中标单位须在接《中标通知书》起</w:t>
      </w:r>
      <w:r>
        <w:rPr>
          <w:rFonts w:ascii="宋体" w:hAnsi="宋体" w:cs="宋体"/>
          <w:color w:val="auto"/>
          <w:sz w:val="28"/>
          <w:szCs w:val="28"/>
          <w:highlight w:val="none"/>
        </w:rPr>
        <w:t>7</w:t>
      </w:r>
      <w:r>
        <w:rPr>
          <w:rFonts w:hint="eastAsia" w:ascii="宋体" w:hAnsi="宋体" w:cs="宋体"/>
          <w:color w:val="auto"/>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2"/>
        <w:rPr>
          <w:color w:val="auto"/>
          <w:highlight w:val="none"/>
        </w:rPr>
      </w:pPr>
      <w:r>
        <w:rPr>
          <w:rFonts w:hint="eastAsia" w:ascii="宋体" w:hAnsi="宋体" w:cs="宋体"/>
          <w:color w:val="auto"/>
          <w:sz w:val="28"/>
          <w:szCs w:val="28"/>
          <w:highlight w:val="none"/>
        </w:rPr>
        <w:t>（3）附件6合同仅为参考样本，最终以通过我校审核后签署的合同为准。</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服务地点：南京信息工程大学校内。</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付款方式：</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针对国内供应货物，签订合同后，20日内预付合同金额的30%，全部货物交货并验收合格后，凭验收凭证和货物验收合格等文件20内支付至合同金额的100%，质保期满后，经有关单位确认无质量问题后，一次性无息付清所有保证金。具体内容以最终签署的合同约定为准。</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资料费：</w:t>
      </w:r>
      <w:r>
        <w:rPr>
          <w:rFonts w:ascii="宋体" w:hAnsi="宋体" w:cs="宋体"/>
          <w:color w:val="auto"/>
          <w:sz w:val="28"/>
          <w:szCs w:val="28"/>
          <w:highlight w:val="none"/>
        </w:rPr>
        <w:t>300</w:t>
      </w:r>
      <w:r>
        <w:rPr>
          <w:rFonts w:hint="eastAsia" w:ascii="宋体" w:hAnsi="宋体" w:cs="宋体"/>
          <w:color w:val="auto"/>
          <w:sz w:val="28"/>
          <w:szCs w:val="28"/>
          <w:highlight w:val="none"/>
        </w:rPr>
        <w:t>元</w:t>
      </w:r>
      <w:r>
        <w:rPr>
          <w:rFonts w:ascii="宋体" w:hAnsi="宋体" w:cs="宋体"/>
          <w:color w:val="auto"/>
          <w:sz w:val="28"/>
          <w:szCs w:val="28"/>
          <w:highlight w:val="none"/>
        </w:rPr>
        <w:t>/</w:t>
      </w:r>
      <w:r>
        <w:rPr>
          <w:rFonts w:hint="eastAsia" w:ascii="宋体" w:hAnsi="宋体" w:cs="宋体"/>
          <w:color w:val="auto"/>
          <w:sz w:val="28"/>
          <w:szCs w:val="28"/>
          <w:highlight w:val="none"/>
        </w:rPr>
        <w:t>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color w:val="auto"/>
          <w:sz w:val="28"/>
          <w:szCs w:val="28"/>
          <w:highlight w:val="none"/>
        </w:rPr>
        <w:t>10115401040000228</w:t>
      </w:r>
      <w:r>
        <w:rPr>
          <w:rFonts w:hint="eastAsia" w:ascii="宋体" w:hAnsi="宋体" w:cs="宋体"/>
          <w:color w:val="auto"/>
          <w:sz w:val="28"/>
          <w:szCs w:val="28"/>
          <w:highlight w:val="none"/>
        </w:rPr>
        <w:t>；开户银行：中国农业银行南京盘城支行。请各投标人务必在转账留言栏备注填写</w:t>
      </w:r>
      <w:r>
        <w:rPr>
          <w:rFonts w:hint="eastAsia" w:ascii="宋体" w:hAnsi="宋体" w:cs="宋体"/>
          <w:b/>
          <w:color w:val="auto"/>
          <w:sz w:val="28"/>
          <w:szCs w:val="28"/>
          <w:highlight w:val="none"/>
        </w:rPr>
        <w:t>“SBC2020057资料费”</w:t>
      </w:r>
      <w:r>
        <w:rPr>
          <w:rFonts w:hint="eastAsia" w:ascii="宋体" w:hAnsi="宋体" w:cs="宋体"/>
          <w:color w:val="auto"/>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w:t>
      </w:r>
      <w:r>
        <w:rPr>
          <w:rFonts w:hint="eastAsia" w:ascii="宋体" w:hAnsi="宋体" w:cs="宋体"/>
          <w:b/>
          <w:bCs/>
          <w:color w:val="auto"/>
          <w:sz w:val="28"/>
          <w:szCs w:val="28"/>
          <w:highlight w:val="none"/>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履约保证金（或投标保证金）：</w:t>
      </w:r>
      <w:r>
        <w:rPr>
          <w:rFonts w:hint="eastAsia" w:ascii="宋体" w:hAnsi="宋体" w:cs="宋体"/>
          <w:color w:val="auto"/>
          <w:sz w:val="28"/>
          <w:szCs w:val="28"/>
          <w:highlight w:val="none"/>
          <w:u w:val="single"/>
        </w:rPr>
        <w:t>中标价的10%</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财务处招标办领取中标通知书后再与采购单位签订供货和服务合同。履约保证金交款账号同</w:t>
      </w:r>
      <w:r>
        <w:rPr>
          <w:rFonts w:ascii="宋体" w:hAnsi="宋体" w:cs="宋体"/>
          <w:color w:val="auto"/>
          <w:sz w:val="28"/>
          <w:szCs w:val="28"/>
          <w:highlight w:val="none"/>
        </w:rPr>
        <w:t>300</w:t>
      </w:r>
      <w:r>
        <w:rPr>
          <w:rFonts w:hint="eastAsia" w:ascii="宋体" w:hAnsi="宋体" w:cs="宋体"/>
          <w:color w:val="auto"/>
          <w:sz w:val="28"/>
          <w:szCs w:val="28"/>
          <w:highlight w:val="none"/>
        </w:rPr>
        <w:t>元资料费。</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）履约保证金交退咨询：财务处结算中心（体育馆北面，南气宾馆东侧的大学生创业中心</w:t>
      </w:r>
      <w:r>
        <w:rPr>
          <w:rFonts w:ascii="宋体" w:hAnsi="宋体" w:cs="宋体"/>
          <w:color w:val="auto"/>
          <w:sz w:val="28"/>
          <w:szCs w:val="28"/>
          <w:highlight w:val="none"/>
        </w:rPr>
        <w:t>3</w:t>
      </w:r>
      <w:r>
        <w:rPr>
          <w:rFonts w:hint="eastAsia" w:ascii="宋体" w:hAnsi="宋体" w:cs="宋体"/>
          <w:color w:val="auto"/>
          <w:sz w:val="28"/>
          <w:szCs w:val="28"/>
          <w:highlight w:val="none"/>
        </w:rPr>
        <w:t>号楼二楼201）。</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）如中标单位有下列情况之一，不予退还履约保证金，我校将其列入招投标诚信“黑名单”，</w:t>
      </w:r>
      <w:r>
        <w:rPr>
          <w:rFonts w:ascii="宋体" w:hAnsi="宋体" w:cs="宋体"/>
          <w:color w:val="auto"/>
          <w:sz w:val="28"/>
          <w:szCs w:val="28"/>
          <w:highlight w:val="none"/>
        </w:rPr>
        <w:t>3</w:t>
      </w:r>
      <w:r>
        <w:rPr>
          <w:rFonts w:hint="eastAsia" w:ascii="宋体" w:hAnsi="宋体" w:cs="宋体"/>
          <w:color w:val="auto"/>
          <w:sz w:val="28"/>
          <w:szCs w:val="28"/>
          <w:highlight w:val="none"/>
        </w:rPr>
        <w:t>年内不得到我校从事任何投标活动。</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a.</w:t>
      </w:r>
      <w:r>
        <w:rPr>
          <w:rFonts w:hint="eastAsia" w:ascii="宋体" w:hAnsi="宋体" w:cs="宋体"/>
          <w:color w:val="auto"/>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b.</w:t>
      </w:r>
      <w:r>
        <w:rPr>
          <w:rFonts w:hint="eastAsia" w:ascii="宋体" w:hAnsi="宋体" w:cs="宋体"/>
          <w:color w:val="auto"/>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c.</w:t>
      </w:r>
      <w:r>
        <w:rPr>
          <w:rFonts w:hint="eastAsia" w:ascii="宋体" w:hAnsi="宋体" w:cs="宋体"/>
          <w:color w:val="auto"/>
          <w:sz w:val="28"/>
          <w:szCs w:val="28"/>
          <w:highlight w:val="none"/>
        </w:rPr>
        <w:t>出现其他不予退还履约保证金情形的。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质保：参照附件4服务要求</w:t>
      </w:r>
    </w:p>
    <w:p>
      <w:pPr>
        <w:spacing w:before="312" w:beforeLines="100" w:after="312" w:afterLines="100" w:line="360" w:lineRule="auto"/>
        <w:jc w:val="center"/>
        <w:rPr>
          <w:rFonts w:ascii="黑体" w:hAnsi="黑体" w:eastAsia="黑体"/>
          <w:color w:val="auto"/>
          <w:sz w:val="28"/>
          <w:szCs w:val="28"/>
          <w:highlight w:val="none"/>
        </w:rPr>
      </w:pPr>
      <w:bookmarkStart w:id="6" w:name="_Hlk9866833"/>
      <w:r>
        <w:rPr>
          <w:rFonts w:hint="eastAsia" w:ascii="黑体" w:hAnsi="黑体" w:eastAsia="黑体"/>
          <w:color w:val="auto"/>
          <w:sz w:val="28"/>
          <w:szCs w:val="28"/>
          <w:highlight w:val="none"/>
        </w:rPr>
        <w:t>八、日程安排和联系方式</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1.</w:t>
      </w:r>
      <w:r>
        <w:rPr>
          <w:rFonts w:hint="eastAsia" w:ascii="宋体" w:hAnsi="宋体"/>
          <w:color w:val="auto"/>
          <w:sz w:val="28"/>
          <w:szCs w:val="28"/>
          <w:highlight w:val="none"/>
        </w:rPr>
        <w:t>报名时间：招标信息发布后。</w:t>
      </w:r>
    </w:p>
    <w:p>
      <w:pPr>
        <w:spacing w:line="360" w:lineRule="auto"/>
        <w:ind w:firstLine="560" w:firstLineChars="200"/>
        <w:rPr>
          <w:rFonts w:ascii="宋体" w:cs="宋体"/>
          <w:color w:val="auto"/>
          <w:sz w:val="28"/>
          <w:szCs w:val="28"/>
          <w:highlight w:val="none"/>
        </w:rPr>
      </w:pPr>
      <w:r>
        <w:rPr>
          <w:rFonts w:ascii="宋体" w:hAnsi="宋体"/>
          <w:color w:val="auto"/>
          <w:sz w:val="28"/>
          <w:szCs w:val="28"/>
          <w:highlight w:val="none"/>
        </w:rPr>
        <w:t>2.</w:t>
      </w:r>
      <w:r>
        <w:rPr>
          <w:rFonts w:hint="eastAsia" w:ascii="宋体" w:hAnsi="宋体"/>
          <w:color w:val="auto"/>
          <w:sz w:val="28"/>
          <w:szCs w:val="28"/>
          <w:highlight w:val="none"/>
        </w:rPr>
        <w:t>领取招标文件：</w:t>
      </w:r>
      <w:r>
        <w:rPr>
          <w:rFonts w:hint="eastAsia" w:ascii="宋体" w:hAnsi="宋体"/>
          <w:color w:val="auto"/>
          <w:sz w:val="28"/>
          <w:szCs w:val="28"/>
          <w:highlight w:val="none"/>
          <w:u w:val="single"/>
        </w:rPr>
        <w:t>自行下载</w:t>
      </w:r>
      <w:r>
        <w:rPr>
          <w:rFonts w:hint="eastAsia" w:ascii="宋体" w:hAnsi="宋体" w:cs="宋体"/>
          <w:color w:val="auto"/>
          <w:kern w:val="0"/>
          <w:sz w:val="28"/>
          <w:szCs w:val="28"/>
          <w:highlight w:val="none"/>
        </w:rPr>
        <w:t>。</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3.</w:t>
      </w:r>
      <w:r>
        <w:rPr>
          <w:rFonts w:hint="eastAsia" w:ascii="宋体" w:hAnsi="宋体"/>
          <w:color w:val="auto"/>
          <w:sz w:val="28"/>
          <w:szCs w:val="28"/>
          <w:highlight w:val="none"/>
        </w:rPr>
        <w:t xml:space="preserve">答疑时间：          </w:t>
      </w:r>
    </w:p>
    <w:p>
      <w:pPr>
        <w:spacing w:line="360" w:lineRule="auto"/>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）投标人如有疑问，</w:t>
      </w:r>
      <w:r>
        <w:rPr>
          <w:rFonts w:hint="eastAsia" w:ascii="宋体" w:hAnsi="宋体"/>
          <w:color w:val="auto"/>
          <w:sz w:val="28"/>
          <w:szCs w:val="28"/>
          <w:highlight w:val="none"/>
        </w:rPr>
        <w:t>请在</w:t>
      </w:r>
      <w:r>
        <w:rPr>
          <w:rFonts w:ascii="宋体" w:hAnsi="宋体"/>
          <w:b/>
          <w:color w:val="auto"/>
          <w:sz w:val="28"/>
          <w:szCs w:val="28"/>
          <w:highlight w:val="none"/>
          <w:u w:val="single"/>
        </w:rPr>
        <w:t>2020</w:t>
      </w:r>
      <w:r>
        <w:rPr>
          <w:rFonts w:hint="eastAsia" w:ascii="宋体" w:hAnsi="宋体"/>
          <w:b/>
          <w:color w:val="auto"/>
          <w:sz w:val="28"/>
          <w:szCs w:val="28"/>
          <w:highlight w:val="none"/>
          <w:u w:val="single"/>
        </w:rPr>
        <w:t>年07月</w:t>
      </w:r>
      <w:r>
        <w:rPr>
          <w:rFonts w:hint="eastAsia" w:ascii="宋体" w:hAnsi="宋体"/>
          <w:b/>
          <w:color w:val="auto"/>
          <w:sz w:val="28"/>
          <w:szCs w:val="28"/>
          <w:highlight w:val="none"/>
          <w:u w:val="single"/>
          <w:lang w:val="en-US" w:eastAsia="zh-CN"/>
        </w:rPr>
        <w:t>29</w:t>
      </w:r>
      <w:r>
        <w:rPr>
          <w:rFonts w:hint="eastAsia" w:ascii="宋体" w:hAnsi="宋体"/>
          <w:b/>
          <w:color w:val="auto"/>
          <w:sz w:val="28"/>
          <w:szCs w:val="28"/>
          <w:highlight w:val="none"/>
          <w:u w:val="single"/>
        </w:rPr>
        <w:t>日</w:t>
      </w:r>
      <w:r>
        <w:rPr>
          <w:rFonts w:ascii="宋体" w:hAnsi="宋体"/>
          <w:b/>
          <w:color w:val="auto"/>
          <w:sz w:val="28"/>
          <w:szCs w:val="28"/>
          <w:highlight w:val="none"/>
          <w:u w:val="single"/>
        </w:rPr>
        <w:t>11</w:t>
      </w:r>
      <w:r>
        <w:rPr>
          <w:rFonts w:hint="eastAsia" w:ascii="宋体" w:hAnsi="宋体"/>
          <w:b/>
          <w:color w:val="auto"/>
          <w:sz w:val="28"/>
          <w:szCs w:val="28"/>
          <w:highlight w:val="none"/>
          <w:u w:val="single"/>
        </w:rPr>
        <w:t>：</w:t>
      </w:r>
      <w:r>
        <w:rPr>
          <w:rFonts w:ascii="宋体" w:hAnsi="宋体"/>
          <w:b/>
          <w:color w:val="auto"/>
          <w:sz w:val="28"/>
          <w:szCs w:val="28"/>
          <w:highlight w:val="none"/>
          <w:u w:val="single"/>
        </w:rPr>
        <w:t>3</w:t>
      </w:r>
      <w:r>
        <w:rPr>
          <w:color w:val="auto"/>
          <w:highlight w:val="none"/>
        </w:rPr>
        <w:fldChar w:fldCharType="begin"/>
      </w:r>
      <w:r>
        <w:rPr>
          <w:color w:val="auto"/>
          <w:highlight w:val="none"/>
        </w:rPr>
        <w:instrText xml:space="preserve"> HYPERLINK "mailto:30前将问题一律以word格式或txt格式发至89523765@qq.com" </w:instrText>
      </w:r>
      <w:r>
        <w:rPr>
          <w:color w:val="auto"/>
          <w:highlight w:val="none"/>
        </w:rPr>
        <w:fldChar w:fldCharType="separate"/>
      </w:r>
      <w:r>
        <w:rPr>
          <w:rFonts w:ascii="宋体"/>
          <w:b/>
          <w:color w:val="auto"/>
          <w:sz w:val="28"/>
          <w:szCs w:val="28"/>
          <w:highlight w:val="none"/>
          <w:u w:val="single"/>
        </w:rPr>
        <w:t>0</w:t>
      </w:r>
      <w:r>
        <w:rPr>
          <w:rFonts w:hint="eastAsia" w:ascii="宋体" w:hAnsi="宋体"/>
          <w:color w:val="auto"/>
          <w:sz w:val="28"/>
          <w:szCs w:val="28"/>
          <w:highlight w:val="none"/>
        </w:rPr>
        <w:t>前将问题以</w:t>
      </w:r>
      <w:r>
        <w:rPr>
          <w:rFonts w:ascii="宋体" w:hAnsi="宋体"/>
          <w:color w:val="auto"/>
          <w:sz w:val="28"/>
          <w:szCs w:val="28"/>
          <w:highlight w:val="none"/>
        </w:rPr>
        <w:t>word</w:t>
      </w:r>
      <w:r>
        <w:rPr>
          <w:rFonts w:hint="eastAsia" w:ascii="宋体" w:hAnsi="宋体"/>
          <w:color w:val="auto"/>
          <w:sz w:val="28"/>
          <w:szCs w:val="28"/>
          <w:highlight w:val="none"/>
        </w:rPr>
        <w:t>格式或</w:t>
      </w:r>
      <w:r>
        <w:rPr>
          <w:rFonts w:ascii="宋体" w:hAnsi="宋体"/>
          <w:color w:val="auto"/>
          <w:sz w:val="28"/>
          <w:szCs w:val="28"/>
          <w:highlight w:val="none"/>
        </w:rPr>
        <w:t>txt</w:t>
      </w:r>
      <w:r>
        <w:rPr>
          <w:rFonts w:hint="eastAsia" w:ascii="宋体" w:hAnsi="宋体"/>
          <w:color w:val="auto"/>
          <w:sz w:val="28"/>
          <w:szCs w:val="28"/>
          <w:highlight w:val="none"/>
        </w:rPr>
        <w:t>格式发至</w:t>
      </w:r>
      <w:r>
        <w:rPr>
          <w:rFonts w:ascii="宋体" w:hAnsi="宋体"/>
          <w:color w:val="auto"/>
          <w:sz w:val="28"/>
          <w:szCs w:val="28"/>
          <w:highlight w:val="none"/>
        </w:rPr>
        <w:t>2483567991@qq.com</w:t>
      </w:r>
      <w:r>
        <w:rPr>
          <w:rFonts w:ascii="宋体" w:hAnsi="宋体"/>
          <w:color w:val="auto"/>
          <w:sz w:val="28"/>
          <w:szCs w:val="28"/>
          <w:highlight w:val="none"/>
        </w:rPr>
        <w:fldChar w:fldCharType="end"/>
      </w:r>
      <w:r>
        <w:rPr>
          <w:rFonts w:hint="eastAsia" w:ascii="宋体" w:hAnsi="宋体"/>
          <w:color w:val="auto"/>
          <w:sz w:val="28"/>
          <w:szCs w:val="28"/>
          <w:highlight w:val="none"/>
        </w:rPr>
        <w:t>（质疑函请勿以</w:t>
      </w:r>
      <w:r>
        <w:rPr>
          <w:rFonts w:ascii="宋体" w:hAnsi="宋体"/>
          <w:color w:val="auto"/>
          <w:sz w:val="28"/>
          <w:szCs w:val="28"/>
          <w:highlight w:val="none"/>
        </w:rPr>
        <w:t>JPG</w:t>
      </w:r>
      <w:r>
        <w:rPr>
          <w:rFonts w:hint="eastAsia" w:ascii="宋体" w:hAnsi="宋体"/>
          <w:color w:val="auto"/>
          <w:sz w:val="28"/>
          <w:szCs w:val="28"/>
          <w:highlight w:val="none"/>
        </w:rPr>
        <w:t>或</w:t>
      </w:r>
      <w:r>
        <w:rPr>
          <w:rFonts w:ascii="宋体" w:hAnsi="宋体"/>
          <w:color w:val="auto"/>
          <w:sz w:val="28"/>
          <w:szCs w:val="28"/>
          <w:highlight w:val="none"/>
        </w:rPr>
        <w:t>PDF</w:t>
      </w:r>
      <w:r>
        <w:rPr>
          <w:rFonts w:hint="eastAsia" w:ascii="宋体" w:hAnsi="宋体"/>
          <w:color w:val="auto"/>
          <w:sz w:val="28"/>
          <w:szCs w:val="28"/>
          <w:highlight w:val="none"/>
        </w:rPr>
        <w:t>格式，对</w:t>
      </w:r>
      <w:r>
        <w:rPr>
          <w:rFonts w:ascii="宋体" w:hAnsi="宋体"/>
          <w:color w:val="auto"/>
          <w:sz w:val="28"/>
          <w:szCs w:val="28"/>
          <w:highlight w:val="none"/>
        </w:rPr>
        <w:t>JPG</w:t>
      </w:r>
      <w:r>
        <w:rPr>
          <w:rFonts w:hint="eastAsia" w:ascii="宋体" w:hAnsi="宋体"/>
          <w:color w:val="auto"/>
          <w:sz w:val="28"/>
          <w:szCs w:val="28"/>
          <w:highlight w:val="none"/>
        </w:rPr>
        <w:t>和</w:t>
      </w:r>
      <w:r>
        <w:rPr>
          <w:rFonts w:ascii="宋体" w:hAnsi="宋体"/>
          <w:color w:val="auto"/>
          <w:sz w:val="28"/>
          <w:szCs w:val="28"/>
          <w:highlight w:val="none"/>
        </w:rPr>
        <w:t>PDF</w:t>
      </w:r>
      <w:r>
        <w:rPr>
          <w:rFonts w:hint="eastAsia" w:ascii="宋体" w:hAnsi="宋体"/>
          <w:color w:val="auto"/>
          <w:sz w:val="28"/>
          <w:szCs w:val="28"/>
          <w:highlight w:val="none"/>
        </w:rPr>
        <w:t>格式的附件一律删除，不予采纳，敬请谅解）。</w:t>
      </w:r>
    </w:p>
    <w:p>
      <w:pPr>
        <w:spacing w:line="360" w:lineRule="auto"/>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2</w:t>
      </w:r>
      <w:r>
        <w:rPr>
          <w:rFonts w:hint="eastAsia" w:ascii="宋体" w:hAnsi="宋体"/>
          <w:color w:val="auto"/>
          <w:sz w:val="28"/>
          <w:szCs w:val="28"/>
          <w:highlight w:val="none"/>
        </w:rPr>
        <w:t>）我校项目归口管理部门将通过招标办向各投标人统一进行书面（或电子版）答疑回复。</w:t>
      </w:r>
    </w:p>
    <w:p>
      <w:pPr>
        <w:widowControl/>
        <w:snapToGrid w:val="0"/>
        <w:spacing w:line="360" w:lineRule="auto"/>
        <w:ind w:firstLine="548" w:firstLineChars="196"/>
        <w:outlineLvl w:val="0"/>
        <w:rPr>
          <w:rFonts w:ascii="黑体" w:hAnsi="黑体" w:eastAsia="黑体"/>
          <w:i/>
          <w:color w:val="auto"/>
          <w:sz w:val="28"/>
          <w:szCs w:val="28"/>
          <w:highlight w:val="none"/>
        </w:rPr>
      </w:pPr>
      <w:r>
        <w:rPr>
          <w:rFonts w:hint="eastAsia" w:ascii="宋体" w:hAnsi="宋体"/>
          <w:color w:val="auto"/>
          <w:sz w:val="28"/>
          <w:szCs w:val="28"/>
          <w:highlight w:val="none"/>
        </w:rPr>
        <w:t>4.投标文件</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（1）投标送达方式：</w:t>
      </w:r>
      <w:r>
        <w:rPr>
          <w:rFonts w:hint="eastAsia" w:ascii="宋体" w:hAnsi="宋体"/>
          <w:b/>
          <w:color w:val="auto"/>
          <w:sz w:val="28"/>
          <w:szCs w:val="28"/>
          <w:highlight w:val="none"/>
        </w:rPr>
        <w:t>只接受以邮寄方式送达，并请务必用顺丰快递</w:t>
      </w:r>
      <w:r>
        <w:rPr>
          <w:rFonts w:hint="eastAsia" w:ascii="宋体" w:hAnsi="宋体"/>
          <w:color w:val="auto"/>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color w:val="auto"/>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（2）投标截止时间：</w:t>
      </w:r>
      <w:r>
        <w:rPr>
          <w:rFonts w:hint="eastAsia" w:ascii="宋体" w:hAnsi="宋体"/>
          <w:color w:val="auto"/>
          <w:sz w:val="28"/>
          <w:szCs w:val="28"/>
          <w:highlight w:val="none"/>
        </w:rPr>
        <w:t>2020年</w:t>
      </w:r>
      <w:r>
        <w:rPr>
          <w:rFonts w:hint="eastAsia" w:ascii="宋体" w:hAnsi="宋体"/>
          <w:color w:val="auto"/>
          <w:sz w:val="28"/>
          <w:szCs w:val="28"/>
          <w:highlight w:val="none"/>
          <w:lang w:val="en-US" w:eastAsia="zh-CN"/>
        </w:rPr>
        <w:t>08</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12</w:t>
      </w:r>
      <w:r>
        <w:rPr>
          <w:rFonts w:hint="eastAsia" w:ascii="宋体" w:hAnsi="宋体"/>
          <w:color w:val="auto"/>
          <w:sz w:val="28"/>
          <w:szCs w:val="28"/>
          <w:highlight w:val="none"/>
        </w:rPr>
        <w:t>日09：00。</w:t>
      </w:r>
      <w:bookmarkStart w:id="7" w:name="_Hlk32349437"/>
    </w:p>
    <w:bookmarkEnd w:id="7"/>
    <w:p>
      <w:pPr>
        <w:widowControl/>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（3）邮寄送达地点：</w:t>
      </w:r>
      <w:r>
        <w:rPr>
          <w:rFonts w:hint="eastAsia" w:ascii="宋体" w:hAnsi="宋体" w:cs="宋体"/>
          <w:color w:val="auto"/>
          <w:kern w:val="0"/>
          <w:sz w:val="28"/>
          <w:szCs w:val="28"/>
          <w:highlight w:val="none"/>
        </w:rPr>
        <w:t>南京市浦口区宁六路219号</w:t>
      </w:r>
      <w:r>
        <w:rPr>
          <w:rFonts w:ascii="宋体" w:hAnsi="宋体" w:cs="宋体"/>
          <w:color w:val="auto"/>
          <w:kern w:val="0"/>
          <w:sz w:val="28"/>
          <w:szCs w:val="28"/>
          <w:highlight w:val="none"/>
        </w:rPr>
        <w:t>南京信息工程大学</w:t>
      </w:r>
      <w:r>
        <w:rPr>
          <w:rFonts w:hint="eastAsia" w:ascii="宋体" w:hAnsi="宋体"/>
          <w:color w:val="auto"/>
          <w:sz w:val="28"/>
          <w:szCs w:val="28"/>
          <w:highlight w:val="none"/>
        </w:rPr>
        <w:t>东苑大学生创业中心3号楼（体育馆北面三层小楼）210室</w:t>
      </w:r>
      <w:r>
        <w:rPr>
          <w:rFonts w:hint="eastAsia" w:ascii="宋体" w:hAnsi="宋体" w:cs="宋体"/>
          <w:color w:val="auto"/>
          <w:kern w:val="0"/>
          <w:sz w:val="28"/>
          <w:szCs w:val="28"/>
          <w:highlight w:val="none"/>
        </w:rPr>
        <w:t>招标办。联系人：马老师、罗老师；联系电话：025-58731441。</w:t>
      </w:r>
    </w:p>
    <w:p>
      <w:pPr>
        <w:snapToGrid w:val="0"/>
        <w:spacing w:line="360" w:lineRule="auto"/>
        <w:ind w:firstLine="560" w:firstLineChars="200"/>
        <w:outlineLvl w:val="0"/>
        <w:rPr>
          <w:rFonts w:ascii="宋体" w:hAnsi="宋体"/>
          <w:color w:val="auto"/>
          <w:sz w:val="28"/>
          <w:szCs w:val="28"/>
          <w:highlight w:val="none"/>
        </w:rPr>
      </w:pPr>
      <w:r>
        <w:rPr>
          <w:rFonts w:hint="eastAsia" w:ascii="宋体" w:hAnsi="宋体"/>
          <w:color w:val="auto"/>
          <w:sz w:val="28"/>
          <w:szCs w:val="28"/>
          <w:highlight w:val="none"/>
        </w:rPr>
        <w:t>5.开标、唱标和评标</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（1）开标、唱标：</w:t>
      </w:r>
      <w:r>
        <w:rPr>
          <w:rFonts w:hint="eastAsia" w:ascii="宋体" w:hAnsi="宋体"/>
          <w:color w:val="auto"/>
          <w:sz w:val="28"/>
          <w:szCs w:val="28"/>
          <w:highlight w:val="none"/>
        </w:rPr>
        <w:t>2020年</w:t>
      </w:r>
      <w:r>
        <w:rPr>
          <w:rFonts w:hint="eastAsia" w:ascii="宋体" w:hAnsi="宋体"/>
          <w:color w:val="auto"/>
          <w:sz w:val="28"/>
          <w:szCs w:val="28"/>
          <w:highlight w:val="none"/>
          <w:lang w:val="en-US" w:eastAsia="zh-CN"/>
        </w:rPr>
        <w:t>08</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12</w:t>
      </w:r>
      <w:r>
        <w:rPr>
          <w:rFonts w:hint="eastAsia" w:ascii="宋体" w:hAnsi="宋体"/>
          <w:color w:val="auto"/>
          <w:sz w:val="28"/>
          <w:szCs w:val="28"/>
          <w:highlight w:val="none"/>
        </w:rPr>
        <w:t>日09：00</w:t>
      </w:r>
      <w:r>
        <w:rPr>
          <w:rFonts w:hint="eastAsia" w:ascii="宋体" w:hAnsi="宋体"/>
          <w:color w:val="auto"/>
          <w:sz w:val="28"/>
          <w:szCs w:val="28"/>
          <w:highlight w:val="none"/>
        </w:rPr>
        <w:t>；(不安排公开开标、唱标，由招标办工作人员在我校纪检监察部门监督见证下进行，开标、唱标工作全程视频监控并录像)。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（2）唱标和开标地点：南京信息工程大学东苑大学生创业中心</w:t>
      </w:r>
      <w:r>
        <w:rPr>
          <w:rFonts w:ascii="宋体" w:hAnsi="宋体"/>
          <w:color w:val="auto"/>
          <w:sz w:val="28"/>
          <w:szCs w:val="28"/>
          <w:highlight w:val="none"/>
        </w:rPr>
        <w:t>3</w:t>
      </w:r>
      <w:r>
        <w:rPr>
          <w:rFonts w:hint="eastAsia" w:ascii="宋体" w:hAnsi="宋体"/>
          <w:color w:val="auto"/>
          <w:sz w:val="28"/>
          <w:szCs w:val="28"/>
          <w:highlight w:val="none"/>
        </w:rPr>
        <w:t>号楼（体育馆北面三层小楼）</w:t>
      </w:r>
      <w:r>
        <w:rPr>
          <w:rFonts w:ascii="宋体" w:hAnsi="宋体"/>
          <w:color w:val="auto"/>
          <w:sz w:val="28"/>
          <w:szCs w:val="28"/>
          <w:highlight w:val="none"/>
        </w:rPr>
        <w:t>210</w:t>
      </w:r>
      <w:r>
        <w:rPr>
          <w:rFonts w:hint="eastAsia" w:ascii="宋体" w:hAnsi="宋体"/>
          <w:color w:val="auto"/>
          <w:sz w:val="28"/>
          <w:szCs w:val="28"/>
          <w:highlight w:val="none"/>
        </w:rPr>
        <w:t>室。</w:t>
      </w:r>
    </w:p>
    <w:p>
      <w:pPr>
        <w:snapToGrid w:val="0"/>
        <w:spacing w:line="360" w:lineRule="auto"/>
        <w:ind w:firstLine="560" w:firstLineChars="200"/>
        <w:outlineLvl w:val="0"/>
        <w:rPr>
          <w:rFonts w:ascii="宋体" w:hAnsi="宋体" w:cs="宋体"/>
          <w:color w:val="auto"/>
          <w:sz w:val="28"/>
          <w:szCs w:val="28"/>
          <w:highlight w:val="none"/>
        </w:rPr>
      </w:pPr>
      <w:r>
        <w:rPr>
          <w:rFonts w:hint="eastAsia" w:ascii="宋体" w:hAnsi="宋体" w:cs="宋体"/>
          <w:color w:val="auto"/>
          <w:sz w:val="28"/>
          <w:szCs w:val="28"/>
          <w:highlight w:val="none"/>
        </w:rPr>
        <w:t>6.相关单位联系人及电话</w:t>
      </w:r>
    </w:p>
    <w:p>
      <w:pPr>
        <w:snapToGrid w:val="0"/>
        <w:spacing w:line="360" w:lineRule="auto"/>
        <w:ind w:firstLine="425" w:firstLineChars="152"/>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）招标办（招投标管理业务单位）：联系电话：</w:t>
      </w:r>
      <w:r>
        <w:rPr>
          <w:rFonts w:ascii="宋体" w:hAnsi="宋体"/>
          <w:color w:val="auto"/>
          <w:sz w:val="28"/>
          <w:szCs w:val="28"/>
          <w:highlight w:val="none"/>
        </w:rPr>
        <w:t>025-58731441</w:t>
      </w:r>
      <w:r>
        <w:rPr>
          <w:rFonts w:hint="eastAsia" w:ascii="宋体" w:hAnsi="宋体"/>
          <w:color w:val="auto"/>
          <w:sz w:val="28"/>
          <w:szCs w:val="28"/>
          <w:highlight w:val="none"/>
        </w:rPr>
        <w:t>，联系人：马老师、罗老师；</w:t>
      </w:r>
    </w:p>
    <w:p>
      <w:pPr>
        <w:snapToGrid w:val="0"/>
        <w:spacing w:line="360" w:lineRule="auto"/>
        <w:ind w:firstLine="425" w:firstLineChars="152"/>
        <w:rPr>
          <w:rFonts w:ascii="宋体" w:hAnsi="宋体"/>
          <w:color w:val="auto"/>
          <w:sz w:val="28"/>
          <w:szCs w:val="28"/>
          <w:highlight w:val="none"/>
        </w:rPr>
      </w:pPr>
      <w:r>
        <w:rPr>
          <w:rFonts w:hint="eastAsia" w:ascii="宋体" w:hAnsi="宋体"/>
          <w:color w:val="auto"/>
          <w:sz w:val="28"/>
          <w:szCs w:val="28"/>
          <w:highlight w:val="none"/>
        </w:rPr>
        <w:t>（2）</w:t>
      </w:r>
      <w:bookmarkEnd w:id="6"/>
      <w:r>
        <w:rPr>
          <w:rFonts w:hint="eastAsia" w:ascii="宋体" w:hAnsi="宋体"/>
          <w:color w:val="auto"/>
          <w:sz w:val="28"/>
          <w:szCs w:val="28"/>
          <w:highlight w:val="none"/>
        </w:rPr>
        <w:t>用户单位联系电话：13912927905，联系人：康老师。</w:t>
      </w:r>
    </w:p>
    <w:p>
      <w:pPr>
        <w:pStyle w:val="8"/>
        <w:ind w:left="0" w:leftChars="0" w:right="0" w:rightChars="0"/>
        <w:rPr>
          <w:rFonts w:ascii="宋体" w:hAnsi="宋体"/>
          <w:color w:val="auto"/>
          <w:sz w:val="28"/>
          <w:szCs w:val="28"/>
          <w:highlight w:val="none"/>
        </w:rPr>
      </w:pPr>
    </w:p>
    <w:p>
      <w:pPr>
        <w:tabs>
          <w:tab w:val="left" w:pos="1260"/>
        </w:tabs>
        <w:spacing w:line="360" w:lineRule="auto"/>
        <w:ind w:left="1959" w:leftChars="933" w:firstLine="2530" w:firstLineChars="900"/>
        <w:rPr>
          <w:rFonts w:ascii="宋体"/>
          <w:b/>
          <w:color w:val="auto"/>
          <w:sz w:val="28"/>
          <w:szCs w:val="28"/>
          <w:highlight w:val="none"/>
        </w:rPr>
      </w:pPr>
      <w:bookmarkStart w:id="8" w:name="_Hlk9866962"/>
      <w:r>
        <w:rPr>
          <w:rFonts w:hint="eastAsia" w:ascii="宋体" w:hAnsi="宋体"/>
          <w:b/>
          <w:color w:val="auto"/>
          <w:sz w:val="28"/>
          <w:szCs w:val="28"/>
          <w:highlight w:val="none"/>
        </w:rPr>
        <w:t>南京信息工程大学招标办</w:t>
      </w:r>
    </w:p>
    <w:p>
      <w:pPr>
        <w:pStyle w:val="11"/>
        <w:spacing w:line="360" w:lineRule="auto"/>
        <w:ind w:left="99" w:leftChars="47" w:firstLine="4919" w:firstLineChars="1750"/>
        <w:outlineLvl w:val="0"/>
        <w:rPr>
          <w:rStyle w:val="40"/>
          <w:rFonts w:ascii="宋体" w:hAnsi="Times New Roman" w:eastAsia="宋体"/>
          <w:color w:val="auto"/>
          <w:sz w:val="28"/>
          <w:szCs w:val="28"/>
          <w:highlight w:val="none"/>
        </w:rPr>
      </w:pPr>
      <w:r>
        <w:rPr>
          <w:rStyle w:val="40"/>
          <w:rFonts w:ascii="宋体" w:hAnsi="宋体" w:eastAsia="宋体"/>
          <w:color w:val="auto"/>
          <w:sz w:val="28"/>
          <w:szCs w:val="28"/>
          <w:highlight w:val="none"/>
        </w:rPr>
        <w:t>20</w:t>
      </w:r>
      <w:r>
        <w:rPr>
          <w:rStyle w:val="40"/>
          <w:rFonts w:hint="eastAsia" w:ascii="宋体" w:hAnsi="宋体" w:eastAsia="宋体"/>
          <w:color w:val="auto"/>
          <w:sz w:val="28"/>
          <w:szCs w:val="28"/>
          <w:highlight w:val="none"/>
        </w:rPr>
        <w:t>20年0</w:t>
      </w:r>
      <w:r>
        <w:rPr>
          <w:rStyle w:val="40"/>
          <w:rFonts w:hint="eastAsia" w:ascii="宋体" w:hAnsi="宋体"/>
          <w:color w:val="auto"/>
          <w:sz w:val="28"/>
          <w:szCs w:val="28"/>
          <w:highlight w:val="none"/>
        </w:rPr>
        <w:t>7</w:t>
      </w:r>
      <w:r>
        <w:rPr>
          <w:rStyle w:val="40"/>
          <w:rFonts w:hint="eastAsia" w:ascii="宋体" w:hAnsi="宋体" w:eastAsia="宋体"/>
          <w:color w:val="auto"/>
          <w:sz w:val="28"/>
          <w:szCs w:val="28"/>
          <w:highlight w:val="none"/>
        </w:rPr>
        <w:t>月</w:t>
      </w:r>
      <w:r>
        <w:rPr>
          <w:rStyle w:val="40"/>
          <w:rFonts w:hint="eastAsia" w:ascii="宋体" w:hAnsi="宋体"/>
          <w:color w:val="auto"/>
          <w:sz w:val="28"/>
          <w:szCs w:val="28"/>
          <w:highlight w:val="none"/>
          <w:lang w:val="en-US"/>
        </w:rPr>
        <w:t>23</w:t>
      </w:r>
      <w:r>
        <w:rPr>
          <w:rStyle w:val="40"/>
          <w:rFonts w:hint="eastAsia" w:ascii="宋体" w:hAnsi="宋体" w:eastAsia="宋体"/>
          <w:color w:val="auto"/>
          <w:sz w:val="28"/>
          <w:szCs w:val="28"/>
          <w:highlight w:val="none"/>
        </w:rPr>
        <w:t>日</w:t>
      </w:r>
    </w:p>
    <w:bookmarkEnd w:id="8"/>
    <w:p>
      <w:pPr>
        <w:pStyle w:val="10"/>
        <w:adjustRightInd w:val="0"/>
        <w:snapToGrid w:val="0"/>
        <w:spacing w:before="120" w:after="120" w:line="360" w:lineRule="auto"/>
        <w:rPr>
          <w:rStyle w:val="40"/>
          <w:rFonts w:ascii="宋体" w:hAnsi="宋体" w:eastAsia="宋体"/>
          <w:b w:val="0"/>
          <w:color w:val="auto"/>
          <w:sz w:val="28"/>
          <w:szCs w:val="28"/>
          <w:highlight w:val="none"/>
        </w:rPr>
      </w:pPr>
      <w:r>
        <w:rPr>
          <w:rStyle w:val="40"/>
          <w:rFonts w:ascii="宋体" w:hAnsi="Times New Roman" w:eastAsia="宋体"/>
          <w:b w:val="0"/>
          <w:color w:val="auto"/>
          <w:sz w:val="28"/>
          <w:szCs w:val="28"/>
          <w:highlight w:val="none"/>
        </w:rPr>
        <w:br w:type="page"/>
      </w:r>
      <w:bookmarkStart w:id="9" w:name="_Toc462564147"/>
      <w:r>
        <w:rPr>
          <w:rFonts w:ascii="Times New Roman" w:hAnsi="Times New Roman"/>
          <w:b/>
          <w:bCs/>
          <w:color w:val="auto"/>
          <w:sz w:val="24"/>
          <w:szCs w:val="24"/>
          <w:highlight w:val="none"/>
        </w:rPr>
        <w:t>附件1：</w:t>
      </w:r>
    </w:p>
    <w:p>
      <w:pPr>
        <w:spacing w:line="360" w:lineRule="auto"/>
        <w:ind w:left="180"/>
        <w:jc w:val="center"/>
        <w:rPr>
          <w:rFonts w:hAnsi="宋体"/>
          <w:b/>
          <w:color w:val="auto"/>
          <w:sz w:val="28"/>
          <w:szCs w:val="28"/>
          <w:highlight w:val="none"/>
        </w:rPr>
      </w:pPr>
      <w:r>
        <w:rPr>
          <w:rFonts w:hint="eastAsia" w:hAnsi="宋体"/>
          <w:b/>
          <w:color w:val="auto"/>
          <w:sz w:val="28"/>
          <w:szCs w:val="28"/>
          <w:highlight w:val="none"/>
        </w:rPr>
        <w:t>招标项目设备名称、数量、主要技术要求及其他要求</w:t>
      </w:r>
    </w:p>
    <w:tbl>
      <w:tblPr>
        <w:tblStyle w:val="17"/>
        <w:tblW w:w="5000" w:type="pct"/>
        <w:tblInd w:w="0" w:type="dxa"/>
        <w:tblLayout w:type="fixed"/>
        <w:tblCellMar>
          <w:top w:w="15" w:type="dxa"/>
          <w:left w:w="15" w:type="dxa"/>
          <w:bottom w:w="15" w:type="dxa"/>
          <w:right w:w="15" w:type="dxa"/>
        </w:tblCellMar>
      </w:tblPr>
      <w:tblGrid>
        <w:gridCol w:w="513"/>
        <w:gridCol w:w="2555"/>
        <w:gridCol w:w="1425"/>
        <w:gridCol w:w="1425"/>
        <w:gridCol w:w="815"/>
        <w:gridCol w:w="3503"/>
      </w:tblGrid>
      <w:tr>
        <w:tblPrEx>
          <w:tblCellMar>
            <w:top w:w="15" w:type="dxa"/>
            <w:left w:w="15" w:type="dxa"/>
            <w:bottom w:w="15" w:type="dxa"/>
            <w:right w:w="15" w:type="dxa"/>
          </w:tblCellMar>
        </w:tblPrEx>
        <w:tc>
          <w:tcPr>
            <w:tcW w:w="250"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分包</w:t>
            </w:r>
          </w:p>
        </w:tc>
        <w:tc>
          <w:tcPr>
            <w:tcW w:w="1248"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仪器设备名称</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参考型号</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单位</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数量</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主要配置或技术参数</w:t>
            </w:r>
          </w:p>
        </w:tc>
      </w:tr>
      <w:tr>
        <w:tblPrEx>
          <w:tblCellMar>
            <w:top w:w="15" w:type="dxa"/>
            <w:left w:w="15" w:type="dxa"/>
            <w:bottom w:w="15" w:type="dxa"/>
            <w:right w:w="15" w:type="dxa"/>
          </w:tblCellMar>
        </w:tblPrEx>
        <w:tc>
          <w:tcPr>
            <w:tcW w:w="250" w:type="pct"/>
            <w:vMerge w:val="restart"/>
            <w:tcBorders>
              <w:top w:val="single" w:color="auto" w:sz="4" w:space="0"/>
              <w:left w:val="single" w:color="auto" w:sz="4" w:space="0"/>
              <w:right w:val="single" w:color="000000" w:sz="4" w:space="0"/>
            </w:tcBorders>
            <w:vAlign w:val="center"/>
          </w:tcPr>
          <w:p>
            <w:pPr>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48" w:type="pct"/>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计算服务器</w:t>
            </w:r>
          </w:p>
        </w:tc>
        <w:tc>
          <w:tcPr>
            <w:tcW w:w="696"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4"/>
                <w:highlight w:val="none"/>
              </w:rPr>
            </w:pP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套</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详见表后内容</w:t>
            </w:r>
          </w:p>
        </w:tc>
      </w:tr>
      <w:tr>
        <w:tblPrEx>
          <w:tblCellMar>
            <w:top w:w="15" w:type="dxa"/>
            <w:left w:w="15" w:type="dxa"/>
            <w:bottom w:w="15" w:type="dxa"/>
            <w:right w:w="15" w:type="dxa"/>
          </w:tblCellMar>
        </w:tblPrEx>
        <w:tc>
          <w:tcPr>
            <w:tcW w:w="250" w:type="pct"/>
            <w:vMerge w:val="continue"/>
            <w:tcBorders>
              <w:left w:val="single" w:color="auto" w:sz="4" w:space="0"/>
              <w:right w:val="single" w:color="000000" w:sz="4" w:space="0"/>
            </w:tcBorders>
            <w:vAlign w:val="center"/>
          </w:tcPr>
          <w:p>
            <w:pPr>
              <w:jc w:val="center"/>
              <w:textAlignment w:val="center"/>
              <w:rPr>
                <w:rFonts w:ascii="宋体" w:hAnsi="宋体" w:cs="宋体"/>
                <w:color w:val="auto"/>
                <w:kern w:val="0"/>
                <w:sz w:val="24"/>
                <w:highlight w:val="none"/>
              </w:rPr>
            </w:pPr>
          </w:p>
        </w:tc>
        <w:tc>
          <w:tcPr>
            <w:tcW w:w="1248"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存储设备</w:t>
            </w:r>
          </w:p>
        </w:tc>
        <w:tc>
          <w:tcPr>
            <w:tcW w:w="696"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4"/>
                <w:highlight w:val="none"/>
              </w:rPr>
            </w:pP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套</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详见表后内容</w:t>
            </w:r>
          </w:p>
        </w:tc>
      </w:tr>
      <w:tr>
        <w:tblPrEx>
          <w:tblCellMar>
            <w:top w:w="15" w:type="dxa"/>
            <w:left w:w="15" w:type="dxa"/>
            <w:bottom w:w="15" w:type="dxa"/>
            <w:right w:w="15" w:type="dxa"/>
          </w:tblCellMar>
        </w:tblPrEx>
        <w:tc>
          <w:tcPr>
            <w:tcW w:w="250" w:type="pct"/>
            <w:vMerge w:val="continue"/>
            <w:tcBorders>
              <w:left w:val="single" w:color="auto" w:sz="4" w:space="0"/>
              <w:bottom w:val="single" w:color="auto" w:sz="4" w:space="0"/>
              <w:right w:val="single" w:color="000000" w:sz="4" w:space="0"/>
            </w:tcBorders>
            <w:vAlign w:val="center"/>
          </w:tcPr>
          <w:p>
            <w:pPr>
              <w:jc w:val="center"/>
              <w:textAlignment w:val="center"/>
              <w:rPr>
                <w:rFonts w:ascii="宋体" w:hAnsi="宋体" w:cs="宋体"/>
                <w:color w:val="auto"/>
                <w:kern w:val="0"/>
                <w:sz w:val="24"/>
                <w:highlight w:val="none"/>
              </w:rPr>
            </w:pPr>
          </w:p>
        </w:tc>
        <w:tc>
          <w:tcPr>
            <w:tcW w:w="1248" w:type="pct"/>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相关系统及软件安装</w:t>
            </w:r>
          </w:p>
        </w:tc>
        <w:tc>
          <w:tcPr>
            <w:tcW w:w="696"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4"/>
                <w:highlight w:val="none"/>
              </w:rPr>
            </w:pP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套</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详见表后内容</w:t>
            </w:r>
          </w:p>
        </w:tc>
      </w:tr>
    </w:tbl>
    <w:p>
      <w:pPr>
        <w:rPr>
          <w:b/>
          <w:color w:val="auto"/>
          <w:highlight w:val="none"/>
        </w:rPr>
      </w:pPr>
    </w:p>
    <w:p>
      <w:pPr>
        <w:rPr>
          <w:b/>
          <w:color w:val="auto"/>
          <w:sz w:val="24"/>
          <w:highlight w:val="none"/>
        </w:rPr>
      </w:pPr>
      <w:r>
        <w:rPr>
          <w:rFonts w:hint="eastAsia" w:ascii="宋体" w:hAnsi="宋体" w:cs="宋体"/>
          <w:b/>
          <w:color w:val="auto"/>
          <w:kern w:val="0"/>
          <w:sz w:val="24"/>
          <w:highlight w:val="none"/>
        </w:rPr>
        <w:t>主要配置或技术参数</w:t>
      </w:r>
      <w:r>
        <w:rPr>
          <w:rFonts w:hint="eastAsia"/>
          <w:b/>
          <w:color w:val="auto"/>
          <w:sz w:val="24"/>
          <w:highlight w:val="none"/>
        </w:rPr>
        <w:t>：（标注“</w:t>
      </w:r>
      <w:r>
        <w:rPr>
          <w:rFonts w:hint="eastAsia" w:ascii="宋体" w:hAnsi="宋体" w:cs="宋体"/>
          <w:color w:val="auto"/>
          <w:kern w:val="0"/>
          <w:sz w:val="24"/>
          <w:highlight w:val="none"/>
        </w:rPr>
        <w:t>★</w:t>
      </w:r>
      <w:r>
        <w:rPr>
          <w:rFonts w:hint="eastAsia"/>
          <w:b/>
          <w:color w:val="auto"/>
          <w:sz w:val="24"/>
          <w:highlight w:val="none"/>
        </w:rPr>
        <w:t>”指标为必须满足项，不满足按无效标处理；标注“</w:t>
      </w:r>
      <w:r>
        <w:rPr>
          <w:bCs/>
          <w:color w:val="auto"/>
          <w:sz w:val="24"/>
          <w:highlight w:val="none"/>
        </w:rPr>
        <w:t>Δ</w:t>
      </w:r>
      <w:r>
        <w:rPr>
          <w:rFonts w:hint="eastAsia"/>
          <w:b/>
          <w:color w:val="auto"/>
          <w:sz w:val="24"/>
          <w:highlight w:val="none"/>
        </w:rPr>
        <w:t>”指标为重要指标，不满足将额外扣分，具体见“评分办法”）</w:t>
      </w:r>
    </w:p>
    <w:p>
      <w:pPr>
        <w:snapToGrid w:val="0"/>
        <w:outlineLvl w:val="0"/>
        <w:rPr>
          <w:b/>
          <w:color w:val="auto"/>
          <w:sz w:val="24"/>
          <w:highlight w:val="none"/>
        </w:rPr>
      </w:pPr>
      <w:r>
        <w:rPr>
          <w:rFonts w:hint="eastAsia"/>
          <w:b/>
          <w:color w:val="auto"/>
          <w:sz w:val="24"/>
          <w:highlight w:val="none"/>
        </w:rPr>
        <w:t>1、 计算服务器×2台</w:t>
      </w:r>
    </w:p>
    <w:p>
      <w:pPr>
        <w:snapToGrid w:val="0"/>
        <w:rPr>
          <w:bCs/>
          <w:color w:val="auto"/>
          <w:sz w:val="24"/>
          <w:highlight w:val="none"/>
        </w:rPr>
      </w:pPr>
      <w:r>
        <w:rPr>
          <w:bCs/>
          <w:color w:val="auto"/>
          <w:sz w:val="24"/>
          <w:highlight w:val="none"/>
        </w:rPr>
        <w:t>(1) Δ规格：≥</w:t>
      </w:r>
      <w:r>
        <w:rPr>
          <w:rFonts w:hint="eastAsia"/>
          <w:bCs/>
          <w:color w:val="auto"/>
          <w:sz w:val="24"/>
          <w:highlight w:val="none"/>
        </w:rPr>
        <w:t>2</w:t>
      </w:r>
      <w:r>
        <w:rPr>
          <w:rFonts w:eastAsia="Times New Roman"/>
          <w:bCs/>
          <w:color w:val="auto"/>
          <w:sz w:val="24"/>
          <w:highlight w:val="none"/>
        </w:rPr>
        <w:t>U</w:t>
      </w:r>
      <w:r>
        <w:rPr>
          <w:bCs/>
          <w:color w:val="auto"/>
          <w:sz w:val="24"/>
          <w:highlight w:val="none"/>
        </w:rPr>
        <w:t>机架式服务器</w:t>
      </w:r>
      <w:r>
        <w:rPr>
          <w:rFonts w:hint="eastAsia"/>
          <w:bCs/>
          <w:color w:val="auto"/>
          <w:sz w:val="24"/>
          <w:highlight w:val="none"/>
        </w:rPr>
        <w:t>，知名品牌，非O</w:t>
      </w:r>
      <w:r>
        <w:rPr>
          <w:bCs/>
          <w:color w:val="auto"/>
          <w:sz w:val="24"/>
          <w:highlight w:val="none"/>
        </w:rPr>
        <w:t>EM</w:t>
      </w:r>
      <w:r>
        <w:rPr>
          <w:rFonts w:hint="eastAsia"/>
          <w:bCs/>
          <w:color w:val="auto"/>
          <w:sz w:val="24"/>
          <w:highlight w:val="none"/>
        </w:rPr>
        <w:t>; 采用最新X</w:t>
      </w:r>
      <w:r>
        <w:rPr>
          <w:bCs/>
          <w:color w:val="auto"/>
          <w:sz w:val="24"/>
          <w:highlight w:val="none"/>
        </w:rPr>
        <w:t>86</w:t>
      </w:r>
      <w:r>
        <w:rPr>
          <w:rFonts w:hint="eastAsia"/>
          <w:bCs/>
          <w:color w:val="auto"/>
          <w:sz w:val="24"/>
          <w:highlight w:val="none"/>
        </w:rPr>
        <w:t>架构，6通道内存支持</w:t>
      </w:r>
      <w:r>
        <w:rPr>
          <w:bCs/>
          <w:color w:val="auto"/>
          <w:sz w:val="24"/>
          <w:highlight w:val="none"/>
        </w:rPr>
        <w:t>;</w:t>
      </w:r>
    </w:p>
    <w:p>
      <w:pPr>
        <w:snapToGrid w:val="0"/>
        <w:rPr>
          <w:bCs/>
          <w:color w:val="auto"/>
          <w:sz w:val="24"/>
          <w:highlight w:val="none"/>
        </w:rPr>
      </w:pPr>
      <w:r>
        <w:rPr>
          <w:bCs/>
          <w:color w:val="auto"/>
          <w:sz w:val="24"/>
          <w:highlight w:val="none"/>
        </w:rPr>
        <w:t>(2) Δ</w:t>
      </w:r>
      <w:r>
        <w:rPr>
          <w:rFonts w:hint="eastAsia"/>
          <w:bCs/>
          <w:color w:val="auto"/>
          <w:sz w:val="24"/>
          <w:highlight w:val="none"/>
        </w:rPr>
        <w:t>处理器:</w:t>
      </w:r>
      <w:r>
        <w:rPr>
          <w:bCs/>
          <w:color w:val="auto"/>
          <w:sz w:val="24"/>
          <w:highlight w:val="none"/>
        </w:rPr>
        <w:t xml:space="preserve"> ≥ 2</w:t>
      </w:r>
      <w:r>
        <w:rPr>
          <w:rFonts w:hint="eastAsia"/>
          <w:bCs/>
          <w:color w:val="auto"/>
          <w:sz w:val="24"/>
          <w:highlight w:val="none"/>
        </w:rPr>
        <w:t>颗英特尔至强 金牌 6248R (</w:t>
      </w:r>
      <w:r>
        <w:rPr>
          <w:bCs/>
          <w:color w:val="auto"/>
          <w:sz w:val="24"/>
          <w:highlight w:val="none"/>
        </w:rPr>
        <w:t>3.0G, 24C</w:t>
      </w:r>
      <w:r>
        <w:rPr>
          <w:rFonts w:hint="eastAsia"/>
          <w:bCs/>
          <w:color w:val="auto"/>
          <w:sz w:val="24"/>
          <w:highlight w:val="none"/>
        </w:rPr>
        <w:t>)</w:t>
      </w:r>
      <w:r>
        <w:rPr>
          <w:bCs/>
          <w:color w:val="auto"/>
          <w:sz w:val="24"/>
          <w:highlight w:val="none"/>
        </w:rPr>
        <w:t xml:space="preserve"> CPU </w:t>
      </w:r>
      <w:r>
        <w:rPr>
          <w:rFonts w:hint="eastAsia"/>
          <w:bCs/>
          <w:color w:val="auto"/>
          <w:sz w:val="24"/>
          <w:highlight w:val="none"/>
        </w:rPr>
        <w:t>或以上处理器；</w:t>
      </w:r>
    </w:p>
    <w:p>
      <w:pPr>
        <w:snapToGrid w:val="0"/>
        <w:rPr>
          <w:bCs/>
          <w:color w:val="auto"/>
          <w:sz w:val="24"/>
          <w:highlight w:val="none"/>
        </w:rPr>
      </w:pPr>
      <w:r>
        <w:rPr>
          <w:bCs/>
          <w:color w:val="auto"/>
          <w:sz w:val="24"/>
          <w:highlight w:val="none"/>
        </w:rPr>
        <w:t>(3) Δ</w:t>
      </w:r>
      <w:r>
        <w:rPr>
          <w:rFonts w:hint="eastAsia"/>
          <w:bCs/>
          <w:color w:val="auto"/>
          <w:sz w:val="24"/>
          <w:highlight w:val="none"/>
        </w:rPr>
        <w:t>内存:</w:t>
      </w:r>
      <w:r>
        <w:rPr>
          <w:bCs/>
          <w:color w:val="auto"/>
          <w:sz w:val="24"/>
          <w:highlight w:val="none"/>
        </w:rPr>
        <w:t xml:space="preserve"> ≥ </w:t>
      </w:r>
      <w:r>
        <w:rPr>
          <w:rFonts w:hint="eastAsia"/>
          <w:bCs/>
          <w:color w:val="auto"/>
          <w:sz w:val="24"/>
          <w:highlight w:val="none"/>
        </w:rPr>
        <w:t>8根32</w:t>
      </w:r>
      <w:r>
        <w:rPr>
          <w:bCs/>
          <w:color w:val="auto"/>
          <w:sz w:val="24"/>
          <w:highlight w:val="none"/>
        </w:rPr>
        <w:t xml:space="preserve">GB RDIMM 2933MT/s内存，可支持≥ </w:t>
      </w:r>
      <w:r>
        <w:rPr>
          <w:rFonts w:hint="eastAsia"/>
          <w:bCs/>
          <w:color w:val="auto"/>
          <w:sz w:val="24"/>
          <w:highlight w:val="none"/>
        </w:rPr>
        <w:t>24</w:t>
      </w:r>
      <w:r>
        <w:rPr>
          <w:bCs/>
          <w:color w:val="auto"/>
          <w:sz w:val="24"/>
          <w:highlight w:val="none"/>
        </w:rPr>
        <w:t>个RDIMM 2933MT/s内存插槽；</w:t>
      </w:r>
    </w:p>
    <w:p>
      <w:pPr>
        <w:snapToGrid w:val="0"/>
        <w:rPr>
          <w:bCs/>
          <w:color w:val="auto"/>
          <w:sz w:val="24"/>
          <w:highlight w:val="none"/>
        </w:rPr>
      </w:pPr>
      <w:r>
        <w:rPr>
          <w:bCs/>
          <w:color w:val="auto"/>
          <w:sz w:val="24"/>
          <w:highlight w:val="none"/>
        </w:rPr>
        <w:t>(4) Δ</w:t>
      </w:r>
      <w:r>
        <w:rPr>
          <w:rFonts w:hint="eastAsia"/>
          <w:bCs/>
          <w:color w:val="auto"/>
          <w:sz w:val="24"/>
          <w:highlight w:val="none"/>
        </w:rPr>
        <w:t>硬盘:</w:t>
      </w:r>
      <w:r>
        <w:rPr>
          <w:bCs/>
          <w:color w:val="auto"/>
          <w:sz w:val="24"/>
          <w:highlight w:val="none"/>
        </w:rPr>
        <w:t xml:space="preserve"> ≥ </w:t>
      </w:r>
      <w:r>
        <w:rPr>
          <w:rFonts w:hint="eastAsia"/>
          <w:bCs/>
          <w:color w:val="auto"/>
          <w:sz w:val="24"/>
          <w:highlight w:val="none"/>
        </w:rPr>
        <w:t xml:space="preserve">1块480GB </w:t>
      </w:r>
      <w:r>
        <w:rPr>
          <w:bCs/>
          <w:color w:val="auto"/>
          <w:sz w:val="24"/>
          <w:highlight w:val="none"/>
        </w:rPr>
        <w:t xml:space="preserve">SSD </w:t>
      </w:r>
      <w:r>
        <w:rPr>
          <w:rFonts w:hint="eastAsia"/>
          <w:bCs/>
          <w:color w:val="auto"/>
          <w:sz w:val="24"/>
          <w:highlight w:val="none"/>
        </w:rPr>
        <w:t>2.5寸热插拔硬盘</w:t>
      </w:r>
    </w:p>
    <w:p>
      <w:pPr>
        <w:snapToGrid w:val="0"/>
        <w:rPr>
          <w:bCs/>
          <w:color w:val="auto"/>
          <w:sz w:val="24"/>
          <w:highlight w:val="none"/>
        </w:rPr>
      </w:pPr>
      <w:r>
        <w:rPr>
          <w:rFonts w:hint="eastAsia"/>
          <w:bCs/>
          <w:color w:val="auto"/>
          <w:sz w:val="24"/>
          <w:highlight w:val="none"/>
        </w:rPr>
        <w:t>(5)网络:</w:t>
      </w:r>
      <w:r>
        <w:rPr>
          <w:bCs/>
          <w:color w:val="auto"/>
          <w:sz w:val="24"/>
          <w:highlight w:val="none"/>
        </w:rPr>
        <w:t xml:space="preserve"> ≥ 2个</w:t>
      </w:r>
      <w:r>
        <w:rPr>
          <w:rFonts w:hint="eastAsia"/>
          <w:bCs/>
          <w:color w:val="auto"/>
          <w:sz w:val="24"/>
          <w:highlight w:val="none"/>
        </w:rPr>
        <w:t>1</w:t>
      </w:r>
      <w:r>
        <w:rPr>
          <w:bCs/>
          <w:color w:val="auto"/>
          <w:sz w:val="24"/>
          <w:highlight w:val="none"/>
        </w:rPr>
        <w:t xml:space="preserve">GbE </w:t>
      </w:r>
      <w:r>
        <w:rPr>
          <w:rFonts w:hint="eastAsia"/>
          <w:bCs/>
          <w:color w:val="auto"/>
          <w:sz w:val="24"/>
          <w:highlight w:val="none"/>
        </w:rPr>
        <w:t>网卡+2个</w:t>
      </w:r>
      <w:r>
        <w:rPr>
          <w:bCs/>
          <w:color w:val="auto"/>
          <w:sz w:val="24"/>
          <w:highlight w:val="none"/>
        </w:rPr>
        <w:t>10GbE网卡</w:t>
      </w:r>
      <w:r>
        <w:rPr>
          <w:rFonts w:hint="eastAsia"/>
          <w:bCs/>
          <w:color w:val="auto"/>
          <w:sz w:val="24"/>
          <w:highlight w:val="none"/>
        </w:rPr>
        <w:t>，</w:t>
      </w:r>
      <w:r>
        <w:rPr>
          <w:bCs/>
          <w:color w:val="auto"/>
          <w:sz w:val="24"/>
          <w:highlight w:val="none"/>
        </w:rPr>
        <w:t>并配有相应线缆</w:t>
      </w:r>
      <w:r>
        <w:rPr>
          <w:rFonts w:hint="eastAsia"/>
          <w:bCs/>
          <w:color w:val="auto"/>
          <w:sz w:val="24"/>
          <w:highlight w:val="none"/>
        </w:rPr>
        <w:t>；</w:t>
      </w:r>
    </w:p>
    <w:p>
      <w:pPr>
        <w:snapToGrid w:val="0"/>
        <w:rPr>
          <w:bCs/>
          <w:color w:val="auto"/>
          <w:sz w:val="24"/>
          <w:highlight w:val="none"/>
        </w:rPr>
      </w:pPr>
      <w:r>
        <w:rPr>
          <w:rFonts w:hint="eastAsia"/>
          <w:bCs/>
          <w:color w:val="auto"/>
          <w:sz w:val="24"/>
          <w:highlight w:val="none"/>
        </w:rPr>
        <w:t>(6</w:t>
      </w:r>
      <w:r>
        <w:rPr>
          <w:bCs/>
          <w:color w:val="auto"/>
          <w:sz w:val="24"/>
          <w:highlight w:val="none"/>
        </w:rPr>
        <w:t>) ΔPCI</w:t>
      </w:r>
      <w:r>
        <w:rPr>
          <w:rFonts w:hint="eastAsia"/>
          <w:bCs/>
          <w:color w:val="auto"/>
          <w:sz w:val="24"/>
          <w:highlight w:val="none"/>
        </w:rPr>
        <w:t>插槽：配置 ≥8个PCIe第3代插槽；支持≥3个内部全宽300W或者≥6个内部半宽半高的150W GPU；提供彩页、官网截图和官网链接证明，并加盖原厂公章；</w:t>
      </w:r>
    </w:p>
    <w:p>
      <w:pPr>
        <w:snapToGrid w:val="0"/>
        <w:rPr>
          <w:bCs/>
          <w:color w:val="auto"/>
          <w:sz w:val="24"/>
          <w:highlight w:val="none"/>
        </w:rPr>
      </w:pPr>
      <w:r>
        <w:rPr>
          <w:bCs/>
          <w:color w:val="auto"/>
          <w:sz w:val="24"/>
          <w:highlight w:val="none"/>
        </w:rPr>
        <w:t>(</w:t>
      </w:r>
      <w:r>
        <w:rPr>
          <w:rFonts w:hint="eastAsia"/>
          <w:bCs/>
          <w:color w:val="auto"/>
          <w:sz w:val="24"/>
          <w:highlight w:val="none"/>
        </w:rPr>
        <w:t>7</w:t>
      </w:r>
      <w:r>
        <w:rPr>
          <w:bCs/>
          <w:color w:val="auto"/>
          <w:sz w:val="24"/>
          <w:highlight w:val="none"/>
        </w:rPr>
        <w:t xml:space="preserve">) </w:t>
      </w:r>
      <w:r>
        <w:rPr>
          <w:rFonts w:hint="eastAsia"/>
          <w:bCs/>
          <w:color w:val="auto"/>
          <w:sz w:val="24"/>
          <w:highlight w:val="none"/>
        </w:rPr>
        <w:t>电源风扇:</w:t>
      </w:r>
      <w:r>
        <w:rPr>
          <w:bCs/>
          <w:color w:val="auto"/>
          <w:sz w:val="24"/>
          <w:highlight w:val="none"/>
        </w:rPr>
        <w:t xml:space="preserve"> 满配</w:t>
      </w:r>
      <w:r>
        <w:rPr>
          <w:rFonts w:hint="eastAsia"/>
          <w:bCs/>
          <w:color w:val="auto"/>
          <w:sz w:val="24"/>
          <w:highlight w:val="none"/>
        </w:rPr>
        <w:t>≥750W</w:t>
      </w:r>
      <w:r>
        <w:rPr>
          <w:bCs/>
          <w:color w:val="auto"/>
          <w:sz w:val="24"/>
          <w:highlight w:val="none"/>
        </w:rPr>
        <w:t>冗余热插拔电源，可支持钛金级电源，并提供配套的电源连接线；</w:t>
      </w:r>
    </w:p>
    <w:p>
      <w:pPr>
        <w:snapToGrid w:val="0"/>
        <w:rPr>
          <w:bCs/>
          <w:color w:val="auto"/>
          <w:sz w:val="24"/>
          <w:highlight w:val="none"/>
        </w:rPr>
      </w:pPr>
      <w:r>
        <w:rPr>
          <w:bCs/>
          <w:color w:val="auto"/>
          <w:sz w:val="24"/>
          <w:highlight w:val="none"/>
        </w:rPr>
        <w:t>(</w:t>
      </w:r>
      <w:r>
        <w:rPr>
          <w:rFonts w:hint="eastAsia"/>
          <w:bCs/>
          <w:color w:val="auto"/>
          <w:sz w:val="24"/>
          <w:highlight w:val="none"/>
        </w:rPr>
        <w:t>8</w:t>
      </w:r>
      <w:r>
        <w:rPr>
          <w:bCs/>
          <w:color w:val="auto"/>
          <w:sz w:val="24"/>
          <w:highlight w:val="none"/>
        </w:rPr>
        <w:t xml:space="preserve">) </w:t>
      </w:r>
      <w:r>
        <w:rPr>
          <w:rFonts w:hint="eastAsia" w:ascii="宋体" w:hAnsi="宋体" w:cs="宋体"/>
          <w:color w:val="auto"/>
          <w:sz w:val="24"/>
          <w:highlight w:val="none"/>
        </w:rPr>
        <w:t>★</w:t>
      </w:r>
      <w:r>
        <w:rPr>
          <w:rFonts w:hint="eastAsia"/>
          <w:bCs/>
          <w:color w:val="auto"/>
          <w:sz w:val="24"/>
          <w:highlight w:val="none"/>
        </w:rPr>
        <w:t>前置管理液晶屏</w:t>
      </w:r>
      <w:r>
        <w:rPr>
          <w:bCs/>
          <w:color w:val="auto"/>
          <w:sz w:val="24"/>
          <w:highlight w:val="none"/>
        </w:rPr>
        <w:t>；</w:t>
      </w:r>
      <w:r>
        <w:rPr>
          <w:rFonts w:hint="eastAsia"/>
          <w:bCs/>
          <w:color w:val="auto"/>
          <w:sz w:val="24"/>
          <w:highlight w:val="none"/>
        </w:rPr>
        <w:t>前面板上配备有液晶屏，可显示默认或定制信息，包括IP地址、服务器名称、支持服务编号等。如果系统发生故障，该液晶屏上将显示关于故障的具体信息</w:t>
      </w:r>
    </w:p>
    <w:p>
      <w:pPr>
        <w:pStyle w:val="8"/>
        <w:ind w:left="0" w:leftChars="0" w:right="-57" w:rightChars="-27"/>
        <w:jc w:val="left"/>
        <w:rPr>
          <w:color w:val="auto"/>
          <w:sz w:val="24"/>
          <w:highlight w:val="none"/>
        </w:rPr>
      </w:pPr>
      <w:r>
        <w:rPr>
          <w:bCs/>
          <w:color w:val="auto"/>
          <w:sz w:val="24"/>
          <w:highlight w:val="none"/>
        </w:rPr>
        <w:t>(</w:t>
      </w:r>
      <w:r>
        <w:rPr>
          <w:rFonts w:hint="eastAsia"/>
          <w:bCs/>
          <w:color w:val="auto"/>
          <w:sz w:val="24"/>
          <w:highlight w:val="none"/>
        </w:rPr>
        <w:t>9</w:t>
      </w:r>
      <w:r>
        <w:rPr>
          <w:bCs/>
          <w:color w:val="auto"/>
          <w:sz w:val="24"/>
          <w:highlight w:val="none"/>
        </w:rPr>
        <w:t>)Δ</w:t>
      </w:r>
      <w:r>
        <w:rPr>
          <w:rFonts w:hint="eastAsia"/>
          <w:bCs/>
          <w:color w:val="auto"/>
          <w:sz w:val="24"/>
          <w:highlight w:val="none"/>
        </w:rPr>
        <w:t>远程管理：配置远程管理卡，具有单独的管理网口，可不依赖主机操作系统进行远程操作。提供远程监控图形界面, 可实现与操作系统无关的远程对服务器的完全控制，包括远程的开关机、重启、更新Firmware, 虚拟KVM, 虚拟软驱, 虚拟光驱、虚拟介质重定向等操作；支持SNMP，IPMI和Redfish；支持IPv6。</w:t>
      </w:r>
    </w:p>
    <w:p>
      <w:pPr>
        <w:snapToGrid w:val="0"/>
        <w:outlineLvl w:val="0"/>
        <w:rPr>
          <w:b/>
          <w:bCs/>
          <w:color w:val="auto"/>
          <w:sz w:val="24"/>
          <w:highlight w:val="none"/>
        </w:rPr>
      </w:pPr>
      <w:r>
        <w:rPr>
          <w:rFonts w:hint="eastAsia"/>
          <w:b/>
          <w:bCs/>
          <w:color w:val="auto"/>
          <w:sz w:val="24"/>
          <w:highlight w:val="none"/>
        </w:rPr>
        <w:t>2、高性能存储×1台</w:t>
      </w:r>
    </w:p>
    <w:p>
      <w:pPr>
        <w:snapToGrid w:val="0"/>
        <w:rPr>
          <w:bCs/>
          <w:color w:val="auto"/>
          <w:sz w:val="24"/>
          <w:highlight w:val="none"/>
        </w:rPr>
      </w:pPr>
      <w:r>
        <w:rPr>
          <w:bCs/>
          <w:color w:val="auto"/>
          <w:sz w:val="24"/>
          <w:highlight w:val="none"/>
        </w:rPr>
        <w:t>(1)</w:t>
      </w:r>
      <w:r>
        <w:rPr>
          <w:rFonts w:hint="eastAsia" w:ascii="宋体" w:hAnsi="宋体" w:cs="宋体"/>
          <w:color w:val="auto"/>
          <w:sz w:val="24"/>
          <w:highlight w:val="none"/>
        </w:rPr>
        <w:t xml:space="preserve"> ★</w:t>
      </w:r>
      <w:r>
        <w:rPr>
          <w:bCs/>
          <w:color w:val="auto"/>
          <w:sz w:val="24"/>
          <w:highlight w:val="none"/>
        </w:rPr>
        <w:t>规格：</w:t>
      </w:r>
      <w:r>
        <w:rPr>
          <w:rFonts w:eastAsia="Times New Roman"/>
          <w:bCs/>
          <w:color w:val="auto"/>
          <w:sz w:val="24"/>
          <w:highlight w:val="none"/>
        </w:rPr>
        <w:t xml:space="preserve">≤ </w:t>
      </w:r>
      <w:r>
        <w:rPr>
          <w:rFonts w:hint="eastAsia" w:eastAsia="等线"/>
          <w:bCs/>
          <w:color w:val="auto"/>
          <w:sz w:val="24"/>
          <w:highlight w:val="none"/>
        </w:rPr>
        <w:t>5</w:t>
      </w:r>
      <w:r>
        <w:rPr>
          <w:rFonts w:eastAsia="Times New Roman"/>
          <w:bCs/>
          <w:color w:val="auto"/>
          <w:sz w:val="24"/>
          <w:highlight w:val="none"/>
        </w:rPr>
        <w:t>U</w:t>
      </w:r>
      <w:r>
        <w:rPr>
          <w:bCs/>
          <w:color w:val="auto"/>
          <w:sz w:val="24"/>
          <w:highlight w:val="none"/>
        </w:rPr>
        <w:t>机架式空间</w:t>
      </w:r>
      <w:r>
        <w:rPr>
          <w:rFonts w:hint="eastAsia"/>
          <w:bCs/>
          <w:color w:val="auto"/>
          <w:sz w:val="24"/>
          <w:highlight w:val="none"/>
        </w:rPr>
        <w:t>，必须与计算服务器为同一品牌；</w:t>
      </w:r>
    </w:p>
    <w:p>
      <w:pPr>
        <w:snapToGrid w:val="0"/>
        <w:rPr>
          <w:bCs/>
          <w:color w:val="auto"/>
          <w:sz w:val="24"/>
          <w:highlight w:val="none"/>
        </w:rPr>
      </w:pPr>
      <w:r>
        <w:rPr>
          <w:bCs/>
          <w:color w:val="auto"/>
          <w:sz w:val="24"/>
          <w:highlight w:val="none"/>
        </w:rPr>
        <w:t xml:space="preserve">(2) </w:t>
      </w:r>
      <w:r>
        <w:rPr>
          <w:rFonts w:hint="eastAsia" w:ascii="宋体" w:hAnsi="宋体" w:cs="宋体"/>
          <w:color w:val="auto"/>
          <w:sz w:val="24"/>
          <w:highlight w:val="none"/>
        </w:rPr>
        <w:t>★</w:t>
      </w:r>
      <w:r>
        <w:rPr>
          <w:rFonts w:hint="eastAsia"/>
          <w:bCs/>
          <w:color w:val="auto"/>
          <w:sz w:val="24"/>
          <w:highlight w:val="none"/>
        </w:rPr>
        <w:t>控制器:</w:t>
      </w:r>
      <w:r>
        <w:rPr>
          <w:bCs/>
          <w:color w:val="auto"/>
          <w:sz w:val="24"/>
          <w:highlight w:val="none"/>
        </w:rPr>
        <w:t xml:space="preserve"> 双控≥</w:t>
      </w:r>
      <w:r>
        <w:rPr>
          <w:rFonts w:hint="eastAsia"/>
          <w:bCs/>
          <w:color w:val="auto"/>
          <w:sz w:val="24"/>
          <w:highlight w:val="none"/>
        </w:rPr>
        <w:t>16G缓存，</w:t>
      </w:r>
      <w:r>
        <w:rPr>
          <w:bCs/>
          <w:color w:val="auto"/>
          <w:sz w:val="24"/>
          <w:highlight w:val="none"/>
        </w:rPr>
        <w:t>双</w:t>
      </w:r>
      <w:r>
        <w:rPr>
          <w:rFonts w:hint="eastAsia"/>
          <w:bCs/>
          <w:color w:val="auto"/>
          <w:sz w:val="24"/>
          <w:highlight w:val="none"/>
        </w:rPr>
        <w:t>控制器互为冗余并具备故障切换功能；提供</w:t>
      </w:r>
      <w:r>
        <w:rPr>
          <w:bCs/>
          <w:color w:val="auto"/>
          <w:sz w:val="24"/>
          <w:highlight w:val="none"/>
        </w:rPr>
        <w:t>≥</w:t>
      </w:r>
      <w:r>
        <w:rPr>
          <w:rFonts w:hint="eastAsia"/>
          <w:bCs/>
          <w:color w:val="auto"/>
          <w:sz w:val="24"/>
          <w:highlight w:val="none"/>
        </w:rPr>
        <w:t>8个16Gb FC接口；</w:t>
      </w:r>
    </w:p>
    <w:p>
      <w:pPr>
        <w:pStyle w:val="8"/>
        <w:ind w:left="0" w:leftChars="0" w:right="-57" w:rightChars="-27"/>
        <w:rPr>
          <w:bCs/>
          <w:color w:val="auto"/>
          <w:sz w:val="24"/>
          <w:highlight w:val="none"/>
        </w:rPr>
      </w:pPr>
      <w:r>
        <w:rPr>
          <w:rFonts w:hint="eastAsia"/>
          <w:bCs/>
          <w:color w:val="auto"/>
          <w:sz w:val="24"/>
          <w:highlight w:val="none"/>
        </w:rPr>
        <w:t xml:space="preserve">(3) </w:t>
      </w:r>
      <w:r>
        <w:rPr>
          <w:rFonts w:hint="eastAsia" w:ascii="宋体" w:hAnsi="宋体" w:cs="宋体"/>
          <w:color w:val="auto"/>
          <w:sz w:val="24"/>
          <w:highlight w:val="none"/>
        </w:rPr>
        <w:t>★</w:t>
      </w:r>
      <w:r>
        <w:rPr>
          <w:rFonts w:hint="eastAsia"/>
          <w:bCs/>
          <w:color w:val="auto"/>
          <w:sz w:val="24"/>
          <w:highlight w:val="none"/>
        </w:rPr>
        <w:t>存储容量：本次配置</w:t>
      </w:r>
      <w:r>
        <w:rPr>
          <w:bCs/>
          <w:color w:val="auto"/>
          <w:sz w:val="24"/>
          <w:highlight w:val="none"/>
        </w:rPr>
        <w:t>≥</w:t>
      </w:r>
      <w:r>
        <w:rPr>
          <w:rFonts w:hint="eastAsia"/>
          <w:bCs/>
          <w:color w:val="auto"/>
          <w:sz w:val="24"/>
          <w:highlight w:val="none"/>
        </w:rPr>
        <w:t>14块</w:t>
      </w:r>
      <w:r>
        <w:rPr>
          <w:bCs/>
          <w:color w:val="auto"/>
          <w:sz w:val="24"/>
          <w:highlight w:val="none"/>
        </w:rPr>
        <w:t>12TB HDD 7.2K 512e SAS12 3.5热插拔硬盘</w:t>
      </w:r>
    </w:p>
    <w:p>
      <w:pPr>
        <w:snapToGrid w:val="0"/>
        <w:jc w:val="left"/>
        <w:rPr>
          <w:bCs/>
          <w:color w:val="auto"/>
          <w:sz w:val="24"/>
          <w:highlight w:val="none"/>
        </w:rPr>
      </w:pPr>
      <w:r>
        <w:rPr>
          <w:rFonts w:hint="eastAsia"/>
          <w:bCs/>
          <w:color w:val="auto"/>
          <w:sz w:val="24"/>
          <w:highlight w:val="none"/>
        </w:rPr>
        <w:t>(4) HBA卡：</w:t>
      </w:r>
      <w:r>
        <w:rPr>
          <w:bCs/>
          <w:color w:val="auto"/>
          <w:sz w:val="24"/>
          <w:highlight w:val="none"/>
        </w:rPr>
        <w:t>≥</w:t>
      </w:r>
      <w:r>
        <w:rPr>
          <w:rFonts w:hint="eastAsia"/>
          <w:bCs/>
          <w:color w:val="auto"/>
          <w:sz w:val="24"/>
          <w:highlight w:val="none"/>
        </w:rPr>
        <w:t>2*双端口 16Gb 光纤通道 HBA卡，并配有相应线缆</w:t>
      </w:r>
    </w:p>
    <w:p>
      <w:pPr>
        <w:snapToGrid w:val="0"/>
        <w:rPr>
          <w:bCs/>
          <w:color w:val="auto"/>
          <w:sz w:val="24"/>
          <w:highlight w:val="none"/>
        </w:rPr>
      </w:pPr>
      <w:r>
        <w:rPr>
          <w:bCs/>
          <w:color w:val="auto"/>
          <w:sz w:val="24"/>
          <w:highlight w:val="none"/>
        </w:rPr>
        <w:t>(</w:t>
      </w:r>
      <w:r>
        <w:rPr>
          <w:rFonts w:hint="eastAsia"/>
          <w:bCs/>
          <w:color w:val="auto"/>
          <w:sz w:val="24"/>
          <w:highlight w:val="none"/>
        </w:rPr>
        <w:t>5</w:t>
      </w:r>
      <w:r>
        <w:rPr>
          <w:bCs/>
          <w:color w:val="auto"/>
          <w:sz w:val="24"/>
          <w:highlight w:val="none"/>
        </w:rPr>
        <w:t>) Δ</w:t>
      </w:r>
      <w:r>
        <w:rPr>
          <w:rFonts w:hint="eastAsia"/>
          <w:bCs/>
          <w:color w:val="auto"/>
          <w:sz w:val="24"/>
          <w:highlight w:val="none"/>
        </w:rPr>
        <w:t xml:space="preserve"> RAID支持:支持</w:t>
      </w:r>
      <w:r>
        <w:rPr>
          <w:bCs/>
          <w:color w:val="auto"/>
          <w:sz w:val="24"/>
          <w:highlight w:val="none"/>
        </w:rPr>
        <w:t>≥</w:t>
      </w:r>
      <w:r>
        <w:rPr>
          <w:rFonts w:hint="eastAsia"/>
          <w:bCs/>
          <w:color w:val="auto"/>
          <w:sz w:val="24"/>
          <w:highlight w:val="none"/>
        </w:rPr>
        <w:t>1024个虚拟卷，级别：0、1、10、5、6, Distributed RAID；</w:t>
      </w:r>
    </w:p>
    <w:p>
      <w:pPr>
        <w:snapToGrid w:val="0"/>
        <w:rPr>
          <w:b/>
          <w:color w:val="auto"/>
          <w:sz w:val="24"/>
          <w:highlight w:val="none"/>
        </w:rPr>
      </w:pPr>
      <w:r>
        <w:rPr>
          <w:bCs/>
          <w:color w:val="auto"/>
          <w:sz w:val="24"/>
          <w:highlight w:val="none"/>
        </w:rPr>
        <w:t>(</w:t>
      </w:r>
      <w:r>
        <w:rPr>
          <w:rFonts w:hint="eastAsia"/>
          <w:bCs/>
          <w:color w:val="auto"/>
          <w:sz w:val="24"/>
          <w:highlight w:val="none"/>
        </w:rPr>
        <w:t>6</w:t>
      </w:r>
      <w:r>
        <w:rPr>
          <w:bCs/>
          <w:color w:val="auto"/>
          <w:sz w:val="24"/>
          <w:highlight w:val="none"/>
        </w:rPr>
        <w:t>) Δ</w:t>
      </w:r>
      <w:r>
        <w:rPr>
          <w:rFonts w:hint="eastAsia"/>
          <w:bCs/>
          <w:color w:val="auto"/>
          <w:sz w:val="24"/>
          <w:highlight w:val="none"/>
        </w:rPr>
        <w:t>读写性能:满配每套DD测试</w:t>
      </w:r>
      <w:r>
        <w:rPr>
          <w:bCs/>
          <w:color w:val="auto"/>
          <w:sz w:val="24"/>
          <w:highlight w:val="none"/>
        </w:rPr>
        <w:t>≥</w:t>
      </w:r>
      <w:r>
        <w:rPr>
          <w:rFonts w:hint="eastAsia"/>
          <w:bCs/>
          <w:color w:val="auto"/>
          <w:sz w:val="24"/>
          <w:highlight w:val="none"/>
        </w:rPr>
        <w:t>5.4GB/s,提供存储管理界面截图证明并加盖原厂公章；</w:t>
      </w:r>
    </w:p>
    <w:p>
      <w:pPr>
        <w:snapToGrid w:val="0"/>
        <w:rPr>
          <w:bCs/>
          <w:color w:val="auto"/>
          <w:sz w:val="24"/>
          <w:highlight w:val="none"/>
        </w:rPr>
      </w:pPr>
      <w:r>
        <w:rPr>
          <w:bCs/>
          <w:color w:val="auto"/>
          <w:sz w:val="24"/>
          <w:highlight w:val="none"/>
        </w:rPr>
        <w:t>(</w:t>
      </w:r>
      <w:r>
        <w:rPr>
          <w:rFonts w:hint="eastAsia"/>
          <w:bCs/>
          <w:color w:val="auto"/>
          <w:sz w:val="24"/>
          <w:highlight w:val="none"/>
        </w:rPr>
        <w:t>7</w:t>
      </w:r>
      <w:r>
        <w:rPr>
          <w:bCs/>
          <w:color w:val="auto"/>
          <w:sz w:val="24"/>
          <w:highlight w:val="none"/>
        </w:rPr>
        <w:t xml:space="preserve">) </w:t>
      </w:r>
      <w:r>
        <w:rPr>
          <w:rFonts w:hint="eastAsia"/>
          <w:bCs/>
          <w:color w:val="auto"/>
          <w:sz w:val="24"/>
          <w:highlight w:val="none"/>
        </w:rPr>
        <w:t>★扩展能力:单台存储实配</w:t>
      </w:r>
      <w:r>
        <w:rPr>
          <w:bCs/>
          <w:color w:val="auto"/>
          <w:sz w:val="24"/>
          <w:highlight w:val="none"/>
        </w:rPr>
        <w:t>≥</w:t>
      </w:r>
      <w:r>
        <w:rPr>
          <w:rFonts w:hint="eastAsia"/>
          <w:bCs/>
          <w:color w:val="auto"/>
          <w:sz w:val="24"/>
          <w:highlight w:val="none"/>
        </w:rPr>
        <w:t>84个硬盘槽位（非服务器或存储挂载磁盘柜模式），支持不同尺寸硬盘混插，提供彩页、官网截图和官网链接证明，并加盖原厂公章；</w:t>
      </w:r>
    </w:p>
    <w:p>
      <w:pPr>
        <w:snapToGrid w:val="0"/>
        <w:rPr>
          <w:bCs/>
          <w:color w:val="auto"/>
          <w:sz w:val="24"/>
          <w:highlight w:val="none"/>
        </w:rPr>
      </w:pPr>
      <w:r>
        <w:rPr>
          <w:bCs/>
          <w:color w:val="auto"/>
          <w:sz w:val="24"/>
          <w:highlight w:val="none"/>
        </w:rPr>
        <w:t>(</w:t>
      </w:r>
      <w:r>
        <w:rPr>
          <w:rFonts w:hint="eastAsia"/>
          <w:bCs/>
          <w:color w:val="auto"/>
          <w:sz w:val="24"/>
          <w:highlight w:val="none"/>
        </w:rPr>
        <w:t>8</w:t>
      </w:r>
      <w:r>
        <w:rPr>
          <w:bCs/>
          <w:color w:val="auto"/>
          <w:sz w:val="24"/>
          <w:highlight w:val="none"/>
        </w:rPr>
        <w:t xml:space="preserve">) </w:t>
      </w:r>
      <w:r>
        <w:rPr>
          <w:rFonts w:hint="eastAsia"/>
          <w:bCs/>
          <w:color w:val="auto"/>
          <w:sz w:val="24"/>
          <w:highlight w:val="none"/>
        </w:rPr>
        <w:t>电源风扇:</w:t>
      </w:r>
      <w:r>
        <w:rPr>
          <w:bCs/>
          <w:color w:val="auto"/>
          <w:sz w:val="24"/>
          <w:highlight w:val="none"/>
        </w:rPr>
        <w:t>满配≥</w:t>
      </w:r>
      <w:r>
        <w:rPr>
          <w:rFonts w:hint="eastAsia"/>
          <w:bCs/>
          <w:color w:val="auto"/>
          <w:sz w:val="24"/>
          <w:highlight w:val="none"/>
        </w:rPr>
        <w:t>2000W</w:t>
      </w:r>
      <w:r>
        <w:rPr>
          <w:bCs/>
          <w:color w:val="auto"/>
          <w:sz w:val="24"/>
          <w:highlight w:val="none"/>
        </w:rPr>
        <w:t>冗余热插拔电源及风扇模块，并提供配套的电源连接线；</w:t>
      </w:r>
    </w:p>
    <w:p>
      <w:pPr>
        <w:snapToGrid w:val="0"/>
        <w:spacing w:line="276" w:lineRule="auto"/>
        <w:rPr>
          <w:bCs/>
          <w:color w:val="auto"/>
          <w:sz w:val="24"/>
          <w:highlight w:val="none"/>
        </w:rPr>
      </w:pPr>
      <w:r>
        <w:rPr>
          <w:bCs/>
          <w:color w:val="auto"/>
          <w:sz w:val="24"/>
          <w:highlight w:val="none"/>
        </w:rPr>
        <w:t>(</w:t>
      </w:r>
      <w:r>
        <w:rPr>
          <w:rFonts w:hint="eastAsia"/>
          <w:bCs/>
          <w:color w:val="auto"/>
          <w:sz w:val="24"/>
          <w:highlight w:val="none"/>
        </w:rPr>
        <w:t>9</w:t>
      </w:r>
      <w:r>
        <w:rPr>
          <w:bCs/>
          <w:color w:val="auto"/>
          <w:sz w:val="24"/>
          <w:highlight w:val="none"/>
        </w:rPr>
        <w:t>) Δ</w:t>
      </w:r>
      <w:r>
        <w:rPr>
          <w:rFonts w:hint="eastAsia"/>
          <w:bCs/>
          <w:color w:val="auto"/>
          <w:sz w:val="24"/>
          <w:highlight w:val="none"/>
        </w:rPr>
        <w:t>高级数据管理功能</w:t>
      </w:r>
      <w:r>
        <w:rPr>
          <w:bCs/>
          <w:color w:val="auto"/>
          <w:sz w:val="24"/>
          <w:highlight w:val="none"/>
        </w:rPr>
        <w:t>；</w:t>
      </w:r>
      <w:r>
        <w:rPr>
          <w:rFonts w:hint="eastAsia"/>
          <w:bCs/>
          <w:color w:val="auto"/>
          <w:sz w:val="24"/>
          <w:highlight w:val="none"/>
        </w:rPr>
        <w:t>支持HTML5 GUI、CLI、REST 界面管理；配置多路径软件，提供服务器与存储阵列之间冗余数据路径的故障转移管理；支持制作数据的时间点快照以用于备份和其他操作，每个系统可实现总共不少于1024个快照；基于WEB图形界面方式管理，支持基于IP远程管理 ；支持虚拟磁盘备份(VDC) ：制作现有虚拟磁盘在某个时间点上的完整精确副本，用于决策支持和软件开发测试；提供实时自动分层、精简配置、SSD读缓存、远程复制、卷拷贝、vCenter/SRM 集成等功能；配置IP及光纤远程复制功能，实现异步镜像；配置基于快照技术的远程异步复制功能；配置Distributed RAID，支持同时加入高于12块硬盘并实现高速硬盘重建；支持Vmware VAAI；支持服务器Cluster集群功能；支持硬件故障检测、诊断功能；</w:t>
      </w:r>
    </w:p>
    <w:p>
      <w:pPr>
        <w:snapToGrid w:val="0"/>
        <w:rPr>
          <w:b/>
          <w:bCs/>
          <w:color w:val="auto"/>
          <w:sz w:val="24"/>
          <w:highlight w:val="none"/>
        </w:rPr>
      </w:pPr>
      <w:r>
        <w:rPr>
          <w:rFonts w:hint="eastAsia"/>
          <w:b/>
          <w:bCs/>
          <w:color w:val="auto"/>
          <w:sz w:val="24"/>
          <w:highlight w:val="none"/>
        </w:rPr>
        <w:t>3</w:t>
      </w:r>
      <w:r>
        <w:rPr>
          <w:b/>
          <w:bCs/>
          <w:color w:val="auto"/>
          <w:sz w:val="24"/>
          <w:highlight w:val="none"/>
        </w:rPr>
        <w:t>、</w:t>
      </w:r>
      <w:r>
        <w:rPr>
          <w:rFonts w:hint="eastAsia"/>
          <w:b/>
          <w:bCs/>
          <w:color w:val="auto"/>
          <w:sz w:val="24"/>
          <w:highlight w:val="none"/>
        </w:rPr>
        <w:t>相关系统及软件安装</w:t>
      </w:r>
    </w:p>
    <w:p>
      <w:pPr>
        <w:rPr>
          <w:bCs/>
          <w:color w:val="auto"/>
          <w:sz w:val="24"/>
          <w:highlight w:val="none"/>
        </w:rPr>
      </w:pPr>
      <w:r>
        <w:rPr>
          <w:bCs/>
          <w:color w:val="auto"/>
          <w:sz w:val="24"/>
          <w:highlight w:val="none"/>
        </w:rPr>
        <w:t>Δ</w:t>
      </w:r>
      <w:r>
        <w:rPr>
          <w:rFonts w:hint="eastAsia"/>
          <w:bCs/>
          <w:color w:val="auto"/>
          <w:sz w:val="24"/>
          <w:highlight w:val="none"/>
        </w:rPr>
        <w:t>整体要求：与原有服务器设备无缝对接（组成一套并行计算系统），按用户要求完成所有设备软硬件系统的安装调试；包含集群管理软件，操作系统，并行文件系统，存储系统数据对接，</w:t>
      </w:r>
      <w:r>
        <w:rPr>
          <w:bCs/>
          <w:color w:val="auto"/>
          <w:sz w:val="24"/>
          <w:highlight w:val="none"/>
        </w:rPr>
        <w:t>编译器函数库： GNU、Intel编译器，支持C/C++/Fortran/Python；MKL、BLAS、LAPACK、ScaLAPACK、FFTW、Netcdf4.7、PNetcdf4、Ncview函数库等；以及应用软件的编译</w:t>
      </w:r>
      <w:r>
        <w:rPr>
          <w:rFonts w:hint="eastAsia"/>
          <w:bCs/>
          <w:color w:val="auto"/>
          <w:sz w:val="24"/>
          <w:highlight w:val="none"/>
        </w:rPr>
        <w:t>，</w:t>
      </w:r>
      <w:r>
        <w:rPr>
          <w:bCs/>
          <w:color w:val="auto"/>
          <w:sz w:val="24"/>
          <w:highlight w:val="none"/>
        </w:rPr>
        <w:t>调优</w:t>
      </w:r>
      <w:r>
        <w:rPr>
          <w:rFonts w:hint="eastAsia"/>
          <w:bCs/>
          <w:color w:val="auto"/>
          <w:sz w:val="24"/>
          <w:highlight w:val="none"/>
        </w:rPr>
        <w:t>。</w:t>
      </w:r>
      <w:r>
        <w:rPr>
          <w:bCs/>
          <w:color w:val="auto"/>
          <w:sz w:val="24"/>
          <w:highlight w:val="none"/>
        </w:rPr>
        <w:t>提供质保期内软件免费上门维护服务</w:t>
      </w:r>
      <w:r>
        <w:rPr>
          <w:rFonts w:hint="eastAsia"/>
          <w:bCs/>
          <w:color w:val="auto"/>
          <w:sz w:val="24"/>
          <w:highlight w:val="none"/>
        </w:rPr>
        <w:t>。</w:t>
      </w:r>
    </w:p>
    <w:p>
      <w:pPr>
        <w:pStyle w:val="15"/>
        <w:spacing w:before="0" w:beforeAutospacing="0" w:after="0" w:afterAutospacing="0" w:line="30" w:lineRule="atLeast"/>
        <w:jc w:val="both"/>
        <w:rPr>
          <w:rFonts w:cs="Times New Roman"/>
          <w:b/>
          <w:color w:val="auto"/>
          <w:kern w:val="2"/>
          <w:highlight w:val="none"/>
          <w:u w:val="single"/>
        </w:rPr>
      </w:pPr>
      <w:r>
        <w:rPr>
          <w:rFonts w:cs="Times New Roman"/>
          <w:b/>
          <w:color w:val="auto"/>
          <w:kern w:val="2"/>
          <w:highlight w:val="none"/>
        </w:rPr>
        <w:t>注：</w:t>
      </w:r>
      <w:r>
        <w:rPr>
          <w:rFonts w:cs="Times New Roman"/>
          <w:b/>
          <w:color w:val="auto"/>
          <w:kern w:val="2"/>
          <w:highlight w:val="none"/>
          <w:u w:val="single"/>
        </w:rPr>
        <w:t>1.报价应明确所投产品（或服务）的名称、品牌和型号，否则投标无效。</w:t>
      </w:r>
    </w:p>
    <w:p>
      <w:pPr>
        <w:pStyle w:val="15"/>
        <w:spacing w:before="0" w:beforeAutospacing="0" w:after="0" w:afterAutospacing="0" w:line="30" w:lineRule="atLeast"/>
        <w:ind w:firstLine="482" w:firstLineChars="200"/>
        <w:jc w:val="both"/>
        <w:rPr>
          <w:rFonts w:cs="Times New Roman"/>
          <w:b/>
          <w:color w:val="auto"/>
          <w:kern w:val="2"/>
          <w:sz w:val="21"/>
          <w:szCs w:val="21"/>
          <w:highlight w:val="none"/>
          <w:u w:val="single"/>
        </w:rPr>
      </w:pPr>
      <w:r>
        <w:rPr>
          <w:rFonts w:hint="eastAsia" w:cs="Times New Roman"/>
          <w:b/>
          <w:color w:val="auto"/>
          <w:kern w:val="2"/>
          <w:highlight w:val="none"/>
          <w:u w:val="single"/>
        </w:rPr>
        <w:t>2.本项目为交钥匙工程，投标报价包含所有费用，后期不接受任何形式的增补费用</w:t>
      </w:r>
      <w:r>
        <w:rPr>
          <w:rFonts w:hint="eastAsia" w:cs="Times New Roman"/>
          <w:b/>
          <w:color w:val="auto"/>
          <w:kern w:val="2"/>
          <w:sz w:val="21"/>
          <w:szCs w:val="21"/>
          <w:highlight w:val="none"/>
          <w:u w:val="single"/>
        </w:rPr>
        <w:t>。</w:t>
      </w:r>
    </w:p>
    <w:p>
      <w:pPr>
        <w:pStyle w:val="10"/>
        <w:adjustRightInd w:val="0"/>
        <w:snapToGrid w:val="0"/>
        <w:spacing w:before="120" w:after="120" w:line="360" w:lineRule="auto"/>
        <w:rPr>
          <w:rFonts w:hAnsi="宋体"/>
          <w:b/>
          <w:color w:val="auto"/>
          <w:sz w:val="28"/>
          <w:szCs w:val="28"/>
          <w:highlight w:val="none"/>
        </w:rPr>
      </w:pPr>
    </w:p>
    <w:p>
      <w:pPr>
        <w:widowControl/>
        <w:jc w:val="left"/>
        <w:rPr>
          <w:rFonts w:hAnsi="宋体"/>
          <w:b/>
          <w:color w:val="auto"/>
          <w:sz w:val="28"/>
          <w:szCs w:val="28"/>
          <w:highlight w:val="none"/>
        </w:rPr>
      </w:pPr>
      <w:r>
        <w:rPr>
          <w:rFonts w:hint="eastAsia" w:ascii="宋体" w:hAnsi="宋体"/>
          <w:b/>
          <w:color w:val="auto"/>
          <w:sz w:val="28"/>
          <w:szCs w:val="28"/>
          <w:highlight w:val="none"/>
        </w:rPr>
        <w:t>★</w:t>
      </w:r>
      <w:r>
        <w:rPr>
          <w:rFonts w:hint="eastAsia"/>
          <w:color w:val="auto"/>
          <w:sz w:val="28"/>
          <w:szCs w:val="28"/>
          <w:highlight w:val="none"/>
        </w:rPr>
        <w:t>▲</w:t>
      </w:r>
      <w:r>
        <w:rPr>
          <w:rFonts w:hint="eastAsia" w:ascii="宋体" w:hAnsi="宋体"/>
          <w:b/>
          <w:color w:val="auto"/>
          <w:sz w:val="28"/>
          <w:szCs w:val="28"/>
          <w:highlight w:val="none"/>
        </w:rPr>
        <w:t>投标时需提供承诺并在中标公示之日起，五个工作日内取得所投上述要求原厂授权函、售后服务承诺函、原厂保修等均须提供原厂项目授权书与售后服务承诺书，否则取消中标资格。</w:t>
      </w:r>
    </w:p>
    <w:p>
      <w:pPr>
        <w:widowControl/>
        <w:jc w:val="left"/>
        <w:rPr>
          <w:rFonts w:hAnsi="宋体"/>
          <w:b/>
          <w:color w:val="auto"/>
          <w:sz w:val="28"/>
          <w:szCs w:val="28"/>
          <w:highlight w:val="none"/>
        </w:rPr>
      </w:pPr>
    </w:p>
    <w:p>
      <w:pPr>
        <w:widowControl/>
        <w:jc w:val="left"/>
        <w:rPr>
          <w:rFonts w:hAnsi="宋体"/>
          <w:b/>
          <w:color w:val="auto"/>
          <w:sz w:val="28"/>
          <w:szCs w:val="28"/>
          <w:highlight w:val="none"/>
        </w:rPr>
      </w:pPr>
    </w:p>
    <w:p>
      <w:pPr>
        <w:pStyle w:val="8"/>
        <w:ind w:left="1470" w:right="1470"/>
        <w:rPr>
          <w:rFonts w:hAnsi="宋体"/>
          <w:b/>
          <w:color w:val="auto"/>
          <w:sz w:val="28"/>
          <w:szCs w:val="28"/>
          <w:highlight w:val="none"/>
        </w:rPr>
      </w:pPr>
    </w:p>
    <w:p>
      <w:pPr>
        <w:pStyle w:val="8"/>
        <w:ind w:left="1470" w:right="1470"/>
        <w:rPr>
          <w:rFonts w:hAnsi="宋体"/>
          <w:b/>
          <w:color w:val="auto"/>
          <w:sz w:val="28"/>
          <w:szCs w:val="28"/>
          <w:highlight w:val="none"/>
        </w:rPr>
      </w:pPr>
    </w:p>
    <w:p>
      <w:pPr>
        <w:pStyle w:val="8"/>
        <w:ind w:left="1470" w:right="1470"/>
        <w:rPr>
          <w:rFonts w:hAnsi="宋体"/>
          <w:b/>
          <w:color w:val="auto"/>
          <w:sz w:val="28"/>
          <w:szCs w:val="28"/>
          <w:highlight w:val="none"/>
        </w:rPr>
      </w:pPr>
    </w:p>
    <w:p>
      <w:pPr>
        <w:pStyle w:val="8"/>
        <w:ind w:left="1470" w:right="1470"/>
        <w:rPr>
          <w:rFonts w:hAnsi="宋体"/>
          <w:b/>
          <w:color w:val="auto"/>
          <w:sz w:val="28"/>
          <w:szCs w:val="28"/>
          <w:highlight w:val="none"/>
        </w:rPr>
      </w:pPr>
    </w:p>
    <w:p>
      <w:pPr>
        <w:pStyle w:val="8"/>
        <w:ind w:left="1470" w:right="1470"/>
        <w:rPr>
          <w:rFonts w:hAnsi="宋体"/>
          <w:b/>
          <w:color w:val="auto"/>
          <w:sz w:val="28"/>
          <w:szCs w:val="28"/>
          <w:highlight w:val="none"/>
        </w:rPr>
      </w:pPr>
    </w:p>
    <w:p>
      <w:pPr>
        <w:pStyle w:val="8"/>
        <w:ind w:left="1470" w:right="1470"/>
        <w:rPr>
          <w:rFonts w:hAnsi="宋体"/>
          <w:b/>
          <w:color w:val="auto"/>
          <w:sz w:val="28"/>
          <w:szCs w:val="28"/>
          <w:highlight w:val="none"/>
        </w:rPr>
      </w:pPr>
    </w:p>
    <w:p>
      <w:pPr>
        <w:pStyle w:val="8"/>
        <w:ind w:left="1470" w:right="1470"/>
        <w:rPr>
          <w:rFonts w:hAnsi="宋体"/>
          <w:b/>
          <w:color w:val="auto"/>
          <w:sz w:val="28"/>
          <w:szCs w:val="28"/>
          <w:highlight w:val="none"/>
        </w:rPr>
      </w:pPr>
    </w:p>
    <w:p>
      <w:pPr>
        <w:pStyle w:val="8"/>
        <w:ind w:left="1470" w:right="1470"/>
        <w:rPr>
          <w:rFonts w:hAnsi="宋体"/>
          <w:b/>
          <w:color w:val="auto"/>
          <w:sz w:val="28"/>
          <w:szCs w:val="28"/>
          <w:highlight w:val="none"/>
        </w:rPr>
      </w:pPr>
    </w:p>
    <w:p>
      <w:pPr>
        <w:pStyle w:val="8"/>
        <w:ind w:left="1470" w:right="1470"/>
        <w:rPr>
          <w:rFonts w:hAnsi="宋体"/>
          <w:b/>
          <w:color w:val="auto"/>
          <w:sz w:val="28"/>
          <w:szCs w:val="28"/>
          <w:highlight w:val="none"/>
        </w:rPr>
      </w:pPr>
    </w:p>
    <w:p>
      <w:pPr>
        <w:pStyle w:val="8"/>
        <w:ind w:left="1470" w:right="1470"/>
        <w:rPr>
          <w:rFonts w:hAnsi="宋体"/>
          <w:b/>
          <w:color w:val="auto"/>
          <w:sz w:val="28"/>
          <w:szCs w:val="28"/>
          <w:highlight w:val="none"/>
        </w:rPr>
      </w:pPr>
    </w:p>
    <w:p>
      <w:pPr>
        <w:widowControl/>
        <w:jc w:val="left"/>
        <w:rPr>
          <w:rFonts w:hAnsi="宋体"/>
          <w:b/>
          <w:color w:val="auto"/>
          <w:sz w:val="36"/>
          <w:szCs w:val="36"/>
          <w:highlight w:val="none"/>
        </w:rPr>
      </w:pPr>
      <w:r>
        <w:rPr>
          <w:rFonts w:hint="eastAsia" w:hAnsi="宋体"/>
          <w:b/>
          <w:color w:val="auto"/>
          <w:sz w:val="28"/>
          <w:szCs w:val="28"/>
          <w:highlight w:val="none"/>
        </w:rPr>
        <w:t>附件</w:t>
      </w:r>
      <w:r>
        <w:rPr>
          <w:rFonts w:hAnsi="宋体"/>
          <w:b/>
          <w:color w:val="auto"/>
          <w:sz w:val="28"/>
          <w:szCs w:val="28"/>
          <w:highlight w:val="none"/>
        </w:rPr>
        <w:t>2</w:t>
      </w:r>
      <w:r>
        <w:rPr>
          <w:rFonts w:hint="eastAsia" w:hAnsi="宋体"/>
          <w:b/>
          <w:color w:val="auto"/>
          <w:sz w:val="28"/>
          <w:szCs w:val="28"/>
          <w:highlight w:val="none"/>
        </w:rPr>
        <w:t>：</w:t>
      </w:r>
    </w:p>
    <w:p>
      <w:pPr>
        <w:tabs>
          <w:tab w:val="left" w:pos="3270"/>
        </w:tabs>
        <w:autoSpaceDE w:val="0"/>
        <w:autoSpaceDN w:val="0"/>
        <w:adjustRightInd w:val="0"/>
        <w:spacing w:line="360" w:lineRule="exact"/>
        <w:rPr>
          <w:rFonts w:ascii="宋体" w:hAnsi="宋体"/>
          <w:b/>
          <w:color w:val="auto"/>
          <w:sz w:val="24"/>
          <w:highlight w:val="none"/>
          <w:lang w:val="zh-CN"/>
        </w:rPr>
      </w:pPr>
      <w:bookmarkStart w:id="10" w:name="_Hlk9862420"/>
    </w:p>
    <w:p>
      <w:pPr>
        <w:autoSpaceDE w:val="0"/>
        <w:autoSpaceDN w:val="0"/>
        <w:adjustRightInd w:val="0"/>
        <w:spacing w:line="360" w:lineRule="exact"/>
        <w:ind w:firstLine="723" w:firstLineChars="200"/>
        <w:jc w:val="center"/>
        <w:outlineLvl w:val="0"/>
        <w:rPr>
          <w:rFonts w:ascii="宋体" w:hAnsi="宋体"/>
          <w:b/>
          <w:color w:val="auto"/>
          <w:sz w:val="36"/>
          <w:szCs w:val="36"/>
          <w:highlight w:val="none"/>
          <w:lang w:val="zh-CN"/>
        </w:rPr>
      </w:pPr>
      <w:r>
        <w:rPr>
          <w:rFonts w:hint="eastAsia" w:ascii="宋体" w:hAnsi="宋体"/>
          <w:b/>
          <w:color w:val="auto"/>
          <w:sz w:val="36"/>
          <w:szCs w:val="36"/>
          <w:highlight w:val="none"/>
          <w:lang w:val="zh-CN"/>
        </w:rPr>
        <w:t>投标函</w:t>
      </w:r>
    </w:p>
    <w:p>
      <w:pPr>
        <w:autoSpaceDE w:val="0"/>
        <w:autoSpaceDN w:val="0"/>
        <w:adjustRightInd w:val="0"/>
        <w:spacing w:line="300" w:lineRule="auto"/>
        <w:outlineLvl w:val="0"/>
        <w:rPr>
          <w:rFonts w:ascii="宋体" w:hAnsi="宋体"/>
          <w:color w:val="auto"/>
          <w:sz w:val="24"/>
          <w:highlight w:val="none"/>
          <w:lang w:val="zh-CN"/>
        </w:rPr>
      </w:pPr>
      <w:r>
        <w:rPr>
          <w:rFonts w:hint="eastAsia" w:ascii="宋体" w:hAnsi="宋体"/>
          <w:color w:val="auto"/>
          <w:sz w:val="24"/>
          <w:highlight w:val="none"/>
          <w:lang w:val="zh-CN"/>
        </w:rPr>
        <w:t>致：南京信息工程大学</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根据贵方（项目名称）（项目编号）投标邀请，正式授权下述签字人</w:t>
      </w:r>
      <w:r>
        <w:rPr>
          <w:rFonts w:ascii="宋体" w:hAnsi="宋体"/>
          <w:color w:val="auto"/>
          <w:sz w:val="24"/>
          <w:highlight w:val="none"/>
          <w:lang w:val="zh-CN"/>
        </w:rPr>
        <w:t>(</w:t>
      </w:r>
      <w:r>
        <w:rPr>
          <w:rFonts w:hint="eastAsia" w:ascii="宋体" w:hAnsi="宋体"/>
          <w:color w:val="auto"/>
          <w:sz w:val="24"/>
          <w:highlight w:val="none"/>
          <w:lang w:val="zh-CN"/>
        </w:rPr>
        <w:t>姓名和职务</w:t>
      </w:r>
      <w:r>
        <w:rPr>
          <w:rFonts w:ascii="宋体" w:hAnsi="宋体"/>
          <w:color w:val="auto"/>
          <w:sz w:val="24"/>
          <w:highlight w:val="none"/>
          <w:lang w:val="zh-CN"/>
        </w:rPr>
        <w:t>)</w:t>
      </w:r>
      <w:r>
        <w:rPr>
          <w:rFonts w:hint="eastAsia" w:ascii="宋体" w:hAnsi="宋体"/>
          <w:color w:val="auto"/>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color w:val="auto"/>
          <w:sz w:val="24"/>
          <w:highlight w:val="none"/>
        </w:rPr>
      </w:pPr>
      <w:r>
        <w:rPr>
          <w:rFonts w:ascii="宋体" w:hAnsi="宋体"/>
          <w:color w:val="auto"/>
          <w:sz w:val="24"/>
          <w:highlight w:val="none"/>
          <w:lang w:val="zh-CN"/>
        </w:rPr>
        <w:t>1</w:t>
      </w:r>
      <w:r>
        <w:rPr>
          <w:rFonts w:hint="eastAsia" w:ascii="宋体" w:hAnsi="宋体"/>
          <w:color w:val="auto"/>
          <w:sz w:val="24"/>
          <w:highlight w:val="none"/>
          <w:lang w:val="zh-CN"/>
        </w:rPr>
        <w:t>、</w:t>
      </w:r>
      <w:r>
        <w:rPr>
          <w:rFonts w:hint="eastAsia" w:ascii="宋体" w:hAnsi="宋体"/>
          <w:b/>
          <w:color w:val="auto"/>
          <w:sz w:val="24"/>
          <w:highlight w:val="none"/>
          <w:lang w:val="zh-CN"/>
        </w:rPr>
        <w:t>我们的资格条件完全符合政府采购法和本次招标要求</w:t>
      </w:r>
      <w:r>
        <w:rPr>
          <w:rFonts w:hint="eastAsia" w:ascii="宋体" w:hAnsi="宋体"/>
          <w:color w:val="auto"/>
          <w:sz w:val="24"/>
          <w:highlight w:val="none"/>
          <w:lang w:val="zh-CN"/>
        </w:rPr>
        <w:t>，</w:t>
      </w:r>
      <w:r>
        <w:rPr>
          <w:rFonts w:hint="eastAsia" w:ascii="宋体" w:hAnsi="宋体"/>
          <w:color w:val="auto"/>
          <w:sz w:val="24"/>
          <w:highlight w:val="none"/>
        </w:rPr>
        <w:t>我们</w:t>
      </w:r>
      <w:r>
        <w:rPr>
          <w:rFonts w:hint="eastAsia" w:ascii="宋体" w:hAnsi="宋体"/>
          <w:color w:val="auto"/>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rPr>
        <w:t>2</w:t>
      </w:r>
      <w:r>
        <w:rPr>
          <w:rFonts w:hint="eastAsia" w:ascii="宋体" w:hAnsi="宋体"/>
          <w:color w:val="auto"/>
          <w:sz w:val="24"/>
          <w:highlight w:val="none"/>
        </w:rPr>
        <w:t>、</w:t>
      </w:r>
      <w:r>
        <w:rPr>
          <w:rFonts w:hint="eastAsia" w:ascii="宋体" w:hAnsi="宋体"/>
          <w:color w:val="auto"/>
          <w:sz w:val="24"/>
          <w:highlight w:val="none"/>
          <w:lang w:val="zh-CN"/>
        </w:rPr>
        <w:t>按招标要求，我们的投标总报价为人民币大写</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小写：</w:t>
      </w:r>
      <w:r>
        <w:rPr>
          <w:rFonts w:hint="eastAsia" w:ascii="宋体" w:hAnsi="宋体"/>
          <w:color w:val="auto"/>
          <w:sz w:val="24"/>
          <w:highlight w:val="none"/>
          <w:u w:val="single"/>
          <w:lang w:val="zh-CN"/>
        </w:rPr>
        <w:t>￥         。</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3、项目负责人</w:t>
      </w:r>
      <w:r>
        <w:rPr>
          <w:rFonts w:ascii="宋体" w:hAnsi="宋体"/>
          <w:color w:val="auto"/>
          <w:sz w:val="24"/>
          <w:highlight w:val="none"/>
          <w:lang w:val="zh-CN"/>
        </w:rPr>
        <w:t>(</w:t>
      </w:r>
      <w:r>
        <w:rPr>
          <w:rFonts w:hint="eastAsia" w:ascii="宋体" w:hAnsi="宋体"/>
          <w:color w:val="auto"/>
          <w:sz w:val="24"/>
          <w:highlight w:val="none"/>
          <w:lang w:val="zh-CN"/>
        </w:rPr>
        <w:t>姓名</w:t>
      </w:r>
      <w:r>
        <w:rPr>
          <w:rFonts w:ascii="宋体" w:hAnsi="宋体"/>
          <w:color w:val="auto"/>
          <w:sz w:val="24"/>
          <w:highlight w:val="none"/>
          <w:lang w:val="zh-CN"/>
        </w:rPr>
        <w:t>)</w:t>
      </w:r>
      <w:r>
        <w:rPr>
          <w:rFonts w:hint="eastAsia" w:ascii="宋体" w:hAnsi="宋体"/>
          <w:color w:val="auto"/>
          <w:sz w:val="24"/>
          <w:highlight w:val="none"/>
          <w:lang w:val="zh-CN"/>
        </w:rPr>
        <w:t>，身份证号。</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4、我们已详细审核全部招标文件及其有效补充文件，我们放弃对招标文件任何误解的权利，提交投标文件后，</w:t>
      </w:r>
      <w:r>
        <w:rPr>
          <w:rFonts w:hint="eastAsia" w:ascii="宋体" w:hAnsi="宋体"/>
          <w:b/>
          <w:color w:val="auto"/>
          <w:sz w:val="24"/>
          <w:highlight w:val="none"/>
          <w:lang w:val="zh-CN"/>
        </w:rPr>
        <w:t>不对招标文件本身提出质疑</w:t>
      </w:r>
      <w:r>
        <w:rPr>
          <w:rFonts w:hint="eastAsia" w:ascii="宋体" w:hAnsi="宋体"/>
          <w:color w:val="auto"/>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6、一旦我方中标，我方将根据招标文件的规定严格履行合同，并保证于承诺的时间完成服务的启动</w:t>
      </w:r>
      <w:r>
        <w:rPr>
          <w:rFonts w:ascii="宋体" w:hAnsi="宋体"/>
          <w:color w:val="auto"/>
          <w:sz w:val="24"/>
          <w:highlight w:val="none"/>
          <w:lang w:val="zh-CN"/>
        </w:rPr>
        <w:t>/</w:t>
      </w:r>
      <w:r>
        <w:rPr>
          <w:rFonts w:hint="eastAsia" w:ascii="宋体" w:hAnsi="宋体"/>
          <w:color w:val="auto"/>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lang w:val="zh-CN"/>
        </w:rPr>
        <w:t>8</w:t>
      </w:r>
      <w:r>
        <w:rPr>
          <w:rFonts w:hint="eastAsia" w:ascii="宋体" w:hAnsi="宋体"/>
          <w:color w:val="auto"/>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地址：</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电话：</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传真：</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开户银行：</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银行账号：</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投标人法定代表人姓名（签字）：</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投标人名称：（盖章）</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日期：     年   月    日</w:t>
      </w:r>
    </w:p>
    <w:p>
      <w:pPr>
        <w:spacing w:line="360" w:lineRule="auto"/>
        <w:rPr>
          <w:rFonts w:asci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附件</w:t>
      </w:r>
      <w:r>
        <w:rPr>
          <w:rFonts w:ascii="宋体" w:hAnsi="宋体"/>
          <w:b/>
          <w:color w:val="auto"/>
          <w:sz w:val="28"/>
          <w:szCs w:val="28"/>
          <w:highlight w:val="none"/>
        </w:rPr>
        <w:t>3</w:t>
      </w:r>
      <w:r>
        <w:rPr>
          <w:rFonts w:hint="eastAsia" w:ascii="宋体" w:hAnsi="宋体"/>
          <w:b/>
          <w:color w:val="auto"/>
          <w:sz w:val="28"/>
          <w:szCs w:val="28"/>
          <w:highlight w:val="none"/>
        </w:rPr>
        <w:t>：</w:t>
      </w:r>
    </w:p>
    <w:p>
      <w:pPr>
        <w:spacing w:line="360" w:lineRule="auto"/>
        <w:jc w:val="center"/>
        <w:rPr>
          <w:rFonts w:ascii="宋体"/>
          <w:color w:val="auto"/>
          <w:sz w:val="44"/>
          <w:szCs w:val="44"/>
          <w:highlight w:val="none"/>
        </w:rPr>
      </w:pPr>
      <w:r>
        <w:rPr>
          <w:rFonts w:hint="eastAsia" w:ascii="宋体" w:hAnsi="宋体"/>
          <w:color w:val="auto"/>
          <w:sz w:val="44"/>
          <w:szCs w:val="44"/>
          <w:highlight w:val="none"/>
        </w:rPr>
        <w:t>投标项目报价明细表</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投标人</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招标编号及分包号</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投标报价</w:t>
      </w:r>
    </w:p>
    <w:tbl>
      <w:tblPr>
        <w:tblStyle w:val="17"/>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color w:val="auto"/>
                <w:sz w:val="28"/>
                <w:szCs w:val="28"/>
                <w:highlight w:val="none"/>
              </w:rPr>
            </w:pPr>
            <w:r>
              <w:rPr>
                <w:rFonts w:hint="eastAsia" w:ascii="宋体" w:hAnsi="宋体"/>
                <w:b/>
                <w:color w:val="auto"/>
                <w:sz w:val="28"/>
                <w:szCs w:val="28"/>
                <w:highlight w:val="none"/>
              </w:rPr>
              <w:t>分包号</w:t>
            </w:r>
          </w:p>
        </w:tc>
        <w:tc>
          <w:tcPr>
            <w:tcW w:w="1065" w:type="dxa"/>
            <w:vAlign w:val="center"/>
          </w:tcPr>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品牌</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货物</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名称</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货物</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描述</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计量</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单位</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数量</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单价</w:t>
            </w:r>
          </w:p>
        </w:tc>
        <w:tc>
          <w:tcPr>
            <w:tcW w:w="1066"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每项</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总价</w:t>
            </w:r>
          </w:p>
        </w:tc>
        <w:tc>
          <w:tcPr>
            <w:tcW w:w="1066" w:type="dxa"/>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质保</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color w:val="auto"/>
                <w:sz w:val="28"/>
                <w:szCs w:val="28"/>
                <w:highlight w:val="none"/>
              </w:rPr>
            </w:pPr>
          </w:p>
        </w:tc>
        <w:tc>
          <w:tcPr>
            <w:tcW w:w="2130" w:type="dxa"/>
            <w:gridSpan w:val="2"/>
            <w:vAlign w:val="center"/>
          </w:tcPr>
          <w:p>
            <w:pPr>
              <w:spacing w:line="360" w:lineRule="auto"/>
              <w:jc w:val="center"/>
              <w:rPr>
                <w:rFonts w:ascii="宋体"/>
                <w:color w:val="auto"/>
                <w:sz w:val="28"/>
                <w:szCs w:val="28"/>
                <w:highlight w:val="none"/>
              </w:rPr>
            </w:pPr>
            <w:r>
              <w:rPr>
                <w:rFonts w:hint="eastAsia" w:ascii="宋体" w:hAnsi="宋体"/>
                <w:color w:val="auto"/>
                <w:sz w:val="28"/>
                <w:szCs w:val="28"/>
                <w:highlight w:val="none"/>
              </w:rPr>
              <w:t>合计总价</w:t>
            </w:r>
          </w:p>
        </w:tc>
        <w:tc>
          <w:tcPr>
            <w:tcW w:w="6392" w:type="dxa"/>
            <w:gridSpan w:val="6"/>
            <w:vAlign w:val="center"/>
          </w:tcPr>
          <w:p>
            <w:pPr>
              <w:spacing w:line="360" w:lineRule="auto"/>
              <w:rPr>
                <w:rFonts w:ascii="宋体"/>
                <w:color w:val="auto"/>
                <w:sz w:val="28"/>
                <w:szCs w:val="28"/>
                <w:highlight w:val="none"/>
                <w:u w:val="single"/>
              </w:rPr>
            </w:pPr>
            <w:r>
              <w:rPr>
                <w:rFonts w:hint="eastAsia" w:ascii="宋体" w:hAnsi="宋体"/>
                <w:color w:val="auto"/>
                <w:sz w:val="28"/>
                <w:szCs w:val="28"/>
                <w:highlight w:val="none"/>
              </w:rPr>
              <w:t>大写：小写：元</w:t>
            </w:r>
          </w:p>
        </w:tc>
      </w:tr>
    </w:tbl>
    <w:p>
      <w:pPr>
        <w:spacing w:line="360" w:lineRule="auto"/>
        <w:rPr>
          <w:rFonts w:ascii="宋体"/>
          <w:color w:val="auto"/>
          <w:sz w:val="28"/>
          <w:szCs w:val="28"/>
          <w:highlight w:val="none"/>
        </w:rPr>
      </w:pPr>
      <w:r>
        <w:rPr>
          <w:rFonts w:hint="eastAsia" w:ascii="宋体" w:hAnsi="宋体"/>
          <w:color w:val="auto"/>
          <w:sz w:val="28"/>
          <w:szCs w:val="28"/>
          <w:highlight w:val="none"/>
        </w:rPr>
        <w:t>（可续页）</w:t>
      </w:r>
    </w:p>
    <w:p>
      <w:pPr>
        <w:spacing w:line="360" w:lineRule="auto"/>
        <w:rPr>
          <w:rFonts w:ascii="宋体"/>
          <w:color w:val="auto"/>
          <w:sz w:val="28"/>
          <w:szCs w:val="28"/>
          <w:highlight w:val="none"/>
        </w:rPr>
      </w:pPr>
    </w:p>
    <w:p>
      <w:pPr>
        <w:spacing w:line="360" w:lineRule="auto"/>
        <w:rPr>
          <w:rFonts w:ascii="宋体"/>
          <w:color w:val="auto"/>
          <w:sz w:val="28"/>
          <w:szCs w:val="28"/>
          <w:highlight w:val="none"/>
          <w:u w:val="single"/>
        </w:rPr>
      </w:pPr>
      <w:r>
        <w:rPr>
          <w:rFonts w:hint="eastAsia" w:ascii="宋体" w:hAnsi="宋体"/>
          <w:color w:val="auto"/>
          <w:sz w:val="28"/>
          <w:szCs w:val="28"/>
          <w:highlight w:val="none"/>
        </w:rPr>
        <w:t>单位盖章：</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授权代表签字：</w:t>
      </w:r>
    </w:p>
    <w:p>
      <w:pPr>
        <w:spacing w:line="360" w:lineRule="auto"/>
        <w:rPr>
          <w:rFonts w:ascii="宋体"/>
          <w:color w:val="auto"/>
          <w:sz w:val="28"/>
          <w:szCs w:val="28"/>
          <w:highlight w:val="none"/>
        </w:rPr>
      </w:pPr>
    </w:p>
    <w:p>
      <w:pPr>
        <w:spacing w:line="360" w:lineRule="auto"/>
        <w:rPr>
          <w:rFonts w:ascii="宋体"/>
          <w:color w:val="auto"/>
          <w:sz w:val="28"/>
          <w:szCs w:val="28"/>
          <w:highlight w:val="none"/>
        </w:rPr>
      </w:pPr>
      <w:r>
        <w:rPr>
          <w:rFonts w:hint="eastAsia" w:ascii="宋体" w:hAnsi="宋体"/>
          <w:color w:val="auto"/>
          <w:sz w:val="28"/>
          <w:szCs w:val="28"/>
          <w:highlight w:val="none"/>
        </w:rPr>
        <w:t>年月日</w:t>
      </w:r>
    </w:p>
    <w:p>
      <w:pPr>
        <w:jc w:val="left"/>
        <w:rPr>
          <w:b/>
          <w:color w:val="auto"/>
          <w:sz w:val="28"/>
          <w:szCs w:val="28"/>
          <w:highlight w:val="none"/>
        </w:rPr>
      </w:pPr>
    </w:p>
    <w:bookmarkEnd w:id="9"/>
    <w:bookmarkEnd w:id="10"/>
    <w:p>
      <w:pPr>
        <w:jc w:val="left"/>
        <w:rPr>
          <w:b/>
          <w:color w:val="auto"/>
          <w:sz w:val="28"/>
          <w:szCs w:val="28"/>
          <w:highlight w:val="none"/>
        </w:rPr>
      </w:pPr>
      <w:r>
        <w:rPr>
          <w:rFonts w:hint="eastAsia"/>
          <w:b/>
          <w:color w:val="auto"/>
          <w:sz w:val="28"/>
          <w:szCs w:val="28"/>
          <w:highlight w:val="none"/>
        </w:rPr>
        <w:t>附件</w:t>
      </w:r>
      <w:r>
        <w:rPr>
          <w:b/>
          <w:color w:val="auto"/>
          <w:sz w:val="28"/>
          <w:szCs w:val="28"/>
          <w:highlight w:val="none"/>
        </w:rPr>
        <w:t>4</w:t>
      </w:r>
      <w:r>
        <w:rPr>
          <w:rFonts w:hint="eastAsia"/>
          <w:b/>
          <w:color w:val="auto"/>
          <w:sz w:val="28"/>
          <w:szCs w:val="28"/>
          <w:highlight w:val="none"/>
        </w:rPr>
        <w:t>：服务要求</w:t>
      </w:r>
    </w:p>
    <w:p>
      <w:pPr>
        <w:ind w:firstLine="480" w:firstLineChars="200"/>
        <w:rPr>
          <w:rFonts w:ascii="Arial" w:hAnsi="宋体" w:cs="Arial"/>
          <w:color w:val="auto"/>
          <w:sz w:val="24"/>
          <w:highlight w:val="none"/>
        </w:rPr>
      </w:pPr>
      <w:r>
        <w:rPr>
          <w:rFonts w:hint="eastAsia" w:ascii="Arial" w:hAnsi="宋体" w:cs="Arial"/>
          <w:color w:val="auto"/>
          <w:sz w:val="24"/>
          <w:highlight w:val="none"/>
        </w:rPr>
        <w:t>1、工期：</w:t>
      </w:r>
      <w:r>
        <w:rPr>
          <w:rFonts w:hint="eastAsia" w:ascii="宋体"/>
          <w:color w:val="auto"/>
          <w:sz w:val="24"/>
          <w:highlight w:val="none"/>
          <w:lang w:val="en-US" w:eastAsia="zh-CN"/>
        </w:rPr>
        <w:t>合同生效</w:t>
      </w:r>
      <w:r>
        <w:rPr>
          <w:rFonts w:hint="eastAsia" w:ascii="宋体"/>
          <w:color w:val="auto"/>
          <w:sz w:val="24"/>
          <w:highlight w:val="none"/>
        </w:rPr>
        <w:t>后15个工作日内全部设备送货上门并安装调试至正常运行。</w:t>
      </w:r>
    </w:p>
    <w:p>
      <w:pPr>
        <w:ind w:firstLine="480" w:firstLineChars="200"/>
        <w:rPr>
          <w:rFonts w:hint="default" w:eastAsia="宋体"/>
          <w:color w:val="auto"/>
          <w:highlight w:val="none"/>
          <w:lang w:val="en-US" w:eastAsia="zh-CN"/>
        </w:rPr>
      </w:pPr>
      <w:r>
        <w:rPr>
          <w:rFonts w:hint="eastAsia" w:ascii="Arial" w:hAnsi="宋体" w:cs="Arial"/>
          <w:color w:val="auto"/>
          <w:sz w:val="24"/>
          <w:highlight w:val="none"/>
        </w:rPr>
        <w:t>2、质保：</w:t>
      </w:r>
      <w:r>
        <w:rPr>
          <w:color w:val="auto"/>
          <w:sz w:val="24"/>
          <w:highlight w:val="none"/>
        </w:rPr>
        <w:t>不低于原厂商</w:t>
      </w:r>
      <w:r>
        <w:rPr>
          <w:rFonts w:hint="eastAsia"/>
          <w:color w:val="auto"/>
          <w:sz w:val="24"/>
          <w:highlight w:val="none"/>
        </w:rPr>
        <w:t>3</w:t>
      </w:r>
      <w:r>
        <w:rPr>
          <w:color w:val="auto"/>
          <w:sz w:val="24"/>
          <w:highlight w:val="none"/>
        </w:rPr>
        <w:t>年7x24全免现场质保，当日4小时原厂备件上门更换服务，</w:t>
      </w:r>
      <w:r>
        <w:rPr>
          <w:rFonts w:hint="eastAsia"/>
          <w:color w:val="auto"/>
          <w:sz w:val="24"/>
          <w:highlight w:val="none"/>
        </w:rPr>
        <w:t>3年“保留您的硬盘”服务</w:t>
      </w:r>
      <w:r>
        <w:rPr>
          <w:rFonts w:hint="eastAsia"/>
          <w:color w:val="auto"/>
          <w:sz w:val="24"/>
          <w:highlight w:val="none"/>
          <w:lang w:eastAsia="zh-CN"/>
        </w:rPr>
        <w:t>，</w:t>
      </w:r>
      <w:r>
        <w:rPr>
          <w:rFonts w:hint="eastAsia"/>
          <w:color w:val="auto"/>
          <w:sz w:val="24"/>
          <w:highlight w:val="none"/>
          <w:lang w:val="en-US" w:eastAsia="zh-CN"/>
        </w:rPr>
        <w:t>投标时提供承诺书加盖单位公章。</w:t>
      </w:r>
    </w:p>
    <w:p>
      <w:pPr>
        <w:adjustRightInd w:val="0"/>
        <w:snapToGrid w:val="0"/>
        <w:spacing w:line="360" w:lineRule="auto"/>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pStyle w:val="8"/>
        <w:ind w:left="1470" w:right="1470"/>
        <w:rPr>
          <w:rFonts w:ascii="宋体" w:hAnsi="宋体" w:cs="仿宋"/>
          <w:b/>
          <w:bCs/>
          <w:color w:val="auto"/>
          <w:sz w:val="28"/>
          <w:szCs w:val="28"/>
          <w:highlight w:val="none"/>
        </w:rPr>
      </w:pPr>
    </w:p>
    <w:p>
      <w:pPr>
        <w:pStyle w:val="8"/>
        <w:ind w:left="0" w:leftChars="0" w:right="1470"/>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r>
        <w:rPr>
          <w:rFonts w:hint="eastAsia" w:ascii="宋体" w:hAnsi="宋体" w:cs="仿宋"/>
          <w:b/>
          <w:bCs/>
          <w:color w:val="auto"/>
          <w:sz w:val="28"/>
          <w:szCs w:val="28"/>
          <w:highlight w:val="none"/>
        </w:rPr>
        <w:t>附件</w:t>
      </w:r>
      <w:r>
        <w:rPr>
          <w:rFonts w:ascii="宋体" w:hAnsi="宋体" w:cs="仿宋"/>
          <w:b/>
          <w:bCs/>
          <w:color w:val="auto"/>
          <w:sz w:val="28"/>
          <w:szCs w:val="28"/>
          <w:highlight w:val="none"/>
        </w:rPr>
        <w:t>5</w:t>
      </w:r>
      <w:r>
        <w:rPr>
          <w:rFonts w:hint="eastAsia" w:ascii="宋体" w:hAnsi="宋体" w:cs="仿宋"/>
          <w:b/>
          <w:bCs/>
          <w:color w:val="auto"/>
          <w:sz w:val="28"/>
          <w:szCs w:val="28"/>
          <w:highlight w:val="none"/>
        </w:rPr>
        <w:t>：评标办法</w:t>
      </w:r>
    </w:p>
    <w:p>
      <w:pPr>
        <w:spacing w:line="440" w:lineRule="exact"/>
        <w:outlineLvl w:val="0"/>
        <w:rPr>
          <w:rFonts w:ascii="黑体" w:hAnsi="黑体" w:eastAsia="黑体"/>
          <w:color w:val="auto"/>
          <w:sz w:val="24"/>
          <w:highlight w:val="none"/>
        </w:rPr>
      </w:pPr>
      <w:r>
        <w:rPr>
          <w:rFonts w:hint="eastAsia" w:ascii="黑体" w:hAnsi="黑体" w:eastAsia="黑体"/>
          <w:color w:val="auto"/>
          <w:sz w:val="24"/>
          <w:highlight w:val="none"/>
        </w:rPr>
        <w:t>一、价格（30分）</w:t>
      </w:r>
    </w:p>
    <w:p>
      <w:pPr>
        <w:spacing w:line="440" w:lineRule="exact"/>
        <w:ind w:firstLine="360" w:firstLineChars="150"/>
        <w:rPr>
          <w:rFonts w:ascii="宋体" w:hAnsi="宋体"/>
          <w:color w:val="auto"/>
          <w:sz w:val="24"/>
          <w:highlight w:val="none"/>
        </w:rPr>
      </w:pPr>
      <w:r>
        <w:rPr>
          <w:rFonts w:hint="eastAsia" w:ascii="宋体" w:hAnsi="宋体"/>
          <w:bCs/>
          <w:snapToGrid w:val="0"/>
          <w:color w:val="auto"/>
          <w:sz w:val="24"/>
          <w:highlight w:val="none"/>
        </w:rPr>
        <w:t xml:space="preserve"> 投标报价</w:t>
      </w:r>
      <w:r>
        <w:rPr>
          <w:rFonts w:hint="eastAsia" w:ascii="宋体" w:hAnsi="宋体"/>
          <w:color w:val="auto"/>
          <w:sz w:val="24"/>
          <w:highlight w:val="none"/>
        </w:rPr>
        <w:t>（30分）：通过初步评审的有效标书中，满足招标文件要求且投标价格最低的投标报价为评标基准价，其价格分为满分。其他投标人的价格分统一按照下列公式计算：投标报价得分=(评标基准价／投标报价)×30分。（小数点后保留2位）。</w:t>
      </w:r>
    </w:p>
    <w:p>
      <w:pPr>
        <w:spacing w:line="440" w:lineRule="exact"/>
        <w:outlineLvl w:val="0"/>
        <w:rPr>
          <w:rFonts w:ascii="黑体" w:hAnsi="黑体" w:eastAsia="黑体"/>
          <w:color w:val="auto"/>
          <w:sz w:val="24"/>
          <w:highlight w:val="none"/>
        </w:rPr>
      </w:pPr>
      <w:r>
        <w:rPr>
          <w:rFonts w:hint="eastAsia" w:ascii="黑体" w:hAnsi="黑体" w:eastAsia="黑体"/>
          <w:color w:val="auto"/>
          <w:sz w:val="24"/>
          <w:highlight w:val="none"/>
        </w:rPr>
        <w:t>二、服务（58分）</w:t>
      </w:r>
    </w:p>
    <w:p>
      <w:pPr>
        <w:spacing w:line="440" w:lineRule="exact"/>
        <w:ind w:firstLine="480"/>
        <w:rPr>
          <w:rFonts w:ascii="宋体" w:hAnsi="宋体"/>
          <w:color w:val="auto"/>
          <w:sz w:val="24"/>
          <w:highlight w:val="none"/>
        </w:rPr>
      </w:pPr>
      <w:r>
        <w:rPr>
          <w:rFonts w:hint="eastAsia" w:ascii="宋体" w:hAnsi="宋体"/>
          <w:color w:val="auto"/>
          <w:sz w:val="24"/>
          <w:highlight w:val="none"/>
        </w:rPr>
        <w:t>1.技术方案（55分）（小数点后保留1位）:由评委根据投标文件响应招标文件中各相关指标情况酌情给分。核心和非核心指标全部满足的得50分，所有指标中，被评委认定为有实际意义的正偏离的，每1项正偏离加1分，最多加5分；非核心指标中，标注“</w:t>
      </w:r>
      <w:r>
        <w:rPr>
          <w:rFonts w:ascii="Segoe UI Symbol" w:hAnsi="Segoe UI Symbol" w:cs="Segoe UI Symbol"/>
          <w:bCs/>
          <w:color w:val="auto"/>
          <w:sz w:val="24"/>
          <w:highlight w:val="none"/>
        </w:rPr>
        <w:t>Δ</w:t>
      </w:r>
      <w:r>
        <w:rPr>
          <w:rFonts w:hint="eastAsia" w:ascii="宋体" w:hAnsi="宋体"/>
          <w:color w:val="auto"/>
          <w:sz w:val="24"/>
          <w:highlight w:val="none"/>
        </w:rPr>
        <w:t>”的重要指标每有1项不满足的（负偏离）扣5分，其余非核心指标每有1项不满足的（负偏离）扣2.5分（在50分基础上加分和扣分）。非核心指标有5项及以上负偏离的，即为无效标。</w:t>
      </w:r>
    </w:p>
    <w:p>
      <w:pPr>
        <w:spacing w:line="440" w:lineRule="exact"/>
        <w:ind w:firstLine="480"/>
        <w:rPr>
          <w:rFonts w:ascii="宋体" w:hAnsi="宋体"/>
          <w:color w:val="auto"/>
          <w:sz w:val="24"/>
          <w:highlight w:val="none"/>
        </w:rPr>
      </w:pPr>
      <w:r>
        <w:rPr>
          <w:rFonts w:hint="eastAsia" w:ascii="宋体" w:hAnsi="宋体"/>
          <w:color w:val="auto"/>
          <w:sz w:val="24"/>
          <w:highlight w:val="none"/>
        </w:rPr>
        <w:t>2.服务或实施方案（3分）：由评委根据投标单位投标文件中针对本项目的实际情况提出的服务或实施方案等综合情况酌情给分，重点考查设备的安装和调试，分三档：一档：3分；二档：2分；三档：1-0分,没有服务或实施方案的，不得分。</w:t>
      </w:r>
    </w:p>
    <w:p>
      <w:pPr>
        <w:spacing w:line="440" w:lineRule="exact"/>
        <w:outlineLvl w:val="0"/>
        <w:rPr>
          <w:rFonts w:ascii="黑体" w:hAnsi="黑体" w:eastAsia="黑体"/>
          <w:color w:val="auto"/>
          <w:sz w:val="24"/>
          <w:highlight w:val="none"/>
        </w:rPr>
      </w:pPr>
      <w:r>
        <w:rPr>
          <w:rFonts w:hint="eastAsia" w:ascii="黑体" w:hAnsi="黑体" w:eastAsia="黑体"/>
          <w:color w:val="auto"/>
          <w:sz w:val="24"/>
          <w:highlight w:val="none"/>
        </w:rPr>
        <w:t>三、服务保障能力（10分）</w:t>
      </w:r>
    </w:p>
    <w:p>
      <w:pPr>
        <w:spacing w:line="440" w:lineRule="exact"/>
        <w:rPr>
          <w:rFonts w:ascii="宋体" w:hAnsi="宋体"/>
          <w:color w:val="auto"/>
          <w:sz w:val="24"/>
          <w:highlight w:val="none"/>
        </w:rPr>
      </w:pPr>
      <w:r>
        <w:rPr>
          <w:rFonts w:hint="eastAsia" w:ascii="宋体" w:hAnsi="宋体"/>
          <w:color w:val="auto"/>
          <w:sz w:val="24"/>
          <w:highlight w:val="none"/>
        </w:rPr>
        <w:t xml:space="preserve">   1.所投品牌业绩（4分）:</w:t>
      </w:r>
      <w:r>
        <w:rPr>
          <w:rFonts w:hint="eastAsia"/>
          <w:color w:val="auto"/>
          <w:sz w:val="24"/>
          <w:highlight w:val="none"/>
        </w:rPr>
        <w:t>提供所投品牌近三年 (</w:t>
      </w:r>
      <w:r>
        <w:rPr>
          <w:color w:val="auto"/>
          <w:sz w:val="24"/>
          <w:highlight w:val="none"/>
        </w:rPr>
        <w:t xml:space="preserve">2017-2019) </w:t>
      </w:r>
      <w:r>
        <w:rPr>
          <w:rFonts w:hint="eastAsia"/>
          <w:color w:val="auto"/>
          <w:sz w:val="24"/>
          <w:highlight w:val="none"/>
        </w:rPr>
        <w:t>X</w:t>
      </w:r>
      <w:r>
        <w:rPr>
          <w:color w:val="auto"/>
          <w:sz w:val="24"/>
          <w:highlight w:val="none"/>
        </w:rPr>
        <w:t>86</w:t>
      </w:r>
      <w:r>
        <w:rPr>
          <w:rFonts w:hint="eastAsia"/>
          <w:color w:val="auto"/>
          <w:sz w:val="24"/>
          <w:highlight w:val="none"/>
        </w:rPr>
        <w:t>机架服务器IDC</w:t>
      </w:r>
      <w:r>
        <w:rPr>
          <w:rFonts w:hint="eastAsia"/>
          <w:b/>
          <w:color w:val="auto"/>
          <w:sz w:val="24"/>
          <w:highlight w:val="none"/>
        </w:rPr>
        <w:t>全球出货量</w:t>
      </w:r>
      <w:r>
        <w:rPr>
          <w:rFonts w:hint="eastAsia"/>
          <w:color w:val="auto"/>
          <w:sz w:val="24"/>
          <w:highlight w:val="none"/>
        </w:rPr>
        <w:t>报告，每年排名均在前二加2分，每年排名均在前五加1分，否则不得分。提供所投品牌近三年(</w:t>
      </w:r>
      <w:r>
        <w:rPr>
          <w:color w:val="auto"/>
          <w:sz w:val="24"/>
          <w:highlight w:val="none"/>
        </w:rPr>
        <w:t xml:space="preserve">2017-2019) </w:t>
      </w:r>
      <w:r>
        <w:rPr>
          <w:rFonts w:hint="eastAsia"/>
          <w:color w:val="auto"/>
          <w:sz w:val="24"/>
          <w:highlight w:val="none"/>
        </w:rPr>
        <w:t>X</w:t>
      </w:r>
      <w:r>
        <w:rPr>
          <w:color w:val="auto"/>
          <w:sz w:val="24"/>
          <w:highlight w:val="none"/>
        </w:rPr>
        <w:t>86</w:t>
      </w:r>
      <w:r>
        <w:rPr>
          <w:rFonts w:hint="eastAsia"/>
          <w:color w:val="auto"/>
          <w:sz w:val="24"/>
          <w:highlight w:val="none"/>
        </w:rPr>
        <w:t>机架服务器IDC</w:t>
      </w:r>
      <w:r>
        <w:rPr>
          <w:rFonts w:hint="eastAsia"/>
          <w:b/>
          <w:bCs/>
          <w:color w:val="auto"/>
          <w:sz w:val="24"/>
          <w:highlight w:val="none"/>
        </w:rPr>
        <w:t>全球销售额</w:t>
      </w:r>
      <w:r>
        <w:rPr>
          <w:rFonts w:hint="eastAsia"/>
          <w:color w:val="auto"/>
          <w:sz w:val="24"/>
          <w:highlight w:val="none"/>
        </w:rPr>
        <w:t>报告，每年排名均在前二加2分，每年排名均在前五加1分，否则不得分。</w:t>
      </w:r>
    </w:p>
    <w:p>
      <w:pPr>
        <w:spacing w:line="440" w:lineRule="exact"/>
        <w:rPr>
          <w:rFonts w:ascii="宋体" w:hAnsi="宋体"/>
          <w:color w:val="auto"/>
          <w:sz w:val="24"/>
          <w:highlight w:val="none"/>
        </w:rPr>
      </w:pPr>
      <w:r>
        <w:rPr>
          <w:rFonts w:hint="eastAsia" w:ascii="宋体" w:hAnsi="宋体"/>
          <w:color w:val="auto"/>
          <w:sz w:val="24"/>
          <w:highlight w:val="none"/>
        </w:rPr>
        <w:t xml:space="preserve">    2.代理商所</w:t>
      </w:r>
      <w:r>
        <w:rPr>
          <w:rFonts w:ascii="宋体" w:hAnsi="宋体"/>
          <w:color w:val="auto"/>
          <w:sz w:val="24"/>
          <w:highlight w:val="none"/>
        </w:rPr>
        <w:t>投标货物的制造商</w:t>
      </w:r>
      <w:r>
        <w:rPr>
          <w:rFonts w:hint="eastAsia" w:ascii="宋体" w:hAnsi="宋体"/>
          <w:color w:val="auto"/>
          <w:sz w:val="24"/>
          <w:highlight w:val="none"/>
        </w:rPr>
        <w:t>ISO9001或14001质量认证资质证书（1分）（制造商投标的，参照上述标准得分）；</w:t>
      </w:r>
    </w:p>
    <w:p>
      <w:pPr>
        <w:spacing w:line="440" w:lineRule="exact"/>
        <w:rPr>
          <w:rFonts w:ascii="宋体" w:hAnsi="宋体"/>
          <w:color w:val="auto"/>
          <w:sz w:val="24"/>
          <w:highlight w:val="none"/>
        </w:rPr>
      </w:pPr>
      <w:r>
        <w:rPr>
          <w:rFonts w:hint="eastAsia" w:ascii="宋体" w:hAnsi="宋体"/>
          <w:color w:val="auto"/>
          <w:sz w:val="24"/>
          <w:highlight w:val="none"/>
        </w:rPr>
        <w:t xml:space="preserve">    3.投标企业业绩（3分）：能提供近3年来类似业绩复印件</w:t>
      </w:r>
      <w:r>
        <w:rPr>
          <w:rFonts w:hint="eastAsia" w:ascii="宋体" w:hAnsi="宋体" w:cs="仿宋"/>
          <w:color w:val="auto"/>
          <w:sz w:val="24"/>
          <w:highlight w:val="none"/>
        </w:rPr>
        <w:t>（含中标通知书、合同及验收意见表，三者缺一不可），每提供一份有效的合同（时间以合同签订日期为准）</w:t>
      </w:r>
      <w:r>
        <w:rPr>
          <w:rFonts w:hint="eastAsia" w:ascii="宋体" w:hAnsi="宋体"/>
          <w:color w:val="auto"/>
          <w:sz w:val="24"/>
          <w:highlight w:val="none"/>
        </w:rPr>
        <w:t>得1分，以此类推，最多得3分；反之，不得分。（原件备查）。</w:t>
      </w:r>
    </w:p>
    <w:p>
      <w:pPr>
        <w:spacing w:line="440" w:lineRule="exact"/>
        <w:ind w:firstLine="480"/>
        <w:rPr>
          <w:rFonts w:ascii="宋体" w:hAnsi="宋体"/>
          <w:color w:val="auto"/>
          <w:sz w:val="24"/>
          <w:highlight w:val="none"/>
        </w:rPr>
      </w:pPr>
      <w:r>
        <w:rPr>
          <w:rFonts w:hint="eastAsia" w:ascii="宋体" w:hAnsi="宋体"/>
          <w:color w:val="auto"/>
          <w:sz w:val="24"/>
          <w:highlight w:val="none"/>
        </w:rPr>
        <w:t>4.信誉（2分）：</w:t>
      </w:r>
      <w:r>
        <w:rPr>
          <w:color w:val="auto"/>
          <w:sz w:val="24"/>
          <w:highlight w:val="none"/>
        </w:rPr>
        <w:t>投标人提供信用评级机构出具的信用评级报告为AAA级的 得2分，AA级的得1分，AA级以下不得分。（提供证书复印件</w:t>
      </w:r>
      <w:r>
        <w:rPr>
          <w:rFonts w:hint="eastAsia"/>
          <w:color w:val="auto"/>
          <w:sz w:val="24"/>
          <w:highlight w:val="none"/>
        </w:rPr>
        <w:t>加盖单位公章</w:t>
      </w:r>
      <w:r>
        <w:rPr>
          <w:color w:val="auto"/>
          <w:sz w:val="24"/>
          <w:highlight w:val="none"/>
        </w:rPr>
        <w:t>）</w:t>
      </w:r>
      <w:r>
        <w:rPr>
          <w:rFonts w:hint="eastAsia" w:ascii="宋体" w:hAnsi="宋体"/>
          <w:color w:val="auto"/>
          <w:sz w:val="24"/>
          <w:highlight w:val="none"/>
        </w:rPr>
        <w:t>。</w:t>
      </w:r>
    </w:p>
    <w:p>
      <w:pPr>
        <w:spacing w:line="440" w:lineRule="exact"/>
        <w:rPr>
          <w:rFonts w:ascii="黑体" w:hAnsi="黑体" w:eastAsia="黑体"/>
          <w:color w:val="auto"/>
          <w:sz w:val="24"/>
          <w:highlight w:val="none"/>
        </w:rPr>
      </w:pPr>
      <w:r>
        <w:rPr>
          <w:rFonts w:hint="eastAsia" w:ascii="黑体" w:hAnsi="黑体" w:eastAsia="黑体"/>
          <w:color w:val="auto"/>
          <w:sz w:val="24"/>
          <w:highlight w:val="none"/>
        </w:rPr>
        <w:t>五、投标文件编制（2分）</w:t>
      </w:r>
    </w:p>
    <w:p>
      <w:pPr>
        <w:kinsoku w:val="0"/>
        <w:overflowPunct w:val="0"/>
        <w:ind w:right="155"/>
        <w:jc w:val="left"/>
        <w:rPr>
          <w:color w:val="auto"/>
          <w:sz w:val="24"/>
          <w:highlight w:val="none"/>
        </w:rPr>
      </w:pPr>
      <w:r>
        <w:rPr>
          <w:rFonts w:hint="eastAsia"/>
          <w:color w:val="auto"/>
          <w:sz w:val="24"/>
          <w:highlight w:val="none"/>
        </w:rPr>
        <w:t>文件内容完备，格式规范，封装整齐，满足招标文件要求得2分。未经胶封（如文件夹或订书机等）此项不得分。</w:t>
      </w:r>
    </w:p>
    <w:p>
      <w:pPr>
        <w:pStyle w:val="8"/>
        <w:ind w:left="1470" w:right="1470"/>
        <w:rPr>
          <w:color w:val="auto"/>
          <w:highlight w:val="none"/>
        </w:rPr>
      </w:pPr>
    </w:p>
    <w:p>
      <w:pPr>
        <w:pStyle w:val="8"/>
        <w:ind w:left="1470" w:right="1470"/>
        <w:rPr>
          <w:color w:val="auto"/>
          <w:highlight w:val="none"/>
        </w:rPr>
      </w:pPr>
    </w:p>
    <w:p>
      <w:pPr>
        <w:spacing w:line="360" w:lineRule="auto"/>
        <w:rPr>
          <w:b/>
          <w:color w:val="auto"/>
          <w:sz w:val="28"/>
          <w:szCs w:val="28"/>
          <w:highlight w:val="none"/>
        </w:rPr>
      </w:pPr>
    </w:p>
    <w:p>
      <w:pPr>
        <w:pStyle w:val="8"/>
        <w:ind w:left="1470" w:right="1470"/>
        <w:rPr>
          <w:rFonts w:hint="eastAsia"/>
          <w:color w:val="auto"/>
          <w:highlight w:val="none"/>
        </w:rPr>
      </w:pPr>
    </w:p>
    <w:p>
      <w:pPr>
        <w:spacing w:line="360" w:lineRule="auto"/>
        <w:rPr>
          <w:b/>
          <w:color w:val="auto"/>
          <w:sz w:val="28"/>
          <w:szCs w:val="28"/>
          <w:highlight w:val="none"/>
        </w:rPr>
      </w:pPr>
      <w:r>
        <w:rPr>
          <w:rFonts w:hint="eastAsia"/>
          <w:b/>
          <w:color w:val="auto"/>
          <w:sz w:val="28"/>
          <w:szCs w:val="28"/>
          <w:highlight w:val="none"/>
        </w:rPr>
        <w:t>附件</w:t>
      </w:r>
      <w:r>
        <w:rPr>
          <w:b/>
          <w:color w:val="auto"/>
          <w:sz w:val="28"/>
          <w:szCs w:val="28"/>
          <w:highlight w:val="none"/>
        </w:rPr>
        <w:t>6</w:t>
      </w:r>
      <w:r>
        <w:rPr>
          <w:rFonts w:hint="eastAsia"/>
          <w:b/>
          <w:color w:val="auto"/>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color w:val="auto"/>
          <w:sz w:val="34"/>
          <w:highlight w:val="none"/>
        </w:rPr>
      </w:pPr>
      <w:r>
        <w:rPr>
          <w:rFonts w:hint="eastAsia" w:ascii="黑体" w:hAnsi="黑体" w:eastAsia="黑体"/>
          <w:b/>
          <w:color w:val="auto"/>
          <w:sz w:val="34"/>
          <w:highlight w:val="none"/>
        </w:rPr>
        <w:t>采购合同</w:t>
      </w:r>
    </w:p>
    <w:p>
      <w:pPr>
        <w:pStyle w:val="10"/>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项目名称：</w:t>
      </w:r>
    </w:p>
    <w:p>
      <w:pPr>
        <w:pStyle w:val="10"/>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项目编号：</w:t>
      </w:r>
    </w:p>
    <w:p>
      <w:pPr>
        <w:pStyle w:val="10"/>
        <w:adjustRightInd w:val="0"/>
        <w:snapToGrid w:val="0"/>
        <w:spacing w:before="120" w:after="120" w:line="360" w:lineRule="auto"/>
        <w:ind w:firstLine="658"/>
        <w:rPr>
          <w:rFonts w:hAnsi="宋体"/>
          <w:color w:val="auto"/>
          <w:sz w:val="24"/>
          <w:szCs w:val="24"/>
          <w:highlight w:val="none"/>
          <w:u w:val="single"/>
        </w:rPr>
      </w:pPr>
      <w:r>
        <w:rPr>
          <w:rFonts w:hint="eastAsia" w:hAnsi="宋体"/>
          <w:color w:val="auto"/>
          <w:sz w:val="24"/>
          <w:szCs w:val="24"/>
          <w:highlight w:val="none"/>
        </w:rPr>
        <w:t>甲方：（买方）</w:t>
      </w:r>
      <w:r>
        <w:rPr>
          <w:rFonts w:hAnsi="宋体"/>
          <w:color w:val="auto"/>
          <w:sz w:val="24"/>
          <w:szCs w:val="24"/>
          <w:highlight w:val="none"/>
        </w:rPr>
        <w:t>__________________</w:t>
      </w:r>
    </w:p>
    <w:p>
      <w:pPr>
        <w:pStyle w:val="10"/>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乙方：（卖方）</w:t>
      </w:r>
      <w:r>
        <w:rPr>
          <w:rFonts w:hAnsi="宋体"/>
          <w:color w:val="auto"/>
          <w:sz w:val="24"/>
          <w:szCs w:val="24"/>
          <w:highlight w:val="none"/>
        </w:rPr>
        <w:t>__________________</w:t>
      </w:r>
    </w:p>
    <w:p>
      <w:pPr>
        <w:pStyle w:val="10"/>
        <w:adjustRightInd w:val="0"/>
        <w:snapToGrid w:val="0"/>
        <w:spacing w:before="120" w:after="120" w:line="360" w:lineRule="auto"/>
        <w:ind w:firstLine="658"/>
        <w:rPr>
          <w:rFonts w:hAnsi="宋体"/>
          <w:b/>
          <w:color w:val="auto"/>
          <w:sz w:val="24"/>
          <w:szCs w:val="24"/>
          <w:highlight w:val="none"/>
        </w:rPr>
      </w:pPr>
      <w:r>
        <w:rPr>
          <w:rFonts w:hint="eastAsia" w:hAnsi="宋体"/>
          <w:color w:val="auto"/>
          <w:sz w:val="24"/>
          <w:szCs w:val="24"/>
          <w:highlight w:val="none"/>
        </w:rPr>
        <w:t>甲、乙双方根据甲方项目采购谈判的结果，签署本合同。</w:t>
      </w:r>
    </w:p>
    <w:p>
      <w:pPr>
        <w:pStyle w:val="10"/>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一、货物内容</w:t>
      </w:r>
    </w:p>
    <w:tbl>
      <w:tblPr>
        <w:tblStyle w:val="17"/>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分包号</w:t>
            </w:r>
          </w:p>
        </w:tc>
        <w:tc>
          <w:tcPr>
            <w:tcW w:w="116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货物</w:t>
            </w:r>
          </w:p>
          <w:p>
            <w:pPr>
              <w:spacing w:line="360" w:lineRule="auto"/>
              <w:jc w:val="center"/>
              <w:rPr>
                <w:rFonts w:ascii="宋体"/>
                <w:b/>
                <w:color w:val="auto"/>
                <w:sz w:val="24"/>
                <w:highlight w:val="none"/>
              </w:rPr>
            </w:pPr>
            <w:r>
              <w:rPr>
                <w:rFonts w:hint="eastAsia" w:ascii="宋体" w:hAnsi="宋体"/>
                <w:b/>
                <w:color w:val="auto"/>
                <w:sz w:val="24"/>
                <w:highlight w:val="none"/>
              </w:rPr>
              <w:t>名称</w:t>
            </w:r>
          </w:p>
        </w:tc>
        <w:tc>
          <w:tcPr>
            <w:tcW w:w="111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型号</w:t>
            </w:r>
            <w:r>
              <w:rPr>
                <w:rFonts w:ascii="宋体" w:hAnsi="宋体"/>
                <w:b/>
                <w:color w:val="auto"/>
                <w:sz w:val="24"/>
                <w:highlight w:val="none"/>
              </w:rPr>
              <w:t>/</w:t>
            </w:r>
          </w:p>
          <w:p>
            <w:pPr>
              <w:spacing w:line="360" w:lineRule="auto"/>
              <w:jc w:val="center"/>
              <w:rPr>
                <w:rFonts w:ascii="宋体"/>
                <w:b/>
                <w:color w:val="auto"/>
                <w:sz w:val="24"/>
                <w:highlight w:val="none"/>
              </w:rPr>
            </w:pPr>
            <w:r>
              <w:rPr>
                <w:rFonts w:hint="eastAsia" w:ascii="宋体" w:hAnsi="宋体"/>
                <w:b/>
                <w:color w:val="auto"/>
                <w:sz w:val="24"/>
                <w:highlight w:val="none"/>
              </w:rPr>
              <w:t>规格</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品牌</w:t>
            </w:r>
            <w:r>
              <w:rPr>
                <w:rFonts w:ascii="宋体" w:hAnsi="宋体"/>
                <w:b/>
                <w:color w:val="auto"/>
                <w:sz w:val="24"/>
                <w:highlight w:val="none"/>
              </w:rPr>
              <w:t>/</w:t>
            </w:r>
            <w:r>
              <w:rPr>
                <w:rFonts w:hint="eastAsia" w:ascii="宋体" w:hAnsi="宋体"/>
                <w:b/>
                <w:color w:val="auto"/>
                <w:sz w:val="24"/>
                <w:highlight w:val="none"/>
              </w:rPr>
              <w:t>生产厂家</w:t>
            </w:r>
            <w:r>
              <w:rPr>
                <w:rFonts w:ascii="宋体" w:hAnsi="宋体"/>
                <w:b/>
                <w:color w:val="auto"/>
                <w:sz w:val="24"/>
                <w:highlight w:val="none"/>
              </w:rPr>
              <w:t>/</w:t>
            </w:r>
            <w:r>
              <w:rPr>
                <w:rFonts w:hint="eastAsia" w:ascii="宋体" w:hAnsi="宋体"/>
                <w:b/>
                <w:color w:val="auto"/>
                <w:sz w:val="24"/>
                <w:highlight w:val="none"/>
              </w:rPr>
              <w:t>国别</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计量</w:t>
            </w:r>
          </w:p>
          <w:p>
            <w:pPr>
              <w:spacing w:line="360" w:lineRule="auto"/>
              <w:jc w:val="center"/>
              <w:rPr>
                <w:rFonts w:ascii="宋体"/>
                <w:b/>
                <w:color w:val="auto"/>
                <w:sz w:val="24"/>
                <w:highlight w:val="none"/>
              </w:rPr>
            </w:pPr>
            <w:r>
              <w:rPr>
                <w:rFonts w:hint="eastAsia" w:ascii="宋体" w:hAnsi="宋体"/>
                <w:b/>
                <w:color w:val="auto"/>
                <w:sz w:val="24"/>
                <w:highlight w:val="none"/>
              </w:rPr>
              <w:t>单位</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数量</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116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每项</w:t>
            </w:r>
          </w:p>
          <w:p>
            <w:pPr>
              <w:spacing w:line="360" w:lineRule="auto"/>
              <w:jc w:val="center"/>
              <w:rPr>
                <w:rFonts w:ascii="宋体"/>
                <w:b/>
                <w:color w:val="auto"/>
                <w:sz w:val="24"/>
                <w:highlight w:val="none"/>
              </w:rPr>
            </w:pPr>
            <w:r>
              <w:rPr>
                <w:rFonts w:hint="eastAsia" w:ascii="宋体" w:hAnsi="宋体"/>
                <w:b/>
                <w:color w:val="auto"/>
                <w:sz w:val="24"/>
                <w:highlight w:val="none"/>
              </w:rPr>
              <w:t>总价</w:t>
            </w:r>
          </w:p>
        </w:tc>
        <w:tc>
          <w:tcPr>
            <w:tcW w:w="1171"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color w:val="auto"/>
                <w:sz w:val="24"/>
                <w:highlight w:val="none"/>
              </w:rPr>
            </w:pPr>
            <w:r>
              <w:rPr>
                <w:rFonts w:hint="eastAsia" w:ascii="宋体" w:hAnsi="宋体"/>
                <w:color w:val="auto"/>
                <w:sz w:val="24"/>
                <w:highlight w:val="none"/>
              </w:rPr>
              <w:t>合计总价</w:t>
            </w:r>
          </w:p>
        </w:tc>
        <w:tc>
          <w:tcPr>
            <w:tcW w:w="8088" w:type="dxa"/>
            <w:gridSpan w:val="7"/>
            <w:vAlign w:val="center"/>
          </w:tcPr>
          <w:p>
            <w:pPr>
              <w:spacing w:line="360" w:lineRule="auto"/>
              <w:rPr>
                <w:rFonts w:ascii="宋体"/>
                <w:color w:val="auto"/>
                <w:sz w:val="24"/>
                <w:highlight w:val="none"/>
                <w:u w:val="single"/>
              </w:rPr>
            </w:pPr>
            <w:r>
              <w:rPr>
                <w:rFonts w:hint="eastAsia" w:ascii="宋体" w:hAnsi="宋体"/>
                <w:color w:val="auto"/>
                <w:sz w:val="24"/>
                <w:highlight w:val="none"/>
              </w:rPr>
              <w:t>大写：      小写：      元</w:t>
            </w:r>
          </w:p>
        </w:tc>
      </w:tr>
    </w:tbl>
    <w:p>
      <w:pPr>
        <w:pStyle w:val="10"/>
        <w:adjustRightInd w:val="0"/>
        <w:snapToGrid w:val="0"/>
        <w:spacing w:before="120" w:after="120" w:line="360" w:lineRule="auto"/>
        <w:ind w:firstLine="660"/>
        <w:outlineLvl w:val="0"/>
        <w:rPr>
          <w:rFonts w:hAnsi="宋体"/>
          <w:b/>
          <w:color w:val="auto"/>
          <w:sz w:val="24"/>
          <w:szCs w:val="24"/>
          <w:highlight w:val="none"/>
        </w:rPr>
      </w:pPr>
      <w:r>
        <w:rPr>
          <w:rFonts w:hint="eastAsia" w:hAnsi="宋体"/>
          <w:b/>
          <w:color w:val="auto"/>
          <w:sz w:val="24"/>
          <w:szCs w:val="24"/>
          <w:highlight w:val="none"/>
        </w:rPr>
        <w:t>二、合同金额</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2.1 </w:t>
      </w:r>
      <w:r>
        <w:rPr>
          <w:rFonts w:hint="eastAsia" w:hAnsi="宋体"/>
          <w:color w:val="auto"/>
          <w:sz w:val="24"/>
          <w:szCs w:val="24"/>
          <w:highlight w:val="none"/>
        </w:rPr>
        <w:t>本合同金额为（大写）：</w:t>
      </w:r>
      <w:r>
        <w:rPr>
          <w:rFonts w:hAnsi="宋体"/>
          <w:color w:val="auto"/>
          <w:sz w:val="24"/>
          <w:szCs w:val="24"/>
          <w:highlight w:val="none"/>
        </w:rPr>
        <w:t>________________________</w:t>
      </w:r>
      <w:r>
        <w:rPr>
          <w:rFonts w:hint="eastAsia" w:hAnsi="宋体"/>
          <w:color w:val="auto"/>
          <w:sz w:val="24"/>
          <w:szCs w:val="24"/>
          <w:highlight w:val="none"/>
        </w:rPr>
        <w:t>元人民币。</w:t>
      </w:r>
    </w:p>
    <w:p>
      <w:pPr>
        <w:pStyle w:val="10"/>
        <w:adjustRightInd w:val="0"/>
        <w:snapToGrid w:val="0"/>
        <w:spacing w:before="120" w:after="120" w:line="360" w:lineRule="auto"/>
        <w:ind w:firstLine="660"/>
        <w:outlineLvl w:val="0"/>
        <w:rPr>
          <w:rFonts w:hAnsi="宋体"/>
          <w:b/>
          <w:color w:val="auto"/>
          <w:sz w:val="24"/>
          <w:szCs w:val="24"/>
          <w:highlight w:val="none"/>
        </w:rPr>
      </w:pPr>
      <w:r>
        <w:rPr>
          <w:rFonts w:hint="eastAsia" w:hAnsi="宋体"/>
          <w:b/>
          <w:color w:val="auto"/>
          <w:sz w:val="24"/>
          <w:szCs w:val="24"/>
          <w:highlight w:val="none"/>
        </w:rPr>
        <w:t>三、技术资料</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3.1</w:t>
      </w:r>
      <w:r>
        <w:rPr>
          <w:rFonts w:hint="eastAsia" w:hAnsi="宋体"/>
          <w:color w:val="auto"/>
          <w:sz w:val="24"/>
          <w:szCs w:val="24"/>
          <w:highlight w:val="none"/>
        </w:rPr>
        <w:t>乙方应按采购文件规定的时间向甲方提供使用货物的有关技术资料。</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3.2 </w:t>
      </w:r>
      <w:r>
        <w:rPr>
          <w:rFonts w:hint="eastAsia" w:hAnsi="宋体"/>
          <w:color w:val="auto"/>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adjustRightInd w:val="0"/>
        <w:snapToGrid w:val="0"/>
        <w:spacing w:before="120" w:after="120" w:line="360" w:lineRule="auto"/>
        <w:ind w:left="50" w:firstLine="660"/>
        <w:outlineLvl w:val="0"/>
        <w:rPr>
          <w:rFonts w:hAnsi="宋体"/>
          <w:b/>
          <w:color w:val="auto"/>
          <w:sz w:val="24"/>
          <w:szCs w:val="24"/>
          <w:highlight w:val="none"/>
        </w:rPr>
      </w:pPr>
      <w:r>
        <w:rPr>
          <w:rFonts w:hint="eastAsia" w:hAnsi="宋体"/>
          <w:b/>
          <w:color w:val="auto"/>
          <w:sz w:val="24"/>
          <w:szCs w:val="24"/>
          <w:highlight w:val="none"/>
        </w:rPr>
        <w:t>四、知识产权</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4.1</w:t>
      </w:r>
      <w:r>
        <w:rPr>
          <w:rFonts w:hint="eastAsia" w:hAnsi="宋体"/>
          <w:color w:val="auto"/>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10"/>
        <w:adjustRightInd w:val="0"/>
        <w:snapToGrid w:val="0"/>
        <w:spacing w:before="120" w:after="120" w:line="360" w:lineRule="auto"/>
        <w:ind w:firstLine="660"/>
        <w:outlineLvl w:val="0"/>
        <w:rPr>
          <w:rFonts w:hAnsi="宋体"/>
          <w:color w:val="auto"/>
          <w:sz w:val="24"/>
          <w:szCs w:val="24"/>
          <w:highlight w:val="none"/>
          <w:u w:val="single"/>
        </w:rPr>
      </w:pPr>
      <w:r>
        <w:rPr>
          <w:rFonts w:hint="eastAsia" w:hAnsi="宋体"/>
          <w:b/>
          <w:color w:val="auto"/>
          <w:sz w:val="24"/>
          <w:szCs w:val="24"/>
          <w:highlight w:val="none"/>
        </w:rPr>
        <w:t>五、产权担保</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5.1 </w:t>
      </w:r>
      <w:r>
        <w:rPr>
          <w:rFonts w:hint="eastAsia" w:hAnsi="宋体"/>
          <w:color w:val="auto"/>
          <w:sz w:val="24"/>
          <w:szCs w:val="24"/>
          <w:highlight w:val="none"/>
        </w:rPr>
        <w:t>乙方保证所交付的货物的所有权完全属于乙方且无任何抵押、查封等产权瑕疵。</w:t>
      </w:r>
    </w:p>
    <w:p>
      <w:pPr>
        <w:pStyle w:val="10"/>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六、履约保证金</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6.1 </w:t>
      </w:r>
      <w:r>
        <w:rPr>
          <w:rFonts w:hint="eastAsia" w:hAnsi="宋体"/>
          <w:color w:val="auto"/>
          <w:sz w:val="24"/>
          <w:szCs w:val="24"/>
          <w:highlight w:val="none"/>
        </w:rPr>
        <w:t>乙方交纳人民币</w:t>
      </w:r>
      <w:r>
        <w:rPr>
          <w:rFonts w:hAnsi="宋体"/>
          <w:color w:val="auto"/>
          <w:sz w:val="24"/>
          <w:szCs w:val="24"/>
          <w:highlight w:val="none"/>
        </w:rPr>
        <w:t>_____</w:t>
      </w:r>
      <w:r>
        <w:rPr>
          <w:rFonts w:hint="eastAsia" w:hAnsi="宋体"/>
          <w:color w:val="auto"/>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color w:val="auto"/>
          <w:sz w:val="24"/>
          <w:highlight w:val="none"/>
        </w:rPr>
      </w:pPr>
      <w:r>
        <w:rPr>
          <w:rFonts w:hint="eastAsia" w:ascii="宋体" w:hAnsi="宋体" w:cs="Courier New"/>
          <w:b/>
          <w:color w:val="auto"/>
          <w:sz w:val="24"/>
          <w:highlight w:val="none"/>
        </w:rPr>
        <w:t>七</w:t>
      </w:r>
      <w:r>
        <w:rPr>
          <w:rFonts w:ascii="宋体" w:cs="Courier New"/>
          <w:b/>
          <w:color w:val="auto"/>
          <w:sz w:val="24"/>
          <w:highlight w:val="none"/>
        </w:rPr>
        <w:t>.</w:t>
      </w:r>
      <w:r>
        <w:rPr>
          <w:rFonts w:hint="eastAsia" w:ascii="宋体" w:hAnsi="宋体" w:cs="Courier New"/>
          <w:b/>
          <w:color w:val="auto"/>
          <w:sz w:val="24"/>
          <w:highlight w:val="none"/>
        </w:rPr>
        <w:t>转包或分包</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7.1</w:t>
      </w:r>
      <w:r>
        <w:rPr>
          <w:rFonts w:hint="eastAsia" w:hAnsi="宋体"/>
          <w:color w:val="auto"/>
          <w:sz w:val="24"/>
          <w:szCs w:val="24"/>
          <w:highlight w:val="none"/>
        </w:rPr>
        <w:t>本合同范围的货物，应由乙方直接供应，不得转让他人供应；</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7.2</w:t>
      </w:r>
      <w:r>
        <w:rPr>
          <w:rFonts w:hint="eastAsia" w:hAnsi="宋体"/>
          <w:color w:val="auto"/>
          <w:sz w:val="24"/>
          <w:szCs w:val="24"/>
          <w:highlight w:val="none"/>
        </w:rPr>
        <w:t>除非得到甲方的书面同意，乙方不得部分分包给他人供应。</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7.3</w:t>
      </w:r>
      <w:r>
        <w:rPr>
          <w:rFonts w:hint="eastAsia" w:hAnsi="宋体"/>
          <w:color w:val="auto"/>
          <w:sz w:val="24"/>
          <w:szCs w:val="24"/>
          <w:highlight w:val="none"/>
        </w:rPr>
        <w:t>如有转让和未经甲方同意的分包行为，甲方有权给予终止合同。</w:t>
      </w:r>
    </w:p>
    <w:p>
      <w:pPr>
        <w:pStyle w:val="10"/>
        <w:adjustRightInd w:val="0"/>
        <w:snapToGrid w:val="0"/>
        <w:spacing w:before="120" w:after="120" w:line="360" w:lineRule="auto"/>
        <w:ind w:firstLine="660"/>
        <w:outlineLvl w:val="0"/>
        <w:rPr>
          <w:rFonts w:hAnsi="宋体"/>
          <w:color w:val="auto"/>
          <w:sz w:val="24"/>
          <w:szCs w:val="24"/>
          <w:highlight w:val="none"/>
        </w:rPr>
      </w:pPr>
      <w:r>
        <w:rPr>
          <w:rFonts w:hint="eastAsia" w:hAnsi="宋体"/>
          <w:b/>
          <w:color w:val="auto"/>
          <w:sz w:val="24"/>
          <w:szCs w:val="24"/>
          <w:highlight w:val="none"/>
        </w:rPr>
        <w:t>八、质保期</w:t>
      </w:r>
    </w:p>
    <w:p>
      <w:pPr>
        <w:pStyle w:val="10"/>
        <w:adjustRightInd w:val="0"/>
        <w:snapToGrid w:val="0"/>
        <w:spacing w:before="120" w:after="120" w:line="360" w:lineRule="auto"/>
        <w:ind w:left="48" w:firstLine="658"/>
        <w:outlineLvl w:val="0"/>
        <w:rPr>
          <w:rFonts w:hAnsi="宋体"/>
          <w:color w:val="auto"/>
          <w:sz w:val="24"/>
          <w:szCs w:val="24"/>
          <w:highlight w:val="none"/>
        </w:rPr>
      </w:pPr>
      <w:r>
        <w:rPr>
          <w:rFonts w:hAnsi="宋体"/>
          <w:color w:val="auto"/>
          <w:sz w:val="24"/>
          <w:szCs w:val="24"/>
          <w:highlight w:val="none"/>
        </w:rPr>
        <w:t xml:space="preserve">8.1 </w:t>
      </w:r>
      <w:r>
        <w:rPr>
          <w:rFonts w:hint="eastAsia" w:hAnsi="宋体"/>
          <w:color w:val="auto"/>
          <w:sz w:val="24"/>
          <w:szCs w:val="24"/>
          <w:highlight w:val="none"/>
        </w:rPr>
        <w:t>质保期3年。（自交货最终验收合格之日起计）</w:t>
      </w:r>
    </w:p>
    <w:p>
      <w:pPr>
        <w:pStyle w:val="10"/>
        <w:adjustRightInd w:val="0"/>
        <w:snapToGrid w:val="0"/>
        <w:spacing w:before="120" w:after="120" w:line="360" w:lineRule="auto"/>
        <w:ind w:firstLine="660"/>
        <w:outlineLvl w:val="0"/>
        <w:rPr>
          <w:rFonts w:hAnsi="宋体"/>
          <w:b/>
          <w:color w:val="auto"/>
          <w:sz w:val="24"/>
          <w:szCs w:val="24"/>
          <w:highlight w:val="none"/>
        </w:rPr>
      </w:pPr>
      <w:r>
        <w:rPr>
          <w:rFonts w:hint="eastAsia" w:hAnsi="宋体"/>
          <w:b/>
          <w:color w:val="auto"/>
          <w:sz w:val="24"/>
          <w:szCs w:val="24"/>
          <w:highlight w:val="none"/>
        </w:rPr>
        <w:t>九、交货期、交货方式及交货地点</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9.1 </w:t>
      </w:r>
      <w:r>
        <w:rPr>
          <w:rFonts w:hint="eastAsia" w:hAnsi="宋体"/>
          <w:color w:val="auto"/>
          <w:sz w:val="24"/>
          <w:szCs w:val="24"/>
          <w:highlight w:val="none"/>
        </w:rPr>
        <w:t>交货期：</w:t>
      </w:r>
      <w:r>
        <w:rPr>
          <w:rFonts w:hAnsi="宋体"/>
          <w:color w:val="auto"/>
          <w:sz w:val="24"/>
          <w:szCs w:val="24"/>
          <w:highlight w:val="none"/>
        </w:rPr>
        <w:t>_________</w:t>
      </w:r>
    </w:p>
    <w:p>
      <w:pPr>
        <w:pStyle w:val="10"/>
        <w:adjustRightInd w:val="0"/>
        <w:snapToGrid w:val="0"/>
        <w:spacing w:before="120" w:after="120" w:line="360" w:lineRule="auto"/>
        <w:ind w:left="48" w:firstLine="658"/>
        <w:outlineLvl w:val="0"/>
        <w:rPr>
          <w:rFonts w:hAnsi="宋体"/>
          <w:color w:val="auto"/>
          <w:sz w:val="24"/>
          <w:szCs w:val="24"/>
          <w:highlight w:val="none"/>
        </w:rPr>
      </w:pPr>
      <w:r>
        <w:rPr>
          <w:rFonts w:hAnsi="宋体"/>
          <w:color w:val="auto"/>
          <w:sz w:val="24"/>
          <w:szCs w:val="24"/>
          <w:highlight w:val="none"/>
        </w:rPr>
        <w:t xml:space="preserve">9.2 </w:t>
      </w:r>
      <w:r>
        <w:rPr>
          <w:rFonts w:hint="eastAsia" w:hAnsi="宋体"/>
          <w:color w:val="auto"/>
          <w:sz w:val="24"/>
          <w:szCs w:val="24"/>
          <w:highlight w:val="none"/>
        </w:rPr>
        <w:t>交货方式：</w:t>
      </w:r>
      <w:r>
        <w:rPr>
          <w:rFonts w:hAnsi="宋体"/>
          <w:color w:val="auto"/>
          <w:sz w:val="24"/>
          <w:szCs w:val="24"/>
          <w:highlight w:val="none"/>
        </w:rPr>
        <w:t>_________</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9.3 </w:t>
      </w:r>
      <w:r>
        <w:rPr>
          <w:rFonts w:hint="eastAsia" w:hAnsi="宋体"/>
          <w:color w:val="auto"/>
          <w:sz w:val="24"/>
          <w:szCs w:val="24"/>
          <w:highlight w:val="none"/>
        </w:rPr>
        <w:t>交货地点：用户单位地点或用户指定地点。</w:t>
      </w:r>
    </w:p>
    <w:p>
      <w:pPr>
        <w:pStyle w:val="10"/>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十、货款支付</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10.1</w:t>
      </w:r>
      <w:r>
        <w:rPr>
          <w:rFonts w:hint="eastAsia" w:hAnsi="宋体"/>
          <w:color w:val="auto"/>
          <w:sz w:val="24"/>
          <w:szCs w:val="24"/>
          <w:highlight w:val="none"/>
        </w:rPr>
        <w:t>付款方式：针对国内供应货物，签订合同后，20日内预付合同金额的30%，全部货物交货并验收合格后，凭验收凭证和货物验收合格等文件20内支付至合同金额的100%，质量保证金</w:t>
      </w:r>
      <w:r>
        <w:rPr>
          <w:rFonts w:hAnsi="宋体"/>
          <w:color w:val="auto"/>
          <w:sz w:val="24"/>
          <w:szCs w:val="24"/>
          <w:highlight w:val="none"/>
        </w:rPr>
        <w:t>经有关单位确认无质量问题后，一次性</w:t>
      </w:r>
      <w:r>
        <w:rPr>
          <w:rFonts w:hint="eastAsia" w:hAnsi="宋体"/>
          <w:color w:val="auto"/>
          <w:sz w:val="24"/>
          <w:szCs w:val="24"/>
          <w:highlight w:val="none"/>
        </w:rPr>
        <w:t>无息付清</w:t>
      </w:r>
      <w:r>
        <w:rPr>
          <w:rFonts w:hAnsi="宋体"/>
          <w:color w:val="auto"/>
          <w:sz w:val="24"/>
          <w:szCs w:val="24"/>
          <w:highlight w:val="none"/>
        </w:rPr>
        <w:t>。具体内容以最终签署的合同约定为准。</w:t>
      </w:r>
    </w:p>
    <w:p>
      <w:pPr>
        <w:pStyle w:val="10"/>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针对国外供应货物（进口货物），由外贸公司开具全额发票，外贸合同中采用100%信用证，90%见单即付，10%凭最终用户方签字和盖章的验收报告支付。</w:t>
      </w:r>
    </w:p>
    <w:p>
      <w:pPr>
        <w:ind w:firstLine="482" w:firstLineChars="200"/>
        <w:rPr>
          <w:rFonts w:ascii="宋体"/>
          <w:b/>
          <w:color w:val="auto"/>
          <w:sz w:val="24"/>
          <w:highlight w:val="none"/>
        </w:rPr>
      </w:pPr>
      <w:r>
        <w:rPr>
          <w:rFonts w:hint="eastAsia" w:ascii="宋体" w:hAnsi="宋体"/>
          <w:b/>
          <w:color w:val="auto"/>
          <w:sz w:val="24"/>
          <w:highlight w:val="none"/>
        </w:rPr>
        <w:t>十一、税</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11.1</w:t>
      </w:r>
      <w:r>
        <w:rPr>
          <w:rFonts w:hint="eastAsia" w:hAnsi="宋体"/>
          <w:color w:val="auto"/>
          <w:sz w:val="24"/>
          <w:szCs w:val="24"/>
          <w:highlight w:val="none"/>
        </w:rPr>
        <w:t>发票要求：针对国内供货的货物，乙方开具合同全额“增值税专用发票”。</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11.2</w:t>
      </w:r>
      <w:r>
        <w:rPr>
          <w:rFonts w:hint="eastAsia" w:hAnsi="宋体"/>
          <w:color w:val="auto"/>
          <w:sz w:val="24"/>
          <w:szCs w:val="24"/>
          <w:highlight w:val="none"/>
        </w:rPr>
        <w:t>本合同执行中相关的一切税费均由乙方负担。</w:t>
      </w:r>
    </w:p>
    <w:p>
      <w:pPr>
        <w:pStyle w:val="10"/>
        <w:adjustRightInd w:val="0"/>
        <w:snapToGrid w:val="0"/>
        <w:spacing w:before="120" w:after="120" w:line="360" w:lineRule="auto"/>
        <w:ind w:left="1" w:firstLine="660"/>
        <w:rPr>
          <w:rFonts w:hAnsi="宋体"/>
          <w:color w:val="auto"/>
          <w:sz w:val="24"/>
          <w:szCs w:val="24"/>
          <w:highlight w:val="none"/>
        </w:rPr>
      </w:pPr>
      <w:r>
        <w:rPr>
          <w:rFonts w:hint="eastAsia" w:hAnsi="宋体"/>
          <w:b/>
          <w:color w:val="auto"/>
          <w:sz w:val="24"/>
          <w:szCs w:val="24"/>
          <w:highlight w:val="none"/>
        </w:rPr>
        <w:t>十二、质量保证及售后服务</w:t>
      </w:r>
    </w:p>
    <w:p>
      <w:pPr>
        <w:pStyle w:val="10"/>
        <w:adjustRightInd w:val="0"/>
        <w:snapToGrid w:val="0"/>
        <w:spacing w:before="120" w:after="120" w:line="360" w:lineRule="auto"/>
        <w:ind w:left="48" w:firstLine="658"/>
        <w:outlineLvl w:val="0"/>
        <w:rPr>
          <w:rFonts w:hAnsi="宋体"/>
          <w:color w:val="auto"/>
          <w:sz w:val="24"/>
          <w:szCs w:val="24"/>
          <w:highlight w:val="none"/>
        </w:rPr>
      </w:pPr>
      <w:r>
        <w:rPr>
          <w:rFonts w:hAnsi="宋体"/>
          <w:color w:val="auto"/>
          <w:sz w:val="24"/>
          <w:szCs w:val="24"/>
          <w:highlight w:val="none"/>
        </w:rPr>
        <w:t xml:space="preserve">12.1 </w:t>
      </w:r>
      <w:r>
        <w:rPr>
          <w:rFonts w:hint="eastAsia" w:hAnsi="宋体"/>
          <w:color w:val="auto"/>
          <w:sz w:val="24"/>
          <w:szCs w:val="24"/>
          <w:highlight w:val="none"/>
        </w:rPr>
        <w:t>乙方应按采购文件规定的货物性能、技术要求、质量标准向甲方提供未经使用的全新产品。</w:t>
      </w:r>
    </w:p>
    <w:p>
      <w:pPr>
        <w:pStyle w:val="10"/>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12.2 </w:t>
      </w:r>
      <w:r>
        <w:rPr>
          <w:rFonts w:hint="eastAsia" w:hAnsi="宋体"/>
          <w:color w:val="auto"/>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）更换：由乙方承担所发生的全部费用。</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）贬值处理：由甲乙双方合议定价。</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）退货处理：乙方应退还甲方支付的合同款，同时应承担该货物的直接费用（运输、保险、检验、货款利息及银行手续费等）。</w:t>
      </w:r>
    </w:p>
    <w:p>
      <w:pPr>
        <w:pStyle w:val="10"/>
        <w:adjustRightInd w:val="0"/>
        <w:snapToGrid w:val="0"/>
        <w:spacing w:before="120" w:after="120" w:line="360" w:lineRule="auto"/>
        <w:ind w:left="1" w:firstLine="566"/>
        <w:outlineLvl w:val="0"/>
        <w:rPr>
          <w:rFonts w:hAnsi="宋体"/>
          <w:color w:val="auto"/>
          <w:sz w:val="24"/>
          <w:szCs w:val="24"/>
          <w:highlight w:val="none"/>
        </w:rPr>
      </w:pPr>
      <w:r>
        <w:rPr>
          <w:rFonts w:hAnsi="宋体"/>
          <w:color w:val="auto"/>
          <w:sz w:val="24"/>
          <w:szCs w:val="24"/>
          <w:highlight w:val="none"/>
        </w:rPr>
        <w:t xml:space="preserve">12.3 </w:t>
      </w:r>
      <w:r>
        <w:rPr>
          <w:rFonts w:hint="eastAsia" w:hAnsi="宋体"/>
          <w:color w:val="auto"/>
          <w:sz w:val="24"/>
          <w:szCs w:val="24"/>
          <w:highlight w:val="none"/>
        </w:rPr>
        <w:t>如在使用过程中发生质量问题，乙方在接到甲方通知后在小时内到达甲方现场。</w:t>
      </w:r>
    </w:p>
    <w:p>
      <w:pPr>
        <w:pStyle w:val="10"/>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12.4 </w:t>
      </w:r>
      <w:r>
        <w:rPr>
          <w:rFonts w:hint="eastAsia" w:hAnsi="宋体"/>
          <w:color w:val="auto"/>
          <w:sz w:val="24"/>
          <w:szCs w:val="24"/>
          <w:highlight w:val="none"/>
        </w:rPr>
        <w:t>在质保期内，乙方应对货物出现的质量及安全问题负责处理解决并承担一切费用。</w:t>
      </w:r>
    </w:p>
    <w:p>
      <w:pPr>
        <w:pStyle w:val="10"/>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12.5</w:t>
      </w:r>
      <w:r>
        <w:rPr>
          <w:rFonts w:hint="eastAsia" w:hAnsi="宋体"/>
          <w:color w:val="auto"/>
          <w:sz w:val="24"/>
          <w:szCs w:val="24"/>
          <w:highlight w:val="none"/>
        </w:rPr>
        <w:t>上述的货物免费保修期为年，因人为因素出现的故障不在免费保修范围内。超过保修期的机器设备，终生维修，维修时只收部件成本费。</w:t>
      </w:r>
    </w:p>
    <w:p>
      <w:pPr>
        <w:pStyle w:val="10"/>
        <w:adjustRightInd w:val="0"/>
        <w:snapToGrid w:val="0"/>
        <w:spacing w:before="120" w:after="120" w:line="360" w:lineRule="auto"/>
        <w:ind w:firstLine="660"/>
        <w:outlineLvl w:val="0"/>
        <w:rPr>
          <w:rFonts w:hAnsi="宋体"/>
          <w:b/>
          <w:color w:val="auto"/>
          <w:sz w:val="24"/>
          <w:szCs w:val="24"/>
          <w:highlight w:val="none"/>
        </w:rPr>
      </w:pPr>
      <w:r>
        <w:rPr>
          <w:rFonts w:hint="eastAsia" w:hAnsi="宋体"/>
          <w:b/>
          <w:color w:val="auto"/>
          <w:sz w:val="24"/>
          <w:szCs w:val="24"/>
          <w:highlight w:val="none"/>
        </w:rPr>
        <w:t>十三、调试和验收</w:t>
      </w:r>
    </w:p>
    <w:p>
      <w:pPr>
        <w:pStyle w:val="10"/>
        <w:adjustRightInd w:val="0"/>
        <w:snapToGrid w:val="0"/>
        <w:spacing w:before="120" w:after="120" w:line="360" w:lineRule="auto"/>
        <w:ind w:left="1" w:firstLine="566"/>
        <w:outlineLvl w:val="0"/>
        <w:rPr>
          <w:rFonts w:hAnsi="宋体"/>
          <w:color w:val="auto"/>
          <w:sz w:val="24"/>
          <w:szCs w:val="24"/>
          <w:highlight w:val="none"/>
        </w:rPr>
      </w:pPr>
      <w:r>
        <w:rPr>
          <w:rFonts w:hAnsi="宋体"/>
          <w:color w:val="auto"/>
          <w:sz w:val="24"/>
          <w:szCs w:val="24"/>
          <w:highlight w:val="none"/>
        </w:rPr>
        <w:t xml:space="preserve">13.1 </w:t>
      </w:r>
      <w:r>
        <w:rPr>
          <w:rFonts w:hint="eastAsia" w:hAnsi="宋体"/>
          <w:color w:val="auto"/>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10"/>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13.2 </w:t>
      </w:r>
      <w:r>
        <w:rPr>
          <w:rFonts w:hint="eastAsia" w:hAnsi="宋体"/>
          <w:color w:val="auto"/>
          <w:sz w:val="24"/>
          <w:szCs w:val="24"/>
          <w:highlight w:val="none"/>
        </w:rPr>
        <w:t>乙方交货前应对产品作出全面检查和对验收文件进行整理，并列出清单，作为甲方收货验收和使用的技术条件依据，检验的结果应随货物交甲方。</w:t>
      </w:r>
    </w:p>
    <w:p>
      <w:pPr>
        <w:pStyle w:val="10"/>
        <w:adjustRightInd w:val="0"/>
        <w:snapToGrid w:val="0"/>
        <w:spacing w:before="120" w:after="120" w:line="360" w:lineRule="auto"/>
        <w:ind w:left="1" w:firstLine="566"/>
        <w:outlineLvl w:val="0"/>
        <w:rPr>
          <w:rFonts w:hAnsi="宋体"/>
          <w:color w:val="auto"/>
          <w:sz w:val="24"/>
          <w:szCs w:val="24"/>
          <w:highlight w:val="none"/>
        </w:rPr>
      </w:pPr>
      <w:r>
        <w:rPr>
          <w:rFonts w:hAnsi="宋体"/>
          <w:color w:val="auto"/>
          <w:sz w:val="24"/>
          <w:szCs w:val="24"/>
          <w:highlight w:val="none"/>
        </w:rPr>
        <w:t xml:space="preserve">13.3 </w:t>
      </w:r>
      <w:r>
        <w:rPr>
          <w:rFonts w:hint="eastAsia" w:hAnsi="宋体"/>
          <w:color w:val="auto"/>
          <w:sz w:val="24"/>
          <w:szCs w:val="24"/>
          <w:highlight w:val="none"/>
        </w:rPr>
        <w:t>甲方对乙方提供的货物在使用前进行调试时，乙方需负责安装并培训甲方的使用操作人员，并协助甲方一起调试，直到符合技术要求，甲方才做最终验收。</w:t>
      </w:r>
    </w:p>
    <w:p>
      <w:pPr>
        <w:pStyle w:val="10"/>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13.4 </w:t>
      </w:r>
      <w:r>
        <w:rPr>
          <w:rFonts w:hint="eastAsia" w:hAnsi="宋体"/>
          <w:color w:val="auto"/>
          <w:sz w:val="24"/>
          <w:szCs w:val="24"/>
          <w:highlight w:val="none"/>
        </w:rPr>
        <w:t>对技术复杂的货物，甲方可请国家认可的专业检测机构参与初步验收及最终验收，并由其出具质量检测报告。如检测结果合格，检测费用由甲方承担；如检测结果不合格，检测费用由乙方承担。</w:t>
      </w:r>
    </w:p>
    <w:p>
      <w:pPr>
        <w:pStyle w:val="10"/>
        <w:adjustRightInd w:val="0"/>
        <w:snapToGrid w:val="0"/>
        <w:spacing w:before="120" w:after="120" w:line="360" w:lineRule="auto"/>
        <w:ind w:left="1" w:firstLine="566"/>
        <w:outlineLvl w:val="0"/>
        <w:rPr>
          <w:rFonts w:hAnsi="宋体"/>
          <w:color w:val="auto"/>
          <w:sz w:val="24"/>
          <w:szCs w:val="24"/>
          <w:highlight w:val="none"/>
        </w:rPr>
      </w:pPr>
      <w:r>
        <w:rPr>
          <w:rFonts w:hAnsi="宋体"/>
          <w:color w:val="auto"/>
          <w:sz w:val="24"/>
          <w:szCs w:val="24"/>
          <w:highlight w:val="none"/>
        </w:rPr>
        <w:t xml:space="preserve">13.5 </w:t>
      </w:r>
      <w:r>
        <w:rPr>
          <w:rFonts w:hint="eastAsia" w:hAnsi="宋体"/>
          <w:color w:val="auto"/>
          <w:sz w:val="24"/>
          <w:szCs w:val="24"/>
          <w:highlight w:val="none"/>
        </w:rPr>
        <w:t>验收时乙方必须在现场，验收完毕后作出验收结果报告，验收报告须经甲方最终用户签字和部门盖章。</w:t>
      </w:r>
    </w:p>
    <w:p>
      <w:pPr>
        <w:pStyle w:val="10"/>
        <w:adjustRightInd w:val="0"/>
        <w:snapToGrid w:val="0"/>
        <w:spacing w:before="120" w:after="120" w:line="360" w:lineRule="auto"/>
        <w:ind w:firstLine="660"/>
        <w:outlineLvl w:val="0"/>
        <w:rPr>
          <w:rFonts w:hAnsi="宋体"/>
          <w:b/>
          <w:color w:val="auto"/>
          <w:sz w:val="24"/>
          <w:szCs w:val="24"/>
          <w:highlight w:val="none"/>
        </w:rPr>
      </w:pPr>
      <w:r>
        <w:rPr>
          <w:rFonts w:hint="eastAsia" w:hAnsi="宋体"/>
          <w:b/>
          <w:color w:val="auto"/>
          <w:sz w:val="24"/>
          <w:szCs w:val="24"/>
          <w:highlight w:val="none"/>
        </w:rPr>
        <w:t>十四、货物包装、发运及运输</w:t>
      </w:r>
    </w:p>
    <w:p>
      <w:pPr>
        <w:pStyle w:val="10"/>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14.1 </w:t>
      </w:r>
      <w:r>
        <w:rPr>
          <w:rFonts w:hint="eastAsia" w:hAnsi="宋体"/>
          <w:color w:val="auto"/>
          <w:sz w:val="24"/>
          <w:szCs w:val="24"/>
          <w:highlight w:val="none"/>
        </w:rPr>
        <w:t>乙方应在货物发运前对其进行满足运输距离、防潮、防震、防锈和防破损装卸等要求包装，以保证货物安全运达甲方指定地点。</w:t>
      </w:r>
    </w:p>
    <w:p>
      <w:pPr>
        <w:pStyle w:val="10"/>
        <w:adjustRightInd w:val="0"/>
        <w:snapToGrid w:val="0"/>
        <w:spacing w:before="120" w:after="120" w:line="360" w:lineRule="auto"/>
        <w:ind w:left="1" w:firstLine="566"/>
        <w:outlineLvl w:val="0"/>
        <w:rPr>
          <w:rFonts w:hAnsi="宋体"/>
          <w:color w:val="auto"/>
          <w:sz w:val="24"/>
          <w:szCs w:val="24"/>
          <w:highlight w:val="none"/>
        </w:rPr>
      </w:pPr>
      <w:r>
        <w:rPr>
          <w:rFonts w:hAnsi="宋体"/>
          <w:color w:val="auto"/>
          <w:sz w:val="24"/>
          <w:szCs w:val="24"/>
          <w:highlight w:val="none"/>
        </w:rPr>
        <w:t xml:space="preserve">14.2 </w:t>
      </w:r>
      <w:r>
        <w:rPr>
          <w:rFonts w:hint="eastAsia" w:hAnsi="宋体"/>
          <w:color w:val="auto"/>
          <w:sz w:val="24"/>
          <w:szCs w:val="24"/>
          <w:highlight w:val="none"/>
        </w:rPr>
        <w:t>使用说明书、质量检验证明书、原厂保修单（函）、随配附件和工具以及清单一并附于货物内。</w:t>
      </w:r>
    </w:p>
    <w:p>
      <w:pPr>
        <w:pStyle w:val="10"/>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14.3 </w:t>
      </w:r>
      <w:r>
        <w:rPr>
          <w:rFonts w:hint="eastAsia" w:hAnsi="宋体"/>
          <w:color w:val="auto"/>
          <w:sz w:val="24"/>
          <w:szCs w:val="24"/>
          <w:highlight w:val="none"/>
        </w:rPr>
        <w:t>乙方在货物发运手续办理完毕后</w:t>
      </w:r>
      <w:r>
        <w:rPr>
          <w:rFonts w:hAnsi="宋体"/>
          <w:color w:val="auto"/>
          <w:sz w:val="24"/>
          <w:szCs w:val="24"/>
          <w:highlight w:val="none"/>
        </w:rPr>
        <w:t>24</w:t>
      </w:r>
      <w:r>
        <w:rPr>
          <w:rFonts w:hint="eastAsia" w:hAnsi="宋体"/>
          <w:color w:val="auto"/>
          <w:sz w:val="24"/>
          <w:szCs w:val="24"/>
          <w:highlight w:val="none"/>
        </w:rPr>
        <w:t>小时内或货到甲方</w:t>
      </w:r>
      <w:r>
        <w:rPr>
          <w:rFonts w:hAnsi="宋体"/>
          <w:color w:val="auto"/>
          <w:sz w:val="24"/>
          <w:szCs w:val="24"/>
          <w:highlight w:val="none"/>
        </w:rPr>
        <w:t>48</w:t>
      </w:r>
      <w:r>
        <w:rPr>
          <w:rFonts w:hint="eastAsia" w:hAnsi="宋体"/>
          <w:color w:val="auto"/>
          <w:sz w:val="24"/>
          <w:szCs w:val="24"/>
          <w:highlight w:val="none"/>
        </w:rPr>
        <w:t>小时前通知甲方，以准备接货。</w:t>
      </w:r>
    </w:p>
    <w:p>
      <w:pPr>
        <w:pStyle w:val="10"/>
        <w:adjustRightInd w:val="0"/>
        <w:snapToGrid w:val="0"/>
        <w:spacing w:before="120" w:after="120" w:line="360" w:lineRule="auto"/>
        <w:ind w:left="1" w:firstLine="566"/>
        <w:outlineLvl w:val="0"/>
        <w:rPr>
          <w:rFonts w:hAnsi="宋体"/>
          <w:color w:val="auto"/>
          <w:sz w:val="24"/>
          <w:szCs w:val="24"/>
          <w:highlight w:val="none"/>
        </w:rPr>
      </w:pPr>
      <w:r>
        <w:rPr>
          <w:rFonts w:hAnsi="宋体"/>
          <w:color w:val="auto"/>
          <w:sz w:val="24"/>
          <w:szCs w:val="24"/>
          <w:highlight w:val="none"/>
        </w:rPr>
        <w:t xml:space="preserve">14.4 </w:t>
      </w:r>
      <w:r>
        <w:rPr>
          <w:rFonts w:hint="eastAsia" w:hAnsi="宋体"/>
          <w:color w:val="auto"/>
          <w:sz w:val="24"/>
          <w:szCs w:val="24"/>
          <w:highlight w:val="none"/>
        </w:rPr>
        <w:t>货物在交付甲方前发生的风险均由乙方负责。</w:t>
      </w:r>
    </w:p>
    <w:p>
      <w:pPr>
        <w:pStyle w:val="10"/>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14.5 </w:t>
      </w:r>
      <w:r>
        <w:rPr>
          <w:rFonts w:hint="eastAsia" w:hAnsi="宋体"/>
          <w:color w:val="auto"/>
          <w:sz w:val="24"/>
          <w:szCs w:val="24"/>
          <w:highlight w:val="none"/>
        </w:rPr>
        <w:t>货物在规定的交付期限内由乙方送达甲方指定的地点并经甲方最终验收合格视为交付，乙方同时需通知甲方货物已送达。</w:t>
      </w:r>
    </w:p>
    <w:p>
      <w:pPr>
        <w:pStyle w:val="10"/>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十五、违约责任</w:t>
      </w:r>
    </w:p>
    <w:p>
      <w:pPr>
        <w:pStyle w:val="10"/>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15.1</w:t>
      </w:r>
      <w:r>
        <w:rPr>
          <w:rFonts w:hint="eastAsia" w:hAnsi="宋体"/>
          <w:color w:val="auto"/>
          <w:sz w:val="24"/>
          <w:szCs w:val="24"/>
          <w:highlight w:val="none"/>
        </w:rPr>
        <w:t>乙方逾期交付货物的，乙方应按逾期交货总额每日千分之六向甲方支付违约金，由甲方从待付货款中扣除。逾期超过约定日期</w:t>
      </w:r>
      <w:r>
        <w:rPr>
          <w:rFonts w:hAnsi="宋体"/>
          <w:color w:val="auto"/>
          <w:sz w:val="24"/>
          <w:szCs w:val="24"/>
          <w:highlight w:val="none"/>
        </w:rPr>
        <w:t>10</w:t>
      </w:r>
      <w:r>
        <w:rPr>
          <w:rFonts w:hint="eastAsia" w:hAnsi="宋体"/>
          <w:color w:val="auto"/>
          <w:sz w:val="24"/>
          <w:szCs w:val="24"/>
          <w:highlight w:val="none"/>
        </w:rPr>
        <w:t>个工作日不能交货的，甲方可解除本合同。乙方因逾期交货或因其他违约行为导致甲方解除合同的，乙方应向甲方支付合同总值</w:t>
      </w:r>
      <w:r>
        <w:rPr>
          <w:rFonts w:hAnsi="宋体"/>
          <w:color w:val="auto"/>
          <w:sz w:val="24"/>
          <w:szCs w:val="24"/>
          <w:highlight w:val="none"/>
        </w:rPr>
        <w:t>5%</w:t>
      </w:r>
      <w:r>
        <w:rPr>
          <w:rFonts w:hint="eastAsia" w:hAnsi="宋体"/>
          <w:color w:val="auto"/>
          <w:sz w:val="24"/>
          <w:szCs w:val="24"/>
          <w:highlight w:val="none"/>
        </w:rPr>
        <w:t>的违约金，如造成甲方损失超过违约金的，超出部分由乙方继续承担赔偿责任。</w:t>
      </w:r>
    </w:p>
    <w:p>
      <w:pPr>
        <w:pStyle w:val="10"/>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15.2</w:t>
      </w:r>
      <w:r>
        <w:rPr>
          <w:rFonts w:hint="eastAsia" w:hAnsi="宋体"/>
          <w:color w:val="auto"/>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0"/>
        <w:adjustRightInd w:val="0"/>
        <w:snapToGrid w:val="0"/>
        <w:spacing w:before="120" w:after="120" w:line="360" w:lineRule="auto"/>
        <w:ind w:firstLine="660"/>
        <w:outlineLvl w:val="0"/>
        <w:rPr>
          <w:rFonts w:hAnsi="宋体"/>
          <w:b/>
          <w:color w:val="auto"/>
          <w:sz w:val="24"/>
          <w:szCs w:val="24"/>
          <w:highlight w:val="none"/>
        </w:rPr>
      </w:pPr>
      <w:r>
        <w:rPr>
          <w:rFonts w:hint="eastAsia" w:hAnsi="宋体"/>
          <w:b/>
          <w:color w:val="auto"/>
          <w:sz w:val="24"/>
          <w:szCs w:val="24"/>
          <w:highlight w:val="none"/>
        </w:rPr>
        <w:t>十六、廉政条款</w:t>
      </w:r>
    </w:p>
    <w:p>
      <w:pPr>
        <w:pStyle w:val="10"/>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16.1</w:t>
      </w:r>
      <w:r>
        <w:rPr>
          <w:rFonts w:hint="eastAsia" w:hAnsi="宋体"/>
          <w:color w:val="auto"/>
          <w:sz w:val="24"/>
          <w:szCs w:val="24"/>
          <w:highlight w:val="none"/>
        </w:rPr>
        <w:t>乙方必须支持甲方的廉政建设，不得向甲方相关人员提供金钱和物质上的好处，一经发现处以合同金额</w:t>
      </w:r>
      <w:r>
        <w:rPr>
          <w:rFonts w:hAnsi="宋体"/>
          <w:color w:val="auto"/>
          <w:sz w:val="24"/>
          <w:szCs w:val="24"/>
          <w:highlight w:val="none"/>
        </w:rPr>
        <w:t>20%</w:t>
      </w:r>
      <w:r>
        <w:rPr>
          <w:rFonts w:hint="eastAsia" w:hAnsi="宋体"/>
          <w:color w:val="auto"/>
          <w:sz w:val="24"/>
          <w:szCs w:val="24"/>
          <w:highlight w:val="none"/>
        </w:rPr>
        <w:t>的罚款。</w:t>
      </w:r>
    </w:p>
    <w:p>
      <w:pPr>
        <w:pStyle w:val="10"/>
        <w:adjustRightInd w:val="0"/>
        <w:snapToGrid w:val="0"/>
        <w:spacing w:before="120" w:after="120" w:line="360" w:lineRule="auto"/>
        <w:ind w:firstLine="660"/>
        <w:outlineLvl w:val="0"/>
        <w:rPr>
          <w:rFonts w:hAnsi="宋体"/>
          <w:b/>
          <w:color w:val="auto"/>
          <w:sz w:val="24"/>
          <w:szCs w:val="24"/>
          <w:highlight w:val="none"/>
        </w:rPr>
      </w:pPr>
      <w:r>
        <w:rPr>
          <w:rFonts w:hint="eastAsia" w:hAnsi="宋体"/>
          <w:b/>
          <w:color w:val="auto"/>
          <w:sz w:val="24"/>
          <w:szCs w:val="24"/>
          <w:highlight w:val="none"/>
        </w:rPr>
        <w:t>十七、不可抗力事件处理</w:t>
      </w:r>
    </w:p>
    <w:p>
      <w:pPr>
        <w:pStyle w:val="10"/>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17.1 </w:t>
      </w:r>
      <w:r>
        <w:rPr>
          <w:rFonts w:hint="eastAsia" w:hAnsi="宋体"/>
          <w:color w:val="auto"/>
          <w:sz w:val="24"/>
          <w:szCs w:val="24"/>
          <w:highlight w:val="none"/>
        </w:rPr>
        <w:t>在合同有效期内，任何一方因不可抗力事件导致不能履行合同，则合同履行期可延长，其延长期与不可抗力影响期相同。</w:t>
      </w:r>
    </w:p>
    <w:p>
      <w:pPr>
        <w:pStyle w:val="10"/>
        <w:adjustRightInd w:val="0"/>
        <w:snapToGrid w:val="0"/>
        <w:spacing w:before="120" w:after="120" w:line="360" w:lineRule="auto"/>
        <w:ind w:firstLine="658"/>
        <w:outlineLvl w:val="0"/>
        <w:rPr>
          <w:rFonts w:hAnsi="宋体"/>
          <w:color w:val="auto"/>
          <w:sz w:val="24"/>
          <w:szCs w:val="24"/>
          <w:highlight w:val="none"/>
        </w:rPr>
      </w:pPr>
      <w:r>
        <w:rPr>
          <w:rFonts w:hAnsi="宋体"/>
          <w:color w:val="auto"/>
          <w:sz w:val="24"/>
          <w:szCs w:val="24"/>
          <w:highlight w:val="none"/>
        </w:rPr>
        <w:t xml:space="preserve">17.2 </w:t>
      </w:r>
      <w:r>
        <w:rPr>
          <w:rFonts w:hint="eastAsia" w:hAnsi="宋体"/>
          <w:color w:val="auto"/>
          <w:sz w:val="24"/>
          <w:szCs w:val="24"/>
          <w:highlight w:val="none"/>
        </w:rPr>
        <w:t>不可抗力事件发生后，应立即通知对方，并寄送有关权威机构出具的证明。</w:t>
      </w:r>
    </w:p>
    <w:p>
      <w:pPr>
        <w:pStyle w:val="10"/>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17.3 </w:t>
      </w:r>
      <w:r>
        <w:rPr>
          <w:rFonts w:hint="eastAsia" w:hAnsi="宋体"/>
          <w:color w:val="auto"/>
          <w:sz w:val="24"/>
          <w:szCs w:val="24"/>
          <w:highlight w:val="none"/>
        </w:rPr>
        <w:t>不可抗力事件延续</w:t>
      </w:r>
      <w:r>
        <w:rPr>
          <w:rFonts w:hAnsi="宋体"/>
          <w:color w:val="auto"/>
          <w:sz w:val="24"/>
          <w:szCs w:val="24"/>
          <w:highlight w:val="none"/>
        </w:rPr>
        <w:t>30</w:t>
      </w:r>
      <w:r>
        <w:rPr>
          <w:rFonts w:hint="eastAsia" w:hAnsi="宋体"/>
          <w:color w:val="auto"/>
          <w:sz w:val="24"/>
          <w:szCs w:val="24"/>
          <w:highlight w:val="none"/>
        </w:rPr>
        <w:t>天以上，双方应通过友好协商，确定是否继续履行合同。</w:t>
      </w:r>
    </w:p>
    <w:p>
      <w:pPr>
        <w:pStyle w:val="10"/>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十八、诉讼</w:t>
      </w:r>
    </w:p>
    <w:p>
      <w:pPr>
        <w:pStyle w:val="10"/>
        <w:adjustRightInd w:val="0"/>
        <w:snapToGrid w:val="0"/>
        <w:spacing w:before="120" w:after="120" w:line="360" w:lineRule="auto"/>
        <w:ind w:left="1" w:firstLine="658"/>
        <w:outlineLvl w:val="0"/>
        <w:rPr>
          <w:rFonts w:hAnsi="宋体"/>
          <w:color w:val="auto"/>
          <w:sz w:val="24"/>
          <w:szCs w:val="24"/>
          <w:highlight w:val="none"/>
        </w:rPr>
      </w:pPr>
      <w:r>
        <w:rPr>
          <w:rFonts w:hAnsi="宋体"/>
          <w:color w:val="auto"/>
          <w:sz w:val="24"/>
          <w:szCs w:val="24"/>
          <w:highlight w:val="none"/>
        </w:rPr>
        <w:t xml:space="preserve">18.1 </w:t>
      </w:r>
      <w:r>
        <w:rPr>
          <w:rFonts w:hint="eastAsia" w:hAnsi="宋体"/>
          <w:color w:val="auto"/>
          <w:sz w:val="24"/>
          <w:szCs w:val="24"/>
          <w:highlight w:val="none"/>
        </w:rPr>
        <w:t>双方在执行合同中所发生的一切争议，应通过协商解决。如协商不成，可向合同签订地法院起诉，合同签订地在此约定为南京市。</w:t>
      </w:r>
    </w:p>
    <w:p>
      <w:pPr>
        <w:pStyle w:val="10"/>
        <w:adjustRightInd w:val="0"/>
        <w:snapToGrid w:val="0"/>
        <w:spacing w:before="120" w:after="120" w:line="360" w:lineRule="auto"/>
        <w:ind w:firstLine="660"/>
        <w:outlineLvl w:val="0"/>
        <w:rPr>
          <w:rFonts w:hAnsi="宋体"/>
          <w:b/>
          <w:color w:val="auto"/>
          <w:sz w:val="24"/>
          <w:szCs w:val="24"/>
          <w:highlight w:val="none"/>
        </w:rPr>
      </w:pPr>
      <w:r>
        <w:rPr>
          <w:rFonts w:hint="eastAsia" w:hAnsi="宋体"/>
          <w:b/>
          <w:color w:val="auto"/>
          <w:sz w:val="24"/>
          <w:szCs w:val="24"/>
          <w:highlight w:val="none"/>
        </w:rPr>
        <w:t>十九、合同文件的优先顺序</w:t>
      </w:r>
    </w:p>
    <w:p>
      <w:pPr>
        <w:pStyle w:val="10"/>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 xml:space="preserve">组成合同的各项文件应互相解释，互为说明。除专用合同条款另有约定外，解释合同文件的优先顺序如下： </w:t>
      </w:r>
    </w:p>
    <w:p>
      <w:pPr>
        <w:pStyle w:val="10"/>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 xml:space="preserve">（1）合同协议书； </w:t>
      </w:r>
    </w:p>
    <w:p>
      <w:pPr>
        <w:pStyle w:val="10"/>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（2）中标通知书；</w:t>
      </w:r>
    </w:p>
    <w:p>
      <w:pPr>
        <w:pStyle w:val="10"/>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（3）招标文件；</w:t>
      </w:r>
    </w:p>
    <w:p>
      <w:pPr>
        <w:pStyle w:val="10"/>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（4）投标函及其附录（如果有）；</w:t>
      </w:r>
    </w:p>
    <w:p>
      <w:pPr>
        <w:pStyle w:val="10"/>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（5）专用合同条款及其附件；</w:t>
      </w:r>
    </w:p>
    <w:p>
      <w:pPr>
        <w:pStyle w:val="10"/>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 xml:space="preserve">（6）通用合同条款； </w:t>
      </w:r>
    </w:p>
    <w:p>
      <w:pPr>
        <w:pStyle w:val="10"/>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（7）技术标准和要求；</w:t>
      </w:r>
    </w:p>
    <w:p>
      <w:pPr>
        <w:pStyle w:val="10"/>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（8）其他合同文件。</w:t>
      </w:r>
    </w:p>
    <w:p>
      <w:pPr>
        <w:pStyle w:val="10"/>
        <w:adjustRightInd w:val="0"/>
        <w:snapToGrid w:val="0"/>
        <w:spacing w:before="120" w:after="120" w:line="360" w:lineRule="auto"/>
        <w:ind w:firstLine="660"/>
        <w:outlineLvl w:val="0"/>
        <w:rPr>
          <w:rFonts w:hAnsi="宋体"/>
          <w:b/>
          <w:color w:val="auto"/>
          <w:sz w:val="24"/>
          <w:szCs w:val="24"/>
          <w:highlight w:val="none"/>
        </w:rPr>
      </w:pPr>
      <w:r>
        <w:rPr>
          <w:rFonts w:hint="eastAsia" w:hAnsi="宋体"/>
          <w:b/>
          <w:color w:val="auto"/>
          <w:sz w:val="24"/>
          <w:szCs w:val="24"/>
          <w:highlight w:val="none"/>
        </w:rPr>
        <w:t>二十、合同生效及其它</w:t>
      </w:r>
    </w:p>
    <w:p>
      <w:pPr>
        <w:pStyle w:val="10"/>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19.1 </w:t>
      </w:r>
      <w:r>
        <w:rPr>
          <w:rFonts w:hint="eastAsia" w:hAnsi="宋体"/>
          <w:color w:val="auto"/>
          <w:sz w:val="24"/>
          <w:szCs w:val="24"/>
          <w:highlight w:val="none"/>
        </w:rPr>
        <w:t>合同经双方法定代表人或授权委托代表人签字并加盖单位公章后生效。</w:t>
      </w:r>
    </w:p>
    <w:p>
      <w:pPr>
        <w:pStyle w:val="10"/>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19.2</w:t>
      </w:r>
      <w:r>
        <w:rPr>
          <w:rFonts w:hint="eastAsia" w:hAnsi="宋体"/>
          <w:color w:val="auto"/>
          <w:sz w:val="24"/>
          <w:szCs w:val="24"/>
          <w:highlight w:val="none"/>
        </w:rPr>
        <w:t>本合同未尽事宜，遵照《合同法》有关条文执行。</w:t>
      </w:r>
    </w:p>
    <w:p>
      <w:pPr>
        <w:pStyle w:val="10"/>
        <w:adjustRightInd w:val="0"/>
        <w:snapToGrid w:val="0"/>
        <w:spacing w:before="120" w:after="120" w:line="360" w:lineRule="auto"/>
        <w:ind w:left="1" w:firstLine="658"/>
        <w:outlineLvl w:val="0"/>
        <w:rPr>
          <w:rFonts w:hAnsi="宋体"/>
          <w:color w:val="auto"/>
          <w:sz w:val="24"/>
          <w:szCs w:val="24"/>
          <w:highlight w:val="none"/>
        </w:rPr>
      </w:pPr>
      <w:r>
        <w:rPr>
          <w:rFonts w:hAnsi="宋体"/>
          <w:color w:val="auto"/>
          <w:sz w:val="24"/>
          <w:szCs w:val="24"/>
          <w:highlight w:val="none"/>
        </w:rPr>
        <w:t xml:space="preserve">19.3 </w:t>
      </w:r>
      <w:r>
        <w:rPr>
          <w:rFonts w:hint="eastAsia" w:hAnsi="宋体"/>
          <w:color w:val="auto"/>
          <w:sz w:val="24"/>
          <w:szCs w:val="24"/>
          <w:highlight w:val="none"/>
        </w:rPr>
        <w:t>本合同正本一式四份，具有同等法律效力，甲方、乙方各执两份。</w:t>
      </w:r>
    </w:p>
    <w:p>
      <w:pPr>
        <w:pStyle w:val="10"/>
        <w:adjustRightInd w:val="0"/>
        <w:snapToGrid w:val="0"/>
        <w:spacing w:before="120" w:after="120" w:line="360" w:lineRule="auto"/>
        <w:ind w:left="420" w:leftChars="200" w:firstLine="240" w:firstLineChars="100"/>
        <w:rPr>
          <w:rFonts w:hAnsi="宋体"/>
          <w:color w:val="auto"/>
          <w:sz w:val="24"/>
          <w:szCs w:val="24"/>
          <w:highlight w:val="none"/>
        </w:rPr>
      </w:pPr>
      <w:r>
        <w:rPr>
          <w:rFonts w:hint="eastAsia" w:hAnsi="宋体"/>
          <w:color w:val="auto"/>
          <w:sz w:val="24"/>
          <w:szCs w:val="24"/>
          <w:highlight w:val="none"/>
        </w:rPr>
        <w:t>甲方：乙方：</w:t>
      </w:r>
    </w:p>
    <w:p>
      <w:pPr>
        <w:pStyle w:val="10"/>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地址：地址：</w:t>
      </w:r>
    </w:p>
    <w:p>
      <w:pPr>
        <w:pStyle w:val="10"/>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法定代表人或授权代表：</w:t>
      </w:r>
    </w:p>
    <w:p>
      <w:pPr>
        <w:pStyle w:val="10"/>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项目负责人</w:t>
      </w:r>
      <w:r>
        <w:rPr>
          <w:rFonts w:hAnsi="宋体"/>
          <w:color w:val="auto"/>
          <w:sz w:val="24"/>
          <w:szCs w:val="24"/>
          <w:highlight w:val="none"/>
        </w:rPr>
        <w:t xml:space="preserve">:                              </w:t>
      </w:r>
      <w:r>
        <w:rPr>
          <w:rFonts w:hint="eastAsia" w:hAnsi="宋体"/>
          <w:color w:val="auto"/>
          <w:sz w:val="24"/>
          <w:szCs w:val="24"/>
          <w:highlight w:val="none"/>
        </w:rPr>
        <w:t>法定代表人或授权代表：</w:t>
      </w:r>
    </w:p>
    <w:p>
      <w:pPr>
        <w:pStyle w:val="10"/>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项目联系人</w:t>
      </w:r>
      <w:r>
        <w:rPr>
          <w:rFonts w:hAnsi="宋体"/>
          <w:color w:val="auto"/>
          <w:sz w:val="24"/>
          <w:szCs w:val="24"/>
          <w:highlight w:val="none"/>
        </w:rPr>
        <w:t>:</w:t>
      </w:r>
    </w:p>
    <w:p>
      <w:pPr>
        <w:pStyle w:val="10"/>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联系电话：联系电话：</w:t>
      </w:r>
    </w:p>
    <w:p>
      <w:pPr>
        <w:pStyle w:val="10"/>
        <w:adjustRightInd w:val="0"/>
        <w:snapToGrid w:val="0"/>
        <w:spacing w:before="120" w:after="120" w:line="360" w:lineRule="auto"/>
        <w:ind w:firstLine="767"/>
        <w:rPr>
          <w:rFonts w:cs="仿宋"/>
          <w:color w:val="auto"/>
          <w:sz w:val="24"/>
          <w:highlight w:val="none"/>
        </w:rPr>
      </w:pPr>
      <w:r>
        <w:rPr>
          <w:rFonts w:hint="eastAsia"/>
          <w:color w:val="auto"/>
          <w:sz w:val="28"/>
          <w:szCs w:val="28"/>
          <w:highlight w:val="none"/>
        </w:rPr>
        <w:t>签订日期：      年   月   日</w:t>
      </w:r>
    </w:p>
    <w:bookmarkEnd w:id="11"/>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Open Sans Ligh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rPr>
      <w:fldChar w:fldCharType="begin"/>
    </w:r>
    <w:r>
      <w:rPr>
        <w:b/>
      </w:rPr>
      <w:instrText xml:space="preserve">PAGE  \* Arabic  \* MERGEFORMAT</w:instrText>
    </w:r>
    <w:r>
      <w:rPr>
        <w:b/>
      </w:rPr>
      <w:fldChar w:fldCharType="separate"/>
    </w:r>
    <w:r>
      <w:rPr>
        <w:b/>
        <w:lang w:val="zh-CN"/>
      </w:rPr>
      <w:t>14</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23</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cs="宋体"/>
        <w:b/>
        <w:bCs/>
        <w:kern w:val="0"/>
        <w:sz w:val="15"/>
        <w:szCs w:val="15"/>
      </w:rPr>
    </w:pPr>
    <w:r>
      <w:rPr>
        <w:rFonts w:hint="eastAsia" w:ascii="宋体" w:hAnsi="宋体" w:cs="宋体"/>
        <w:b/>
        <w:bCs/>
        <w:kern w:val="0"/>
        <w:sz w:val="15"/>
        <w:szCs w:val="15"/>
      </w:rPr>
      <w:t>南京信息工程大学招标办20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4D51"/>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56EB"/>
    <w:rsid w:val="000F7C08"/>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E73FD"/>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1000"/>
    <w:rsid w:val="0053114F"/>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2DBA"/>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5756F"/>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737"/>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4C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392B"/>
    <w:rsid w:val="0098526D"/>
    <w:rsid w:val="00987CEF"/>
    <w:rsid w:val="00990A91"/>
    <w:rsid w:val="00990BFB"/>
    <w:rsid w:val="00992262"/>
    <w:rsid w:val="00992EF0"/>
    <w:rsid w:val="00993A92"/>
    <w:rsid w:val="009948F7"/>
    <w:rsid w:val="0099682B"/>
    <w:rsid w:val="00996975"/>
    <w:rsid w:val="009A0CB9"/>
    <w:rsid w:val="009A4472"/>
    <w:rsid w:val="009A50F2"/>
    <w:rsid w:val="009A5BA7"/>
    <w:rsid w:val="009A723F"/>
    <w:rsid w:val="009B2876"/>
    <w:rsid w:val="009B3202"/>
    <w:rsid w:val="009B4732"/>
    <w:rsid w:val="009B5355"/>
    <w:rsid w:val="009B5A13"/>
    <w:rsid w:val="009B5D2C"/>
    <w:rsid w:val="009B5E85"/>
    <w:rsid w:val="009B7C1E"/>
    <w:rsid w:val="009B7FB8"/>
    <w:rsid w:val="009C018C"/>
    <w:rsid w:val="009C2509"/>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5BB4"/>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51D"/>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3C22"/>
    <w:rsid w:val="00E33D18"/>
    <w:rsid w:val="00E34A48"/>
    <w:rsid w:val="00E3574E"/>
    <w:rsid w:val="00E363D5"/>
    <w:rsid w:val="00E36429"/>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5BE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4C02E36"/>
    <w:rsid w:val="05B517B2"/>
    <w:rsid w:val="0666393D"/>
    <w:rsid w:val="078D73D6"/>
    <w:rsid w:val="07A4578B"/>
    <w:rsid w:val="07D33D16"/>
    <w:rsid w:val="09637941"/>
    <w:rsid w:val="0B675B31"/>
    <w:rsid w:val="0BDF51D7"/>
    <w:rsid w:val="0C3615C8"/>
    <w:rsid w:val="0C4861BD"/>
    <w:rsid w:val="0C7E7AA1"/>
    <w:rsid w:val="0CA63ABD"/>
    <w:rsid w:val="0D873213"/>
    <w:rsid w:val="0D9425DE"/>
    <w:rsid w:val="0D99361C"/>
    <w:rsid w:val="0F02495D"/>
    <w:rsid w:val="107D340A"/>
    <w:rsid w:val="10EB4170"/>
    <w:rsid w:val="10F05838"/>
    <w:rsid w:val="113C24CA"/>
    <w:rsid w:val="119D0D41"/>
    <w:rsid w:val="12162C3B"/>
    <w:rsid w:val="130F1D58"/>
    <w:rsid w:val="146723C1"/>
    <w:rsid w:val="14896182"/>
    <w:rsid w:val="155010AB"/>
    <w:rsid w:val="15572C10"/>
    <w:rsid w:val="1584594C"/>
    <w:rsid w:val="15907301"/>
    <w:rsid w:val="15A069B5"/>
    <w:rsid w:val="15A90346"/>
    <w:rsid w:val="15B24E31"/>
    <w:rsid w:val="16AA09BD"/>
    <w:rsid w:val="17833DE3"/>
    <w:rsid w:val="19775424"/>
    <w:rsid w:val="1A241EC0"/>
    <w:rsid w:val="1AE96A89"/>
    <w:rsid w:val="1C121D57"/>
    <w:rsid w:val="1C4A137C"/>
    <w:rsid w:val="1F11313D"/>
    <w:rsid w:val="1F226500"/>
    <w:rsid w:val="1F956998"/>
    <w:rsid w:val="20DC5C02"/>
    <w:rsid w:val="20FE711F"/>
    <w:rsid w:val="21A70E96"/>
    <w:rsid w:val="225E4DAF"/>
    <w:rsid w:val="22891E2D"/>
    <w:rsid w:val="22D33607"/>
    <w:rsid w:val="23FD2509"/>
    <w:rsid w:val="243943F8"/>
    <w:rsid w:val="24E05430"/>
    <w:rsid w:val="259C0E3D"/>
    <w:rsid w:val="267A7579"/>
    <w:rsid w:val="27961F1E"/>
    <w:rsid w:val="27AD7C03"/>
    <w:rsid w:val="28C46277"/>
    <w:rsid w:val="29062B05"/>
    <w:rsid w:val="29127A38"/>
    <w:rsid w:val="2AB43BC5"/>
    <w:rsid w:val="2B556F15"/>
    <w:rsid w:val="2B7F4BC3"/>
    <w:rsid w:val="2CE81BAF"/>
    <w:rsid w:val="2DAC05D8"/>
    <w:rsid w:val="2E726843"/>
    <w:rsid w:val="2EA62448"/>
    <w:rsid w:val="2EDC02FF"/>
    <w:rsid w:val="3172033E"/>
    <w:rsid w:val="3227588C"/>
    <w:rsid w:val="325F6558"/>
    <w:rsid w:val="331653E5"/>
    <w:rsid w:val="351529A9"/>
    <w:rsid w:val="355A74E9"/>
    <w:rsid w:val="35FD1F7A"/>
    <w:rsid w:val="366D672C"/>
    <w:rsid w:val="36E3150F"/>
    <w:rsid w:val="384A4707"/>
    <w:rsid w:val="385D644E"/>
    <w:rsid w:val="38F33167"/>
    <w:rsid w:val="39C83C69"/>
    <w:rsid w:val="39CE5E1D"/>
    <w:rsid w:val="3A9701E9"/>
    <w:rsid w:val="3B4244C5"/>
    <w:rsid w:val="3B80372E"/>
    <w:rsid w:val="3C003247"/>
    <w:rsid w:val="3C8E6F2D"/>
    <w:rsid w:val="3D6145DC"/>
    <w:rsid w:val="3E5E0082"/>
    <w:rsid w:val="3EDB4EA4"/>
    <w:rsid w:val="3FC31914"/>
    <w:rsid w:val="41110191"/>
    <w:rsid w:val="414A37BB"/>
    <w:rsid w:val="41AC05DD"/>
    <w:rsid w:val="41E22B3A"/>
    <w:rsid w:val="42643A73"/>
    <w:rsid w:val="42AA1012"/>
    <w:rsid w:val="43FB66E3"/>
    <w:rsid w:val="44AC5EC6"/>
    <w:rsid w:val="44DC7F4B"/>
    <w:rsid w:val="45651876"/>
    <w:rsid w:val="46AA377D"/>
    <w:rsid w:val="492D61DF"/>
    <w:rsid w:val="49363676"/>
    <w:rsid w:val="49D47D5A"/>
    <w:rsid w:val="49F62026"/>
    <w:rsid w:val="4A4B48E3"/>
    <w:rsid w:val="4B5137BF"/>
    <w:rsid w:val="4DA86B45"/>
    <w:rsid w:val="4E3720DD"/>
    <w:rsid w:val="4FAF38AA"/>
    <w:rsid w:val="50480461"/>
    <w:rsid w:val="50DF32A7"/>
    <w:rsid w:val="51497070"/>
    <w:rsid w:val="51E025FE"/>
    <w:rsid w:val="52FD675A"/>
    <w:rsid w:val="532B7AD5"/>
    <w:rsid w:val="53D80FA7"/>
    <w:rsid w:val="542D758B"/>
    <w:rsid w:val="546E459B"/>
    <w:rsid w:val="5473349C"/>
    <w:rsid w:val="54B6223B"/>
    <w:rsid w:val="54E15A0F"/>
    <w:rsid w:val="55344B23"/>
    <w:rsid w:val="56732DC5"/>
    <w:rsid w:val="56C21B98"/>
    <w:rsid w:val="57360F05"/>
    <w:rsid w:val="581F495D"/>
    <w:rsid w:val="58484116"/>
    <w:rsid w:val="58DA78C0"/>
    <w:rsid w:val="58E017CC"/>
    <w:rsid w:val="5AC859BF"/>
    <w:rsid w:val="5C0F2072"/>
    <w:rsid w:val="5CFC1D50"/>
    <w:rsid w:val="5E6C25B6"/>
    <w:rsid w:val="5E84123F"/>
    <w:rsid w:val="5F0028BB"/>
    <w:rsid w:val="5F9764C2"/>
    <w:rsid w:val="600F7C50"/>
    <w:rsid w:val="607E0927"/>
    <w:rsid w:val="60D968DA"/>
    <w:rsid w:val="619D5BCC"/>
    <w:rsid w:val="6233128F"/>
    <w:rsid w:val="62635DDC"/>
    <w:rsid w:val="62FE3555"/>
    <w:rsid w:val="63D7368B"/>
    <w:rsid w:val="65885AF4"/>
    <w:rsid w:val="66093E94"/>
    <w:rsid w:val="665A104A"/>
    <w:rsid w:val="68A603CF"/>
    <w:rsid w:val="69E27B06"/>
    <w:rsid w:val="69EA623B"/>
    <w:rsid w:val="6A0F3694"/>
    <w:rsid w:val="6A5445FC"/>
    <w:rsid w:val="6A5C1E75"/>
    <w:rsid w:val="6AB76CFB"/>
    <w:rsid w:val="6BC1702A"/>
    <w:rsid w:val="6C282248"/>
    <w:rsid w:val="6CBD55AC"/>
    <w:rsid w:val="6DE636A7"/>
    <w:rsid w:val="6DE86594"/>
    <w:rsid w:val="73607DE9"/>
    <w:rsid w:val="73711235"/>
    <w:rsid w:val="753E278B"/>
    <w:rsid w:val="75BE6EB5"/>
    <w:rsid w:val="76EA0AEB"/>
    <w:rsid w:val="7815375E"/>
    <w:rsid w:val="790D6252"/>
    <w:rsid w:val="7AE40810"/>
    <w:rsid w:val="7B0749C7"/>
    <w:rsid w:val="7BBB6C68"/>
    <w:rsid w:val="7C574749"/>
    <w:rsid w:val="7C8E2CF6"/>
    <w:rsid w:val="7C967B8B"/>
    <w:rsid w:val="7CD015B7"/>
    <w:rsid w:val="7E926C55"/>
    <w:rsid w:val="7ED439C5"/>
    <w:rsid w:val="7EEF6C2A"/>
    <w:rsid w:val="7F074C20"/>
    <w:rsid w:val="7F363A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99"/>
    <w:pPr>
      <w:keepNext/>
      <w:keepLines/>
      <w:spacing w:before="340" w:after="330" w:line="578" w:lineRule="auto"/>
      <w:outlineLvl w:val="0"/>
    </w:pPr>
    <w:rPr>
      <w:b/>
      <w:kern w:val="44"/>
      <w:sz w:val="44"/>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locked/>
    <w:uiPriority w:val="0"/>
    <w:pPr>
      <w:ind w:firstLine="420"/>
    </w:pPr>
  </w:style>
  <w:style w:type="paragraph" w:styleId="4">
    <w:name w:val="Document Map"/>
    <w:basedOn w:val="1"/>
    <w:link w:val="51"/>
    <w:semiHidden/>
    <w:unhideWhenUsed/>
    <w:locked/>
    <w:uiPriority w:val="99"/>
    <w:rPr>
      <w:rFonts w:ascii="宋体"/>
      <w:sz w:val="18"/>
      <w:szCs w:val="18"/>
    </w:rPr>
  </w:style>
  <w:style w:type="paragraph" w:styleId="5">
    <w:name w:val="annotation text"/>
    <w:basedOn w:val="1"/>
    <w:link w:val="23"/>
    <w:qFormat/>
    <w:uiPriority w:val="99"/>
    <w:pPr>
      <w:jc w:val="left"/>
    </w:pPr>
    <w:rPr>
      <w:sz w:val="24"/>
      <w:szCs w:val="20"/>
    </w:rPr>
  </w:style>
  <w:style w:type="paragraph" w:styleId="6">
    <w:name w:val="Body Text"/>
    <w:basedOn w:val="1"/>
    <w:link w:val="42"/>
    <w:unhideWhenUsed/>
    <w:qFormat/>
    <w:locked/>
    <w:uiPriority w:val="99"/>
    <w:pPr>
      <w:spacing w:after="120"/>
    </w:pPr>
  </w:style>
  <w:style w:type="paragraph" w:styleId="7">
    <w:name w:val="Body Text Indent"/>
    <w:basedOn w:val="1"/>
    <w:link w:val="24"/>
    <w:qFormat/>
    <w:uiPriority w:val="99"/>
    <w:pPr>
      <w:ind w:firstLine="575" w:firstLineChars="274"/>
    </w:pPr>
    <w:rPr>
      <w:rFonts w:ascii="等线" w:eastAsia="等线"/>
      <w:sz w:val="22"/>
      <w:szCs w:val="20"/>
    </w:rPr>
  </w:style>
  <w:style w:type="paragraph" w:styleId="8">
    <w:name w:val="Block Text"/>
    <w:basedOn w:val="1"/>
    <w:unhideWhenUsed/>
    <w:qFormat/>
    <w:locked/>
    <w:uiPriority w:val="99"/>
    <w:pPr>
      <w:spacing w:after="120"/>
      <w:ind w:left="1440" w:leftChars="700" w:right="1440" w:rightChars="700"/>
    </w:pPr>
  </w:style>
  <w:style w:type="paragraph" w:styleId="9">
    <w:name w:val="index 4"/>
    <w:basedOn w:val="1"/>
    <w:next w:val="1"/>
    <w:qFormat/>
    <w:uiPriority w:val="99"/>
    <w:pPr>
      <w:ind w:left="600" w:leftChars="600"/>
    </w:pPr>
    <w:rPr>
      <w:rFonts w:ascii="Verdana" w:hAnsi="Verdana"/>
    </w:rPr>
  </w:style>
  <w:style w:type="paragraph" w:styleId="10">
    <w:name w:val="Plain Text"/>
    <w:basedOn w:val="1"/>
    <w:link w:val="25"/>
    <w:qFormat/>
    <w:uiPriority w:val="0"/>
    <w:rPr>
      <w:rFonts w:ascii="宋体" w:hAnsi="Courier New"/>
      <w:szCs w:val="20"/>
    </w:rPr>
  </w:style>
  <w:style w:type="paragraph" w:styleId="11">
    <w:name w:val="Date"/>
    <w:basedOn w:val="1"/>
    <w:next w:val="1"/>
    <w:link w:val="26"/>
    <w:qFormat/>
    <w:uiPriority w:val="99"/>
    <w:pPr>
      <w:ind w:left="100" w:leftChars="2500"/>
    </w:pPr>
    <w:rPr>
      <w:sz w:val="24"/>
      <w:szCs w:val="20"/>
    </w:rPr>
  </w:style>
  <w:style w:type="paragraph" w:styleId="12">
    <w:name w:val="Balloon Text"/>
    <w:basedOn w:val="1"/>
    <w:link w:val="27"/>
    <w:semiHidden/>
    <w:qFormat/>
    <w:uiPriority w:val="99"/>
    <w:rPr>
      <w:kern w:val="0"/>
      <w:sz w:val="2"/>
      <w:szCs w:val="20"/>
    </w:rPr>
  </w:style>
  <w:style w:type="paragraph" w:styleId="13">
    <w:name w:val="footer"/>
    <w:basedOn w:val="1"/>
    <w:link w:val="28"/>
    <w:qFormat/>
    <w:uiPriority w:val="99"/>
    <w:pPr>
      <w:tabs>
        <w:tab w:val="center" w:pos="4153"/>
        <w:tab w:val="right" w:pos="8306"/>
      </w:tabs>
      <w:snapToGrid w:val="0"/>
      <w:jc w:val="left"/>
    </w:pPr>
    <w:rPr>
      <w:kern w:val="0"/>
      <w:sz w:val="18"/>
      <w:szCs w:val="18"/>
    </w:rPr>
  </w:style>
  <w:style w:type="paragraph" w:styleId="14">
    <w:name w:val="header"/>
    <w:basedOn w:val="1"/>
    <w:link w:val="29"/>
    <w:qFormat/>
    <w:uiPriority w:val="99"/>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5"/>
    <w:next w:val="5"/>
    <w:link w:val="30"/>
    <w:qFormat/>
    <w:uiPriority w:val="99"/>
    <w:rPr>
      <w:b/>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qFormat/>
    <w:uiPriority w:val="99"/>
    <w:rPr>
      <w:rFonts w:cs="Times New Roman"/>
      <w:color w:val="0563C1"/>
      <w:u w:val="single"/>
    </w:rPr>
  </w:style>
  <w:style w:type="character" w:styleId="21">
    <w:name w:val="annotation reference"/>
    <w:basedOn w:val="19"/>
    <w:qFormat/>
    <w:uiPriority w:val="99"/>
    <w:rPr>
      <w:rFonts w:cs="Times New Roman"/>
      <w:sz w:val="21"/>
    </w:rPr>
  </w:style>
  <w:style w:type="character" w:customStyle="1" w:styleId="22">
    <w:name w:val="标题 1 字符"/>
    <w:link w:val="3"/>
    <w:qFormat/>
    <w:locked/>
    <w:uiPriority w:val="99"/>
    <w:rPr>
      <w:rFonts w:cs="Times New Roman"/>
      <w:b/>
      <w:kern w:val="44"/>
      <w:sz w:val="44"/>
    </w:rPr>
  </w:style>
  <w:style w:type="character" w:customStyle="1" w:styleId="23">
    <w:name w:val="批注文字 字符"/>
    <w:link w:val="5"/>
    <w:qFormat/>
    <w:locked/>
    <w:uiPriority w:val="99"/>
    <w:rPr>
      <w:rFonts w:cs="Times New Roman"/>
      <w:kern w:val="2"/>
      <w:sz w:val="24"/>
    </w:rPr>
  </w:style>
  <w:style w:type="character" w:customStyle="1" w:styleId="24">
    <w:name w:val="正文文本缩进 字符"/>
    <w:link w:val="7"/>
    <w:qFormat/>
    <w:locked/>
    <w:uiPriority w:val="99"/>
    <w:rPr>
      <w:rFonts w:ascii="等线" w:eastAsia="等线" w:cs="Times New Roman"/>
      <w:kern w:val="2"/>
      <w:sz w:val="22"/>
    </w:rPr>
  </w:style>
  <w:style w:type="character" w:customStyle="1" w:styleId="25">
    <w:name w:val="纯文本 字符"/>
    <w:link w:val="10"/>
    <w:qFormat/>
    <w:locked/>
    <w:uiPriority w:val="0"/>
    <w:rPr>
      <w:rFonts w:ascii="宋体" w:hAnsi="Courier New" w:cs="Times New Roman"/>
      <w:kern w:val="2"/>
      <w:sz w:val="21"/>
    </w:rPr>
  </w:style>
  <w:style w:type="character" w:customStyle="1" w:styleId="26">
    <w:name w:val="日期 字符"/>
    <w:link w:val="11"/>
    <w:qFormat/>
    <w:locked/>
    <w:uiPriority w:val="99"/>
    <w:rPr>
      <w:rFonts w:cs="Times New Roman"/>
      <w:kern w:val="2"/>
      <w:sz w:val="24"/>
    </w:rPr>
  </w:style>
  <w:style w:type="character" w:customStyle="1" w:styleId="27">
    <w:name w:val="批注框文本 字符"/>
    <w:link w:val="12"/>
    <w:semiHidden/>
    <w:qFormat/>
    <w:locked/>
    <w:uiPriority w:val="99"/>
    <w:rPr>
      <w:rFonts w:cs="Times New Roman"/>
      <w:sz w:val="2"/>
    </w:rPr>
  </w:style>
  <w:style w:type="character" w:customStyle="1" w:styleId="28">
    <w:name w:val="页脚 字符"/>
    <w:link w:val="13"/>
    <w:semiHidden/>
    <w:qFormat/>
    <w:locked/>
    <w:uiPriority w:val="99"/>
    <w:rPr>
      <w:rFonts w:cs="Times New Roman"/>
      <w:sz w:val="18"/>
      <w:szCs w:val="18"/>
    </w:rPr>
  </w:style>
  <w:style w:type="character" w:customStyle="1" w:styleId="29">
    <w:name w:val="页眉 字符"/>
    <w:link w:val="14"/>
    <w:qFormat/>
    <w:locked/>
    <w:uiPriority w:val="99"/>
    <w:rPr>
      <w:rFonts w:cs="Times New Roman"/>
      <w:kern w:val="2"/>
      <w:sz w:val="18"/>
    </w:rPr>
  </w:style>
  <w:style w:type="character" w:customStyle="1" w:styleId="30">
    <w:name w:val="批注主题 字符"/>
    <w:link w:val="16"/>
    <w:qFormat/>
    <w:locked/>
    <w:uiPriority w:val="99"/>
    <w:rPr>
      <w:rFonts w:cs="Times New Roman"/>
      <w:b/>
      <w:kern w:val="2"/>
      <w:sz w:val="24"/>
    </w:rPr>
  </w:style>
  <w:style w:type="paragraph" w:customStyle="1" w:styleId="31">
    <w:name w:val="Char"/>
    <w:basedOn w:val="1"/>
    <w:qFormat/>
    <w:uiPriority w:val="99"/>
    <w:pPr>
      <w:tabs>
        <w:tab w:val="left" w:pos="360"/>
      </w:tabs>
    </w:pPr>
    <w:rPr>
      <w:sz w:val="24"/>
    </w:rPr>
  </w:style>
  <w:style w:type="character" w:customStyle="1" w:styleId="32">
    <w:name w:val="列表段落 字符"/>
    <w:link w:val="33"/>
    <w:qFormat/>
    <w:locked/>
    <w:uiPriority w:val="0"/>
  </w:style>
  <w:style w:type="paragraph" w:styleId="33">
    <w:name w:val="List Paragraph"/>
    <w:basedOn w:val="1"/>
    <w:link w:val="32"/>
    <w:qFormat/>
    <w:uiPriority w:val="34"/>
    <w:pPr>
      <w:widowControl/>
      <w:ind w:firstLine="420" w:firstLineChars="200"/>
      <w:jc w:val="left"/>
    </w:pPr>
    <w:rPr>
      <w:kern w:val="0"/>
      <w:sz w:val="20"/>
      <w:szCs w:val="20"/>
    </w:rPr>
  </w:style>
  <w:style w:type="table" w:customStyle="1" w:styleId="34">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laceholder Text"/>
    <w:semiHidden/>
    <w:qFormat/>
    <w:uiPriority w:val="99"/>
    <w:rPr>
      <w:rFonts w:cs="Times New Roman"/>
      <w:color w:val="808080"/>
    </w:rPr>
  </w:style>
  <w:style w:type="paragraph" w:customStyle="1" w:styleId="36">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7">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8">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9">
    <w:name w:val="列出段落2"/>
    <w:basedOn w:val="1"/>
    <w:qFormat/>
    <w:uiPriority w:val="99"/>
    <w:pPr>
      <w:ind w:firstLine="420" w:firstLineChars="200"/>
    </w:pPr>
    <w:rPr>
      <w:rFonts w:ascii="Calibri" w:hAnsi="Calibri"/>
      <w:szCs w:val="22"/>
    </w:rPr>
  </w:style>
  <w:style w:type="character" w:customStyle="1" w:styleId="40">
    <w:name w:val="标题 2 Char Char Char"/>
    <w:qFormat/>
    <w:uiPriority w:val="99"/>
    <w:rPr>
      <w:rFonts w:ascii="Arial" w:hAnsi="Arial" w:eastAsia="黑体"/>
      <w:b/>
      <w:kern w:val="2"/>
      <w:sz w:val="32"/>
      <w:lang w:val="en-US" w:eastAsia="zh-CN"/>
    </w:rPr>
  </w:style>
  <w:style w:type="paragraph" w:customStyle="1" w:styleId="41">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2">
    <w:name w:val="正文文本 字符"/>
    <w:link w:val="6"/>
    <w:qFormat/>
    <w:uiPriority w:val="99"/>
    <w:rPr>
      <w:kern w:val="2"/>
      <w:sz w:val="21"/>
      <w:szCs w:val="24"/>
    </w:rPr>
  </w:style>
  <w:style w:type="paragraph" w:customStyle="1" w:styleId="43">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4">
    <w:name w:val="正文2"/>
    <w:basedOn w:val="1"/>
    <w:qFormat/>
    <w:uiPriority w:val="0"/>
    <w:pPr>
      <w:spacing w:before="156" w:line="360" w:lineRule="auto"/>
      <w:ind w:firstLine="510" w:firstLineChars="200"/>
    </w:pPr>
    <w:rPr>
      <w:sz w:val="24"/>
    </w:rPr>
  </w:style>
  <w:style w:type="paragraph" w:customStyle="1" w:styleId="45">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6">
    <w:name w:val="A9"/>
    <w:qFormat/>
    <w:uiPriority w:val="0"/>
    <w:rPr>
      <w:rFonts w:cs="PSFEIH+StoneSans"/>
      <w:color w:val="262424"/>
      <w:sz w:val="20"/>
      <w:szCs w:val="20"/>
    </w:rPr>
  </w:style>
  <w:style w:type="paragraph" w:customStyle="1" w:styleId="47">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8">
    <w:name w:val="A14"/>
    <w:qFormat/>
    <w:uiPriority w:val="99"/>
    <w:rPr>
      <w:rFonts w:cs="Open Sans Light"/>
      <w:color w:val="FFFFFF"/>
      <w:sz w:val="13"/>
      <w:szCs w:val="13"/>
    </w:rPr>
  </w:style>
  <w:style w:type="paragraph" w:customStyle="1" w:styleId="49">
    <w:name w:val="表格文字"/>
    <w:basedOn w:val="1"/>
    <w:next w:val="6"/>
    <w:qFormat/>
    <w:uiPriority w:val="0"/>
    <w:rPr>
      <w:sz w:val="24"/>
    </w:rPr>
  </w:style>
  <w:style w:type="paragraph" w:customStyle="1" w:styleId="5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51">
    <w:name w:val="文档结构图 字符"/>
    <w:basedOn w:val="19"/>
    <w:link w:val="4"/>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013210-393C-204E-A99D-5E322F718B7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23</Pages>
  <Words>2199</Words>
  <Characters>12538</Characters>
  <Lines>104</Lines>
  <Paragraphs>29</Paragraphs>
  <TotalTime>7</TotalTime>
  <ScaleCrop>false</ScaleCrop>
  <LinksUpToDate>false</LinksUpToDate>
  <CharactersWithSpaces>14708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2020-07-19T08:42:00Z</dcterms:created>
  <dc:creator>微软用户</dc:creator>
  <cp:lastModifiedBy>nxdlu</cp:lastModifiedBy>
  <cp:lastPrinted>2019-11-22T01:53:00Z</cp:lastPrinted>
  <dcterms:modified xsi:type="dcterms:W3CDTF">2020-07-23T07:24:10Z</dcterms:modified>
  <dc:title>淮海工学院A8-10号楼学生宿舍家具招标书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