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szCs w:val="44"/>
          <w:highlight w:val="none"/>
        </w:rPr>
      </w:pPr>
      <w:bookmarkStart w:id="0" w:name="OLE_LINK1"/>
      <w:bookmarkStart w:id="1" w:name="OLE_LINK2"/>
      <w:r>
        <w:rPr>
          <w:b/>
          <w:color w:val="auto"/>
          <w:sz w:val="44"/>
          <w:szCs w:val="44"/>
          <w:highlight w:val="none"/>
        </w:rPr>
        <w:t>南京信息工程大学</w:t>
      </w:r>
      <w:bookmarkEnd w:id="0"/>
      <w:bookmarkEnd w:id="1"/>
      <w:bookmarkStart w:id="2" w:name="_Hlk19539886"/>
      <w:r>
        <w:rPr>
          <w:rFonts w:hint="eastAsia"/>
          <w:b/>
          <w:color w:val="auto"/>
          <w:sz w:val="44"/>
          <w:szCs w:val="44"/>
          <w:highlight w:val="none"/>
        </w:rPr>
        <w:t>45通道脑机信号采集系统采购</w:t>
      </w:r>
      <w:bookmarkEnd w:id="2"/>
      <w:r>
        <w:rPr>
          <w:b/>
          <w:color w:val="auto"/>
          <w:sz w:val="44"/>
          <w:szCs w:val="44"/>
          <w:highlight w:val="none"/>
        </w:rPr>
        <w:t>项目招标文件</w:t>
      </w:r>
    </w:p>
    <w:p>
      <w:pPr>
        <w:pStyle w:val="2"/>
        <w:ind w:left="1470" w:right="1470"/>
        <w:rPr>
          <w:color w:val="auto"/>
          <w:highlight w:val="none"/>
        </w:rPr>
      </w:pPr>
    </w:p>
    <w:p>
      <w:pPr>
        <w:adjustRightInd w:val="0"/>
        <w:snapToGrid w:val="0"/>
        <w:spacing w:line="360" w:lineRule="auto"/>
        <w:jc w:val="center"/>
        <w:rPr>
          <w:rFonts w:ascii="宋体" w:hAnsi="宋体" w:cs="仿宋"/>
          <w:color w:val="auto"/>
          <w:sz w:val="28"/>
          <w:szCs w:val="28"/>
          <w:highlight w:val="none"/>
        </w:rPr>
      </w:pPr>
      <w:r>
        <w:rPr>
          <w:rFonts w:hint="eastAsia" w:ascii="宋体" w:hAnsi="宋体" w:cs="仿宋"/>
          <w:color w:val="auto"/>
          <w:sz w:val="28"/>
          <w:szCs w:val="28"/>
          <w:highlight w:val="none"/>
        </w:rPr>
        <w:t>（招标编号：SBC202002</w:t>
      </w:r>
      <w:r>
        <w:rPr>
          <w:rFonts w:hint="eastAsia" w:ascii="宋体" w:hAnsi="宋体" w:cs="仿宋"/>
          <w:color w:val="auto"/>
          <w:sz w:val="28"/>
          <w:szCs w:val="28"/>
          <w:highlight w:val="none"/>
          <w:lang w:val="en-US" w:eastAsia="zh-CN"/>
        </w:rPr>
        <w:t>4</w:t>
      </w:r>
      <w:r>
        <w:rPr>
          <w:rFonts w:hint="eastAsia" w:ascii="宋体" w:hAnsi="宋体" w:cs="仿宋"/>
          <w:color w:val="auto"/>
          <w:sz w:val="28"/>
          <w:szCs w:val="28"/>
          <w:highlight w:val="none"/>
        </w:rPr>
        <w:t>）</w:t>
      </w:r>
    </w:p>
    <w:p>
      <w:pPr>
        <w:adjustRightInd w:val="0"/>
        <w:snapToGrid w:val="0"/>
        <w:spacing w:line="360" w:lineRule="auto"/>
        <w:jc w:val="center"/>
        <w:rPr>
          <w:rFonts w:ascii="宋体" w:cs="仿宋"/>
          <w:color w:val="auto"/>
          <w:sz w:val="28"/>
          <w:szCs w:val="28"/>
          <w:highlight w:val="none"/>
        </w:rPr>
      </w:pPr>
      <w:bookmarkStart w:id="12" w:name="_GoBack"/>
      <w:bookmarkEnd w:id="12"/>
    </w:p>
    <w:p>
      <w:pPr>
        <w:adjustRightInd w:val="0"/>
        <w:snapToGrid w:val="0"/>
        <w:spacing w:line="360" w:lineRule="auto"/>
        <w:jc w:val="center"/>
        <w:rPr>
          <w:b/>
          <w:color w:val="auto"/>
          <w:sz w:val="28"/>
          <w:szCs w:val="28"/>
          <w:highlight w:val="none"/>
        </w:rPr>
      </w:pPr>
      <w:r>
        <w:rPr>
          <w:rFonts w:ascii="宋体" w:hAnsi="宋体" w:cs="仿宋"/>
          <w:color w:val="auto"/>
          <w:sz w:val="28"/>
          <w:szCs w:val="28"/>
          <w:highlight w:val="none"/>
        </w:rPr>
        <w:t>(</w:t>
      </w:r>
      <w:r>
        <w:rPr>
          <w:rFonts w:ascii="宋体" w:hAnsi="宋体" w:cs="仿宋"/>
          <w:color w:val="auto"/>
          <w:sz w:val="28"/>
          <w:szCs w:val="28"/>
          <w:highlight w:val="none"/>
          <w:u w:val="single"/>
        </w:rPr>
        <w:t>20</w:t>
      </w:r>
      <w:r>
        <w:rPr>
          <w:rFonts w:hint="eastAsia" w:ascii="宋体" w:hAnsi="宋体" w:cs="仿宋"/>
          <w:color w:val="auto"/>
          <w:sz w:val="28"/>
          <w:szCs w:val="28"/>
          <w:highlight w:val="none"/>
          <w:u w:val="single"/>
        </w:rPr>
        <w:t>20年06月</w:t>
      </w:r>
      <w:r>
        <w:rPr>
          <w:rFonts w:hint="eastAsia" w:ascii="宋体" w:hAnsi="宋体" w:cs="仿宋"/>
          <w:color w:val="auto"/>
          <w:sz w:val="28"/>
          <w:szCs w:val="28"/>
          <w:highlight w:val="none"/>
          <w:u w:val="single"/>
          <w:lang w:val="en-US" w:eastAsia="zh-CN"/>
        </w:rPr>
        <w:t>16</w:t>
      </w:r>
      <w:r>
        <w:rPr>
          <w:rFonts w:hint="eastAsia" w:ascii="宋体" w:hAnsi="宋体" w:cs="仿宋"/>
          <w:color w:val="auto"/>
          <w:sz w:val="28"/>
          <w:szCs w:val="28"/>
          <w:highlight w:val="none"/>
          <w:u w:val="single"/>
        </w:rPr>
        <w:t>日</w:t>
      </w:r>
      <w:r>
        <w:rPr>
          <w:rFonts w:hint="eastAsia" w:ascii="宋体" w:hAnsi="宋体" w:cs="仿宋"/>
          <w:color w:val="auto"/>
          <w:sz w:val="28"/>
          <w:szCs w:val="28"/>
          <w:highlight w:val="none"/>
          <w:u w:val="single"/>
          <w:lang w:val="en-US" w:eastAsia="zh-CN"/>
        </w:rPr>
        <w:t>14</w:t>
      </w:r>
      <w:r>
        <w:rPr>
          <w:rFonts w:hint="eastAsia" w:ascii="宋体" w:hAnsi="宋体" w:cs="仿宋"/>
          <w:color w:val="auto"/>
          <w:sz w:val="28"/>
          <w:szCs w:val="28"/>
          <w:highlight w:val="none"/>
          <w:u w:val="single"/>
        </w:rPr>
        <w:t>：</w:t>
      </w:r>
      <w:r>
        <w:rPr>
          <w:rFonts w:ascii="宋体" w:cs="仿宋"/>
          <w:color w:val="auto"/>
          <w:sz w:val="28"/>
          <w:szCs w:val="28"/>
          <w:highlight w:val="none"/>
          <w:u w:val="single"/>
        </w:rPr>
        <w:t>00</w:t>
      </w:r>
      <w:r>
        <w:rPr>
          <w:rFonts w:hint="eastAsia" w:ascii="宋体" w:hAnsi="宋体" w:cs="仿宋"/>
          <w:color w:val="auto"/>
          <w:sz w:val="28"/>
          <w:szCs w:val="28"/>
          <w:highlight w:val="none"/>
          <w:u w:val="single"/>
        </w:rPr>
        <w:t>定标发标版</w:t>
      </w:r>
      <w:r>
        <w:rPr>
          <w:rFonts w:ascii="宋体" w:hAnsi="宋体" w:cs="仿宋"/>
          <w:color w:val="auto"/>
          <w:sz w:val="28"/>
          <w:szCs w:val="28"/>
          <w:highlight w:val="none"/>
        </w:rPr>
        <w:t>)</w:t>
      </w:r>
    </w:p>
    <w:p>
      <w:pPr>
        <w:spacing w:line="360" w:lineRule="auto"/>
        <w:ind w:firstLine="560" w:firstLineChars="200"/>
        <w:rPr>
          <w:rFonts w:ascii="宋体" w:hAnsi="宋体"/>
          <w:color w:val="auto"/>
          <w:sz w:val="28"/>
          <w:szCs w:val="28"/>
          <w:highlight w:val="none"/>
        </w:rPr>
      </w:pPr>
      <w:r>
        <w:rPr>
          <w:rFonts w:ascii="宋体" w:hAnsi="宋体"/>
          <w:color w:val="auto"/>
          <w:sz w:val="28"/>
          <w:szCs w:val="28"/>
          <w:highlight w:val="none"/>
        </w:rPr>
        <w:t>为满足学校相关</w:t>
      </w:r>
      <w:r>
        <w:rPr>
          <w:rFonts w:hint="eastAsia" w:ascii="宋体" w:hAnsi="宋体"/>
          <w:color w:val="auto"/>
          <w:sz w:val="28"/>
          <w:szCs w:val="28"/>
          <w:highlight w:val="none"/>
        </w:rPr>
        <w:t>教学</w:t>
      </w:r>
      <w:r>
        <w:rPr>
          <w:rFonts w:ascii="宋体" w:hAnsi="宋体"/>
          <w:color w:val="auto"/>
          <w:sz w:val="28"/>
          <w:szCs w:val="28"/>
          <w:highlight w:val="none"/>
        </w:rPr>
        <w:t>科研工作需要，受校实验室与设备管理处委托，就</w:t>
      </w:r>
      <w:r>
        <w:rPr>
          <w:rFonts w:hint="eastAsia" w:ascii="宋体" w:hAnsi="宋体"/>
          <w:color w:val="auto"/>
          <w:sz w:val="28"/>
          <w:szCs w:val="28"/>
          <w:highlight w:val="none"/>
        </w:rPr>
        <w:t>45通道脑机信号采集系统</w:t>
      </w:r>
      <w:r>
        <w:rPr>
          <w:rFonts w:hint="eastAsia" w:ascii="宋体" w:hAnsi="宋体" w:cs="仿宋"/>
          <w:color w:val="auto"/>
          <w:sz w:val="28"/>
          <w:szCs w:val="28"/>
          <w:highlight w:val="none"/>
        </w:rPr>
        <w:t>采购项目</w:t>
      </w:r>
      <w:r>
        <w:rPr>
          <w:rFonts w:ascii="宋体" w:hAnsi="宋体"/>
          <w:color w:val="auto"/>
          <w:sz w:val="28"/>
          <w:szCs w:val="28"/>
          <w:highlight w:val="none"/>
        </w:rPr>
        <w:t>进行公开招标，欢迎符合条件的供应商报名投标，现将有关情况说明如下：</w:t>
      </w:r>
    </w:p>
    <w:p>
      <w:pPr>
        <w:spacing w:line="360" w:lineRule="auto"/>
        <w:ind w:firstLine="480" w:firstLineChars="200"/>
        <w:rPr>
          <w:color w:val="auto"/>
          <w:sz w:val="24"/>
          <w:highlight w:val="none"/>
        </w:rPr>
      </w:pPr>
    </w:p>
    <w:p>
      <w:pPr>
        <w:pStyle w:val="31"/>
        <w:spacing w:line="360" w:lineRule="auto"/>
        <w:ind w:firstLine="0" w:firstLineChars="0"/>
        <w:jc w:val="center"/>
        <w:rPr>
          <w:rFonts w:ascii="宋体" w:hAnsi="宋体" w:cs="仿宋"/>
          <w:b/>
          <w:bCs/>
          <w:color w:val="auto"/>
          <w:kern w:val="2"/>
          <w:sz w:val="28"/>
          <w:szCs w:val="28"/>
          <w:highlight w:val="none"/>
        </w:rPr>
      </w:pPr>
      <w:r>
        <w:rPr>
          <w:rFonts w:hint="eastAsia" w:ascii="宋体" w:hAnsi="宋体" w:cs="仿宋"/>
          <w:b/>
          <w:bCs/>
          <w:color w:val="auto"/>
          <w:kern w:val="2"/>
          <w:sz w:val="28"/>
          <w:szCs w:val="28"/>
          <w:highlight w:val="none"/>
        </w:rPr>
        <w:t>一、招标项目名称及简要说明</w:t>
      </w:r>
    </w:p>
    <w:p>
      <w:pPr>
        <w:pStyle w:val="31"/>
        <w:spacing w:line="360" w:lineRule="auto"/>
        <w:ind w:firstLine="560"/>
        <w:rPr>
          <w:rFonts w:ascii="宋体" w:hAnsi="宋体"/>
          <w:color w:val="auto"/>
          <w:kern w:val="2"/>
          <w:sz w:val="28"/>
          <w:szCs w:val="28"/>
          <w:highlight w:val="none"/>
        </w:rPr>
      </w:pPr>
      <w:r>
        <w:rPr>
          <w:rFonts w:ascii="宋体" w:hAnsi="宋体"/>
          <w:color w:val="auto"/>
          <w:kern w:val="2"/>
          <w:sz w:val="28"/>
          <w:szCs w:val="28"/>
          <w:highlight w:val="none"/>
        </w:rPr>
        <w:t>1. 项目名称：南京信息工程大学</w:t>
      </w:r>
      <w:r>
        <w:rPr>
          <w:rFonts w:hint="eastAsia" w:ascii="宋体" w:hAnsi="宋体"/>
          <w:color w:val="auto"/>
          <w:sz w:val="28"/>
          <w:szCs w:val="28"/>
          <w:highlight w:val="none"/>
        </w:rPr>
        <w:t>45通道脑机信号采集系统</w:t>
      </w:r>
      <w:r>
        <w:rPr>
          <w:rFonts w:hint="eastAsia" w:ascii="宋体" w:hAnsi="宋体" w:cs="仿宋"/>
          <w:color w:val="auto"/>
          <w:sz w:val="28"/>
          <w:szCs w:val="28"/>
          <w:highlight w:val="none"/>
        </w:rPr>
        <w:t>采购项目</w:t>
      </w:r>
      <w:r>
        <w:rPr>
          <w:rFonts w:ascii="宋体" w:hAnsi="宋体"/>
          <w:color w:val="auto"/>
          <w:kern w:val="2"/>
          <w:sz w:val="28"/>
          <w:szCs w:val="28"/>
          <w:highlight w:val="none"/>
        </w:rPr>
        <w:t>。</w:t>
      </w:r>
    </w:p>
    <w:p>
      <w:pPr>
        <w:spacing w:line="360" w:lineRule="auto"/>
        <w:ind w:firstLine="560" w:firstLineChars="200"/>
        <w:rPr>
          <w:rFonts w:ascii="宋体" w:hAnsi="宋体"/>
          <w:color w:val="auto"/>
          <w:sz w:val="28"/>
          <w:szCs w:val="28"/>
          <w:highlight w:val="none"/>
        </w:rPr>
      </w:pPr>
      <w:r>
        <w:rPr>
          <w:rFonts w:ascii="宋体" w:hAnsi="宋体"/>
          <w:color w:val="auto"/>
          <w:sz w:val="28"/>
          <w:szCs w:val="28"/>
          <w:highlight w:val="none"/>
        </w:rPr>
        <w:t xml:space="preserve">2. </w:t>
      </w:r>
      <w:r>
        <w:rPr>
          <w:rFonts w:hint="eastAsia" w:ascii="宋体" w:hAnsi="宋体" w:cs="仿宋"/>
          <w:color w:val="auto"/>
          <w:sz w:val="28"/>
          <w:szCs w:val="28"/>
          <w:highlight w:val="none"/>
        </w:rPr>
        <w:t>项目说明：</w:t>
      </w:r>
      <w:r>
        <w:rPr>
          <w:rFonts w:hint="eastAsia" w:ascii="宋体" w:hAnsi="宋体"/>
          <w:color w:val="auto"/>
          <w:sz w:val="28"/>
          <w:szCs w:val="28"/>
          <w:highlight w:val="none"/>
        </w:rPr>
        <w:t>南京信息工程大学校内，本次招标</w:t>
      </w:r>
      <w:r>
        <w:rPr>
          <w:rFonts w:hint="eastAsia" w:ascii="宋体" w:hAnsi="宋体" w:cs="仿宋"/>
          <w:color w:val="auto"/>
          <w:sz w:val="28"/>
          <w:szCs w:val="28"/>
          <w:highlight w:val="none"/>
        </w:rPr>
        <w:t>项目必须由中标单位自行完成，严禁转包和擅自分包。否则我院有权单方面终止本合同的执行，并且中标人支付按合同价款20%的违约金，由此所造成的一切后果和经济损失均由中标人自行负责和承担。</w:t>
      </w:r>
    </w:p>
    <w:p>
      <w:pPr>
        <w:spacing w:line="360" w:lineRule="auto"/>
        <w:ind w:firstLine="570"/>
        <w:jc w:val="left"/>
        <w:rPr>
          <w:rFonts w:ascii="宋体"/>
          <w:color w:val="auto"/>
          <w:sz w:val="28"/>
          <w:szCs w:val="28"/>
          <w:highlight w:val="none"/>
        </w:rPr>
      </w:pPr>
      <w:r>
        <w:rPr>
          <w:rFonts w:ascii="宋体" w:hAnsi="宋体"/>
          <w:color w:val="auto"/>
          <w:sz w:val="28"/>
          <w:szCs w:val="28"/>
          <w:highlight w:val="none"/>
        </w:rPr>
        <w:t>3</w:t>
      </w:r>
      <w:bookmarkStart w:id="3" w:name="_Hlk9865971"/>
      <w:r>
        <w:rPr>
          <w:rFonts w:hint="eastAsia" w:ascii="宋体" w:hAnsi="宋体"/>
          <w:color w:val="auto"/>
          <w:sz w:val="28"/>
          <w:szCs w:val="28"/>
          <w:highlight w:val="none"/>
        </w:rPr>
        <w:t>.本次招标采取公开招标方式，不承诺最低价（最高价）中标。招标公告和中标公示信息均在</w:t>
      </w:r>
      <w:r>
        <w:rPr>
          <w:color w:val="auto"/>
          <w:highlight w:val="none"/>
        </w:rPr>
        <w:fldChar w:fldCharType="begin"/>
      </w:r>
      <w:r>
        <w:rPr>
          <w:color w:val="auto"/>
          <w:highlight w:val="none"/>
        </w:rPr>
        <w:instrText xml:space="preserve"> HYPERLINK "https://bulletin.nuist.edu.cn/779/list.htm" </w:instrText>
      </w:r>
      <w:r>
        <w:rPr>
          <w:color w:val="auto"/>
          <w:highlight w:val="none"/>
        </w:rPr>
        <w:fldChar w:fldCharType="separate"/>
      </w:r>
      <w:r>
        <w:rPr>
          <w:rStyle w:val="18"/>
          <w:b/>
          <w:color w:val="auto"/>
          <w:sz w:val="24"/>
          <w:highlight w:val="none"/>
        </w:rPr>
        <w:t>https://bulletin.nuist.edu.cn/779/lis</w:t>
      </w:r>
      <w:r>
        <w:rPr>
          <w:rStyle w:val="18"/>
          <w:color w:val="auto"/>
          <w:sz w:val="24"/>
          <w:highlight w:val="none"/>
        </w:rPr>
        <w:t>t.htm</w:t>
      </w:r>
      <w:r>
        <w:rPr>
          <w:rStyle w:val="18"/>
          <w:color w:val="auto"/>
          <w:sz w:val="24"/>
          <w:highlight w:val="none"/>
        </w:rPr>
        <w:fldChar w:fldCharType="end"/>
      </w:r>
      <w:r>
        <w:rPr>
          <w:rFonts w:hint="eastAsia" w:ascii="宋体" w:hAnsi="宋体"/>
          <w:color w:val="auto"/>
          <w:sz w:val="28"/>
          <w:szCs w:val="28"/>
          <w:highlight w:val="none"/>
        </w:rPr>
        <w:t>和</w:t>
      </w:r>
      <w:r>
        <w:rPr>
          <w:color w:val="auto"/>
          <w:highlight w:val="none"/>
        </w:rPr>
        <w:fldChar w:fldCharType="begin"/>
      </w:r>
      <w:r>
        <w:rPr>
          <w:color w:val="auto"/>
          <w:highlight w:val="none"/>
        </w:rPr>
        <w:instrText xml:space="preserve"> HYPERLINK "http://zbc.nuist.edu.cn" </w:instrText>
      </w:r>
      <w:r>
        <w:rPr>
          <w:color w:val="auto"/>
          <w:highlight w:val="none"/>
        </w:rPr>
        <w:fldChar w:fldCharType="separate"/>
      </w:r>
      <w:r>
        <w:rPr>
          <w:rFonts w:ascii="宋体" w:hAnsi="宋体"/>
          <w:b/>
          <w:color w:val="auto"/>
          <w:sz w:val="24"/>
          <w:szCs w:val="28"/>
          <w:highlight w:val="none"/>
        </w:rPr>
        <w:t>zbc.nuist.edu.cn</w:t>
      </w:r>
      <w:r>
        <w:rPr>
          <w:rFonts w:ascii="宋体" w:hAnsi="宋体"/>
          <w:b/>
          <w:color w:val="auto"/>
          <w:sz w:val="24"/>
          <w:szCs w:val="28"/>
          <w:highlight w:val="none"/>
        </w:rPr>
        <w:fldChar w:fldCharType="end"/>
      </w:r>
      <w:r>
        <w:rPr>
          <w:rFonts w:hint="eastAsia" w:ascii="宋体" w:hAnsi="宋体"/>
          <w:color w:val="auto"/>
          <w:sz w:val="28"/>
          <w:szCs w:val="28"/>
          <w:highlight w:val="none"/>
        </w:rPr>
        <w:t>网页上公开发布</w:t>
      </w:r>
      <w:r>
        <w:rPr>
          <w:rFonts w:ascii="宋体"/>
          <w:color w:val="auto"/>
          <w:sz w:val="28"/>
          <w:szCs w:val="28"/>
          <w:highlight w:val="none"/>
        </w:rPr>
        <w:t>,</w:t>
      </w:r>
      <w:r>
        <w:rPr>
          <w:rFonts w:hint="eastAsia" w:ascii="宋体" w:hAnsi="宋体"/>
          <w:color w:val="auto"/>
          <w:sz w:val="28"/>
          <w:szCs w:val="28"/>
          <w:highlight w:val="none"/>
        </w:rPr>
        <w:t>接受监督。欢迎社会招标机构和网站转载，转载信息与我校网站信息不一致时，以我校网站为准。</w:t>
      </w:r>
    </w:p>
    <w:bookmarkEnd w:id="3"/>
    <w:p>
      <w:pPr>
        <w:spacing w:line="360" w:lineRule="auto"/>
        <w:ind w:firstLine="570"/>
        <w:jc w:val="left"/>
        <w:rPr>
          <w:rFonts w:ascii="宋体" w:cs="宋体"/>
          <w:color w:val="auto"/>
          <w:sz w:val="28"/>
          <w:szCs w:val="28"/>
          <w:highlight w:val="none"/>
        </w:rPr>
      </w:pPr>
      <w:r>
        <w:rPr>
          <w:rFonts w:ascii="宋体" w:hAnsi="宋体"/>
          <w:color w:val="auto"/>
          <w:sz w:val="28"/>
          <w:szCs w:val="28"/>
          <w:highlight w:val="none"/>
        </w:rPr>
        <w:t>4</w:t>
      </w:r>
      <w:bookmarkStart w:id="4" w:name="_Hlk9866054"/>
      <w:r>
        <w:rPr>
          <w:rFonts w:hint="eastAsia" w:ascii="宋体" w:hAnsi="宋体"/>
          <w:color w:val="auto"/>
          <w:sz w:val="28"/>
          <w:szCs w:val="28"/>
          <w:highlight w:val="none"/>
        </w:rPr>
        <w:t>.招标文件由我校采购人、项目归口管理部门和财务处联合起草；经学校相关职能部门会审通过形成正式招标文件。同时</w:t>
      </w:r>
      <w:r>
        <w:rPr>
          <w:rFonts w:hint="eastAsia" w:ascii="宋体" w:hAnsi="宋体" w:cs="宋体"/>
          <w:color w:val="auto"/>
          <w:sz w:val="28"/>
          <w:szCs w:val="28"/>
          <w:highlight w:val="none"/>
        </w:rPr>
        <w:t>打印</w:t>
      </w:r>
      <w:r>
        <w:rPr>
          <w:rFonts w:ascii="宋体" w:hAnsi="宋体" w:cs="宋体"/>
          <w:color w:val="auto"/>
          <w:sz w:val="28"/>
          <w:szCs w:val="28"/>
          <w:highlight w:val="none"/>
        </w:rPr>
        <w:t>3</w:t>
      </w:r>
      <w:r>
        <w:rPr>
          <w:rFonts w:hint="eastAsia" w:ascii="宋体" w:hAnsi="宋体" w:cs="宋体"/>
          <w:color w:val="auto"/>
          <w:sz w:val="28"/>
          <w:szCs w:val="28"/>
          <w:highlight w:val="none"/>
        </w:rPr>
        <w:t>份纸质的正式招标文件，由财务处负责人和招标科工作人员同时签字并加盖财务处骑缝章后，分别交财务处、项目归口管理部门（或采购人）、审计处各</w:t>
      </w:r>
      <w:r>
        <w:rPr>
          <w:rFonts w:ascii="宋体" w:hAnsi="宋体" w:cs="宋体"/>
          <w:color w:val="auto"/>
          <w:sz w:val="28"/>
          <w:szCs w:val="28"/>
          <w:highlight w:val="none"/>
        </w:rPr>
        <w:t>1</w:t>
      </w:r>
      <w:r>
        <w:rPr>
          <w:rFonts w:hint="eastAsia" w:ascii="宋体" w:hAnsi="宋体" w:cs="宋体"/>
          <w:color w:val="auto"/>
          <w:sz w:val="28"/>
          <w:szCs w:val="28"/>
          <w:highlight w:val="none"/>
        </w:rPr>
        <w:t>份，作为相关部门存档、合同签订、项目竣工验收和决（结）算审计，以及处理纠纷等的依据。</w:t>
      </w:r>
    </w:p>
    <w:bookmarkEnd w:id="4"/>
    <w:p>
      <w:pPr>
        <w:spacing w:line="360" w:lineRule="auto"/>
        <w:ind w:firstLine="570"/>
        <w:jc w:val="left"/>
        <w:rPr>
          <w:rFonts w:ascii="宋体" w:hAnsi="宋体"/>
          <w:color w:val="auto"/>
          <w:sz w:val="28"/>
          <w:szCs w:val="28"/>
          <w:highlight w:val="none"/>
        </w:rPr>
      </w:pPr>
      <w:r>
        <w:rPr>
          <w:rFonts w:ascii="宋体" w:hAnsi="宋体"/>
          <w:color w:val="auto"/>
          <w:sz w:val="28"/>
          <w:szCs w:val="28"/>
          <w:highlight w:val="none"/>
        </w:rPr>
        <w:t>5.</w:t>
      </w:r>
      <w:r>
        <w:rPr>
          <w:rFonts w:hint="eastAsia" w:ascii="宋体" w:hAnsi="宋体"/>
          <w:color w:val="auto"/>
          <w:sz w:val="28"/>
          <w:szCs w:val="28"/>
          <w:highlight w:val="none"/>
        </w:rPr>
        <w:t>正式的答疑回复文件也按上述方式处理留存。</w:t>
      </w:r>
    </w:p>
    <w:p>
      <w:pPr>
        <w:pStyle w:val="39"/>
        <w:adjustRightInd w:val="0"/>
        <w:snapToGrid w:val="0"/>
        <w:spacing w:before="0" w:beforeAutospacing="0" w:after="0" w:afterAutospacing="0" w:line="360" w:lineRule="auto"/>
        <w:ind w:firstLine="560" w:firstLineChars="200"/>
        <w:rPr>
          <w:rFonts w:cs="Times New Roman"/>
          <w:color w:val="auto"/>
          <w:kern w:val="2"/>
          <w:sz w:val="28"/>
          <w:szCs w:val="28"/>
          <w:highlight w:val="none"/>
        </w:rPr>
      </w:pPr>
      <w:r>
        <w:rPr>
          <w:rFonts w:cs="Times New Roman"/>
          <w:color w:val="auto"/>
          <w:kern w:val="2"/>
          <w:sz w:val="28"/>
          <w:szCs w:val="28"/>
          <w:highlight w:val="none"/>
        </w:rPr>
        <w:t>6.</w:t>
      </w:r>
      <w:r>
        <w:rPr>
          <w:rFonts w:hint="eastAsia" w:cs="Times New Roman"/>
          <w:color w:val="auto"/>
          <w:kern w:val="2"/>
          <w:sz w:val="28"/>
          <w:szCs w:val="28"/>
          <w:highlight w:val="none"/>
        </w:rPr>
        <w:t>投标有效期：自开标之日起90天内投标有效。</w:t>
      </w:r>
    </w:p>
    <w:p>
      <w:pPr>
        <w:pStyle w:val="39"/>
        <w:adjustRightInd w:val="0"/>
        <w:snapToGrid w:val="0"/>
        <w:spacing w:before="0" w:beforeAutospacing="0" w:after="0" w:afterAutospacing="0" w:line="360" w:lineRule="auto"/>
        <w:ind w:firstLine="560" w:firstLineChars="200"/>
        <w:rPr>
          <w:rFonts w:cs="Times New Roman"/>
          <w:color w:val="auto"/>
          <w:sz w:val="28"/>
          <w:szCs w:val="28"/>
          <w:highlight w:val="none"/>
        </w:rPr>
      </w:pPr>
      <w:r>
        <w:rPr>
          <w:rFonts w:hint="eastAsia" w:cs="Times New Roman"/>
          <w:color w:val="auto"/>
          <w:kern w:val="2"/>
          <w:sz w:val="28"/>
          <w:szCs w:val="28"/>
          <w:highlight w:val="none"/>
        </w:rPr>
        <w:t>7.</w:t>
      </w:r>
      <w:r>
        <w:rPr>
          <w:rFonts w:hint="eastAsia" w:cs="Times New Roman"/>
          <w:color w:val="auto"/>
          <w:sz w:val="28"/>
          <w:szCs w:val="28"/>
          <w:highlight w:val="none"/>
        </w:rPr>
        <w:t>招标过程接受学校</w:t>
      </w:r>
      <w:r>
        <w:rPr>
          <w:rFonts w:hint="eastAsia" w:cs="Times New Roman"/>
          <w:color w:val="auto"/>
          <w:sz w:val="28"/>
          <w:szCs w:val="28"/>
          <w:highlight w:val="none"/>
          <w:lang w:val="en-US" w:eastAsia="zh-CN"/>
        </w:rPr>
        <w:t>纪检监察部门</w:t>
      </w:r>
      <w:r>
        <w:rPr>
          <w:rFonts w:hint="eastAsia" w:cs="Times New Roman"/>
          <w:color w:val="auto"/>
          <w:sz w:val="28"/>
          <w:szCs w:val="28"/>
          <w:highlight w:val="none"/>
        </w:rPr>
        <w:t>监督检查。</w:t>
      </w:r>
    </w:p>
    <w:p>
      <w:pPr>
        <w:adjustRightInd w:val="0"/>
        <w:snapToGrid w:val="0"/>
        <w:spacing w:before="312" w:beforeLines="100" w:after="312" w:afterLines="100" w:line="360" w:lineRule="auto"/>
        <w:jc w:val="center"/>
        <w:rPr>
          <w:rFonts w:ascii="宋体" w:cs="仿宋"/>
          <w:b/>
          <w:bCs/>
          <w:color w:val="auto"/>
          <w:sz w:val="28"/>
          <w:szCs w:val="28"/>
          <w:highlight w:val="none"/>
        </w:rPr>
      </w:pPr>
      <w:r>
        <w:rPr>
          <w:rFonts w:hint="eastAsia" w:ascii="宋体" w:hAnsi="宋体" w:cs="仿宋"/>
          <w:b/>
          <w:bCs/>
          <w:color w:val="auto"/>
          <w:sz w:val="28"/>
          <w:szCs w:val="28"/>
          <w:highlight w:val="none"/>
        </w:rPr>
        <w:t>二、对投标人及投标报价的要求</w:t>
      </w:r>
    </w:p>
    <w:p>
      <w:pPr>
        <w:snapToGrid w:val="0"/>
        <w:spacing w:line="360" w:lineRule="auto"/>
        <w:ind w:firstLine="540" w:firstLineChars="192"/>
        <w:rPr>
          <w:rFonts w:ascii="宋体" w:hAnsi="宋体"/>
          <w:b/>
          <w:color w:val="auto"/>
          <w:kern w:val="0"/>
          <w:sz w:val="28"/>
          <w:szCs w:val="28"/>
          <w:highlight w:val="none"/>
        </w:rPr>
      </w:pPr>
      <w:r>
        <w:rPr>
          <w:rFonts w:hint="eastAsia" w:ascii="宋体" w:hAnsi="宋体"/>
          <w:b/>
          <w:color w:val="auto"/>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color w:val="auto"/>
          <w:kern w:val="0"/>
          <w:sz w:val="28"/>
          <w:szCs w:val="28"/>
          <w:highlight w:val="none"/>
        </w:rPr>
      </w:pPr>
      <w:r>
        <w:rPr>
          <w:rFonts w:hint="eastAsia" w:ascii="宋体" w:hAnsi="宋体" w:cs="Arial"/>
          <w:color w:val="auto"/>
          <w:sz w:val="28"/>
          <w:szCs w:val="28"/>
          <w:highlight w:val="none"/>
        </w:rPr>
        <w:t>（一）参加政府采购的供应商应当具备政府采购法</w:t>
      </w:r>
      <w:r>
        <w:rPr>
          <w:rFonts w:ascii="宋体" w:hAnsi="宋体" w:cs="Arial"/>
          <w:color w:val="auto"/>
          <w:sz w:val="28"/>
          <w:szCs w:val="28"/>
          <w:highlight w:val="none"/>
        </w:rPr>
        <w:t>第二十二条</w:t>
      </w:r>
      <w:r>
        <w:rPr>
          <w:rFonts w:hint="eastAsia" w:ascii="宋体" w:hAnsi="宋体" w:cs="Arial"/>
          <w:color w:val="auto"/>
          <w:sz w:val="28"/>
          <w:szCs w:val="28"/>
          <w:highlight w:val="none"/>
        </w:rPr>
        <w:t>第一款</w:t>
      </w:r>
      <w:r>
        <w:rPr>
          <w:rFonts w:ascii="宋体" w:hAnsi="宋体" w:cs="Arial"/>
          <w:color w:val="auto"/>
          <w:sz w:val="28"/>
          <w:szCs w:val="28"/>
          <w:highlight w:val="none"/>
        </w:rPr>
        <w:t>规定</w:t>
      </w:r>
      <w:r>
        <w:rPr>
          <w:rFonts w:hint="eastAsia" w:ascii="宋体" w:hAnsi="宋体" w:cs="Arial"/>
          <w:color w:val="auto"/>
          <w:sz w:val="28"/>
          <w:szCs w:val="28"/>
          <w:highlight w:val="none"/>
        </w:rPr>
        <w:t>的条件，并依照政府采购法实施条例第十七条规定提供下列材料：</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s="Arial"/>
          <w:color w:val="auto"/>
          <w:sz w:val="28"/>
          <w:szCs w:val="28"/>
          <w:highlight w:val="none"/>
        </w:rPr>
        <w:t>1.具有独立承担民事责任的能力</w:t>
      </w:r>
      <w:r>
        <w:rPr>
          <w:rFonts w:hint="eastAsia" w:ascii="宋体" w:hAnsi="宋体"/>
          <w:color w:val="auto"/>
          <w:sz w:val="28"/>
          <w:szCs w:val="28"/>
          <w:highlight w:val="none"/>
        </w:rPr>
        <w:t>：须为独立法人企业，需提供企业法人营业执照；</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s="宋体"/>
          <w:color w:val="auto"/>
          <w:kern w:val="0"/>
          <w:sz w:val="28"/>
          <w:szCs w:val="28"/>
          <w:highlight w:val="none"/>
        </w:rPr>
        <w:t>2.具有良好的商业信誉和健全的财务会计制度</w:t>
      </w:r>
      <w:r>
        <w:rPr>
          <w:rFonts w:hint="eastAsia" w:ascii="宋体" w:hAnsi="宋体"/>
          <w:color w:val="auto"/>
          <w:sz w:val="28"/>
          <w:szCs w:val="28"/>
          <w:highlight w:val="none"/>
        </w:rPr>
        <w:t>：需提供参加本次投标活动前近六个月内（2019年12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s="宋体"/>
          <w:color w:val="auto"/>
          <w:kern w:val="0"/>
          <w:sz w:val="28"/>
          <w:szCs w:val="28"/>
          <w:highlight w:val="none"/>
        </w:rPr>
        <w:t>4.有依法缴纳税收和社会保障资金的良好记录</w:t>
      </w:r>
      <w:r>
        <w:rPr>
          <w:rFonts w:hint="eastAsia" w:ascii="宋体" w:hAnsi="宋体"/>
          <w:color w:val="auto"/>
          <w:sz w:val="28"/>
          <w:szCs w:val="28"/>
          <w:highlight w:val="none"/>
        </w:rPr>
        <w:t>：提供参加本次投标活动前近六个月内（2019年12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s="宋体"/>
          <w:color w:val="auto"/>
          <w:kern w:val="0"/>
          <w:sz w:val="28"/>
          <w:szCs w:val="28"/>
          <w:highlight w:val="none"/>
        </w:rPr>
        <w:t>5.参加政府采购活动前三年内，在经营活动中没有违法记录</w:t>
      </w:r>
      <w:r>
        <w:rPr>
          <w:rFonts w:hint="eastAsia" w:ascii="宋体" w:hAnsi="宋体"/>
          <w:color w:val="auto"/>
          <w:sz w:val="28"/>
          <w:szCs w:val="28"/>
          <w:highlight w:val="none"/>
        </w:rPr>
        <w:t>：需提供参加本次投标活动前3年内在经营活动中没有重大违法记录的书面声明；</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6.法律、行政法规规定的其他条件：无。</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（二）投标人不得存在下列情形之一</w:t>
      </w:r>
      <w:r>
        <w:rPr>
          <w:rFonts w:hint="eastAsia" w:ascii="宋体" w:hAnsi="宋体"/>
          <w:color w:val="auto"/>
          <w:sz w:val="28"/>
          <w:szCs w:val="28"/>
          <w:highlight w:val="none"/>
        </w:rPr>
        <w:t>（</w:t>
      </w:r>
      <w:r>
        <w:rPr>
          <w:rFonts w:hint="eastAsia" w:ascii="宋体" w:hAnsi="宋体"/>
          <w:b/>
          <w:color w:val="auto"/>
          <w:sz w:val="28"/>
          <w:szCs w:val="28"/>
          <w:highlight w:val="none"/>
        </w:rPr>
        <w:t>提供加盖投标人公章的承诺书）</w:t>
      </w:r>
      <w:r>
        <w:rPr>
          <w:rFonts w:hint="eastAsia" w:ascii="宋体" w:hAnsi="宋体" w:cs="宋体"/>
          <w:color w:val="auto"/>
          <w:kern w:val="0"/>
          <w:sz w:val="28"/>
          <w:szCs w:val="28"/>
          <w:highlight w:val="none"/>
        </w:rPr>
        <w:t>：</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（1）为招标人不具有独立法人资格的附属机构（单位）；</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（2）与招标人存在利害关系可能影响招标公正性的；</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（3）单位负责人为同一人或者存在控股、管理关系的不同单位；</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（5）投标人近3年内有行贿犯罪行为且被记录，或者法定代表人有行贿犯罪记录且自记录之日起未超过 5年的。</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（三）</w:t>
      </w:r>
      <w:r>
        <w:rPr>
          <w:rFonts w:hint="eastAsia" w:ascii="宋体" w:hAnsi="宋体" w:cs="宋体"/>
          <w:bCs/>
          <w:color w:val="auto"/>
          <w:kern w:val="0"/>
          <w:sz w:val="28"/>
          <w:szCs w:val="28"/>
          <w:highlight w:val="none"/>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color w:val="auto"/>
          <w:kern w:val="0"/>
          <w:sz w:val="28"/>
          <w:szCs w:val="28"/>
          <w:highlight w:val="none"/>
        </w:rPr>
      </w:pPr>
      <w:r>
        <w:rPr>
          <w:rFonts w:hint="eastAsia" w:ascii="宋体" w:hAnsi="宋体" w:cs="宋体"/>
          <w:color w:val="auto"/>
          <w:sz w:val="28"/>
          <w:szCs w:val="28"/>
          <w:highlight w:val="none"/>
        </w:rPr>
        <w:t>供应商被“信用中国”网站（www.creditchina.gov.cn）、“中国政府采购网”(www.ccgp.gov.cn)列入失信被执行人、重大税收违法案件当事人名单、政府采购严重违法失信行为记录名单</w:t>
      </w:r>
      <w:r>
        <w:rPr>
          <w:rFonts w:hint="eastAsia" w:ascii="宋体" w:hAnsi="宋体" w:cs="宋体"/>
          <w:b/>
          <w:color w:val="auto"/>
          <w:sz w:val="28"/>
          <w:szCs w:val="28"/>
          <w:highlight w:val="none"/>
        </w:rPr>
        <w:t>（提供本项目报名截止日后的网站截图并加盖单位公章）</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二、本项目采用资格后审法，唱标后，进行资格审定。</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三、投标人应按附件</w:t>
      </w:r>
      <w:r>
        <w:rPr>
          <w:rFonts w:ascii="宋体" w:hAnsi="宋体" w:cs="宋体"/>
          <w:color w:val="auto"/>
          <w:sz w:val="28"/>
          <w:szCs w:val="28"/>
          <w:highlight w:val="none"/>
        </w:rPr>
        <w:t>2</w:t>
      </w:r>
      <w:r>
        <w:rPr>
          <w:rFonts w:hint="eastAsia" w:ascii="宋体" w:hAnsi="宋体" w:cs="宋体"/>
          <w:color w:val="auto"/>
          <w:sz w:val="28"/>
          <w:szCs w:val="28"/>
          <w:highlight w:val="none"/>
        </w:rPr>
        <w:t>、附件</w:t>
      </w:r>
      <w:r>
        <w:rPr>
          <w:rFonts w:ascii="宋体" w:hAnsi="宋体" w:cs="宋体"/>
          <w:color w:val="auto"/>
          <w:sz w:val="28"/>
          <w:szCs w:val="28"/>
          <w:highlight w:val="none"/>
        </w:rPr>
        <w:t>3</w:t>
      </w:r>
      <w:r>
        <w:rPr>
          <w:rFonts w:hint="eastAsia" w:ascii="宋体" w:hAnsi="宋体" w:cs="宋体"/>
          <w:color w:val="auto"/>
          <w:sz w:val="28"/>
          <w:szCs w:val="28"/>
          <w:highlight w:val="none"/>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供方于</w:t>
      </w:r>
      <w:r>
        <w:rPr>
          <w:rFonts w:hint="eastAsia" w:ascii="宋体" w:hAnsi="宋体" w:cs="宋体"/>
          <w:color w:val="auto"/>
          <w:sz w:val="28"/>
          <w:szCs w:val="28"/>
          <w:highlight w:val="none"/>
          <w:lang w:val="en-US" w:eastAsia="zh-CN"/>
        </w:rPr>
        <w:t>合同生效后90天内</w:t>
      </w:r>
      <w:r>
        <w:rPr>
          <w:rFonts w:hint="eastAsia" w:ascii="宋体" w:hAnsi="宋体" w:cs="宋体"/>
          <w:color w:val="auto"/>
          <w:sz w:val="28"/>
          <w:szCs w:val="28"/>
          <w:highlight w:val="none"/>
        </w:rPr>
        <w:t>完成设备运输（含上、下力）、安装调试等，所有费用由供方承担，安装调试完毕后需方用户负责试用并签收。</w:t>
      </w:r>
    </w:p>
    <w:p>
      <w:pPr>
        <w:pStyle w:val="39"/>
        <w:adjustRightInd w:val="0"/>
        <w:snapToGrid w:val="0"/>
        <w:spacing w:before="0" w:beforeAutospacing="0" w:after="0" w:afterAutospacing="0" w:line="360" w:lineRule="auto"/>
        <w:ind w:firstLine="560" w:firstLineChars="200"/>
        <w:rPr>
          <w:color w:val="auto"/>
          <w:kern w:val="2"/>
          <w:sz w:val="28"/>
          <w:szCs w:val="28"/>
          <w:highlight w:val="none"/>
        </w:rPr>
      </w:pPr>
      <w:r>
        <w:rPr>
          <w:rFonts w:hint="eastAsia"/>
          <w:color w:val="auto"/>
          <w:kern w:val="2"/>
          <w:sz w:val="28"/>
          <w:szCs w:val="28"/>
          <w:highlight w:val="none"/>
        </w:rPr>
        <w:t>六、本项目预算价为27.00万元，本项目只接受人民币报价。</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七、进口货物的外贸代理公司由投标人（中标人）自行选择，代理费由投标人与所选外贸公司协商确定并含在报价中。我校协助办理入关、免税等相关证明材料手续。</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bookmarkStart w:id="5" w:name="_Hlk9866140"/>
      <w:r>
        <w:rPr>
          <w:rFonts w:hint="eastAsia" w:ascii="黑体" w:hAnsi="黑体" w:eastAsia="黑体" w:cs="宋体"/>
          <w:color w:val="auto"/>
          <w:sz w:val="28"/>
          <w:szCs w:val="28"/>
          <w:highlight w:val="none"/>
        </w:rPr>
        <w:t>三、对投标文件的要求</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投标文件一正四副，正、副本均须列出目录，内容不得有插行、涂抹、粘贴等，并打印装订成册。</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投标文件用档案袋密封，档案袋封面标明“正本”或“副本”字样，并注明招标编号、投标项目名称、投标人名称及投标人代表姓名、手机号码（务必留手机号码，不得留座机号码，以便</w:t>
      </w:r>
      <w:r>
        <w:rPr>
          <w:rFonts w:hint="eastAsia" w:ascii="宋体" w:hAnsi="宋体" w:cs="宋体"/>
          <w:color w:val="auto"/>
          <w:sz w:val="28"/>
          <w:szCs w:val="28"/>
          <w:highlight w:val="none"/>
          <w:lang w:val="en-US" w:eastAsia="zh-CN"/>
        </w:rPr>
        <w:t>联系</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为便于唱标和减少浪费，请将</w:t>
      </w:r>
      <w:r>
        <w:rPr>
          <w:rFonts w:ascii="宋体" w:hAnsi="宋体" w:cs="宋体"/>
          <w:color w:val="auto"/>
          <w:sz w:val="28"/>
          <w:szCs w:val="28"/>
          <w:highlight w:val="none"/>
        </w:rPr>
        <w:t>1</w:t>
      </w:r>
      <w:r>
        <w:rPr>
          <w:rFonts w:hint="eastAsia" w:ascii="宋体" w:hAnsi="宋体" w:cs="宋体"/>
          <w:color w:val="auto"/>
          <w:sz w:val="28"/>
          <w:szCs w:val="28"/>
          <w:highlight w:val="none"/>
        </w:rPr>
        <w:t>份正本单独封装，另外</w:t>
      </w:r>
      <w:r>
        <w:rPr>
          <w:rFonts w:ascii="宋体" w:hAnsi="宋体" w:cs="宋体"/>
          <w:color w:val="auto"/>
          <w:sz w:val="28"/>
          <w:szCs w:val="28"/>
          <w:highlight w:val="none"/>
        </w:rPr>
        <w:t>4</w:t>
      </w:r>
      <w:r>
        <w:rPr>
          <w:rFonts w:hint="eastAsia" w:ascii="宋体" w:hAnsi="宋体" w:cs="宋体"/>
          <w:color w:val="auto"/>
          <w:sz w:val="28"/>
          <w:szCs w:val="28"/>
          <w:highlight w:val="none"/>
        </w:rPr>
        <w:t>份副本可叠加封装在一个大的档案袋中（</w:t>
      </w:r>
      <w:r>
        <w:rPr>
          <w:rFonts w:ascii="宋体" w:hAnsi="宋体" w:cs="宋体"/>
          <w:color w:val="auto"/>
          <w:sz w:val="28"/>
          <w:szCs w:val="28"/>
          <w:highlight w:val="none"/>
        </w:rPr>
        <w:t>4</w:t>
      </w:r>
      <w:r>
        <w:rPr>
          <w:rFonts w:hint="eastAsia" w:ascii="宋体" w:hAnsi="宋体" w:cs="宋体"/>
          <w:color w:val="auto"/>
          <w:sz w:val="28"/>
          <w:szCs w:val="28"/>
          <w:highlight w:val="none"/>
        </w:rPr>
        <w:t>份副本无需分别封装在</w:t>
      </w:r>
      <w:r>
        <w:rPr>
          <w:rFonts w:ascii="宋体" w:hAnsi="宋体" w:cs="宋体"/>
          <w:color w:val="auto"/>
          <w:sz w:val="28"/>
          <w:szCs w:val="28"/>
          <w:highlight w:val="none"/>
        </w:rPr>
        <w:t>4</w:t>
      </w:r>
      <w:r>
        <w:rPr>
          <w:rFonts w:hint="eastAsia" w:ascii="宋体" w:hAnsi="宋体" w:cs="宋体"/>
          <w:color w:val="auto"/>
          <w:sz w:val="28"/>
          <w:szCs w:val="28"/>
          <w:highlight w:val="none"/>
        </w:rPr>
        <w:t>个档案袋中，一个大档案袋封装不下的除外）。每家投标人在送交投标文件时，只需交</w:t>
      </w:r>
      <w:r>
        <w:rPr>
          <w:rFonts w:ascii="宋体" w:hAnsi="宋体" w:cs="宋体"/>
          <w:color w:val="auto"/>
          <w:sz w:val="28"/>
          <w:szCs w:val="28"/>
          <w:highlight w:val="none"/>
        </w:rPr>
        <w:t>2</w:t>
      </w:r>
      <w:r>
        <w:rPr>
          <w:rFonts w:hint="eastAsia" w:ascii="宋体" w:hAnsi="宋体" w:cs="宋体"/>
          <w:color w:val="auto"/>
          <w:sz w:val="28"/>
          <w:szCs w:val="28"/>
          <w:highlight w:val="none"/>
        </w:rPr>
        <w:t>个档案袋即可，即</w:t>
      </w:r>
      <w:r>
        <w:rPr>
          <w:rFonts w:ascii="宋体" w:hAnsi="宋体" w:cs="宋体"/>
          <w:color w:val="auto"/>
          <w:sz w:val="28"/>
          <w:szCs w:val="28"/>
          <w:highlight w:val="none"/>
        </w:rPr>
        <w:t>1</w:t>
      </w:r>
      <w:r>
        <w:rPr>
          <w:rFonts w:hint="eastAsia" w:ascii="宋体" w:hAnsi="宋体" w:cs="宋体"/>
          <w:color w:val="auto"/>
          <w:sz w:val="28"/>
          <w:szCs w:val="28"/>
          <w:highlight w:val="none"/>
        </w:rPr>
        <w:t>个正本档案袋，</w:t>
      </w:r>
      <w:r>
        <w:rPr>
          <w:rFonts w:ascii="宋体" w:hAnsi="宋体" w:cs="宋体"/>
          <w:color w:val="auto"/>
          <w:sz w:val="28"/>
          <w:szCs w:val="28"/>
          <w:highlight w:val="none"/>
        </w:rPr>
        <w:t>1</w:t>
      </w:r>
      <w:r>
        <w:rPr>
          <w:rFonts w:hint="eastAsia" w:ascii="宋体" w:hAnsi="宋体" w:cs="宋体"/>
          <w:color w:val="auto"/>
          <w:sz w:val="28"/>
          <w:szCs w:val="28"/>
          <w:highlight w:val="none"/>
        </w:rPr>
        <w:t>个大的副本档案袋。</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投标文件应包含以下内容（所有材料必须加盖投标单位公章）：</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）经投标单位法人或委托代理人代表签字并加盖单位公章的投标函（附件</w:t>
      </w:r>
      <w:r>
        <w:rPr>
          <w:rFonts w:ascii="宋体" w:hAnsi="宋体" w:cs="宋体"/>
          <w:color w:val="auto"/>
          <w:sz w:val="28"/>
          <w:szCs w:val="28"/>
          <w:highlight w:val="none"/>
        </w:rPr>
        <w:t>2</w:t>
      </w:r>
      <w:r>
        <w:rPr>
          <w:rFonts w:hint="eastAsia" w:ascii="宋体" w:hAnsi="宋体" w:cs="宋体"/>
          <w:color w:val="auto"/>
          <w:sz w:val="28"/>
          <w:szCs w:val="28"/>
          <w:highlight w:val="none"/>
        </w:rPr>
        <w:t>格式，为便于唱标，此函件请务必放置在投标文件内页的第一页）；</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）投标价格明细表（附件</w:t>
      </w:r>
      <w:r>
        <w:rPr>
          <w:rFonts w:ascii="宋体" w:hAnsi="宋体" w:cs="宋体"/>
          <w:color w:val="auto"/>
          <w:sz w:val="28"/>
          <w:szCs w:val="28"/>
          <w:highlight w:val="none"/>
        </w:rPr>
        <w:t>3</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w:t>
      </w:r>
      <w:r>
        <w:rPr>
          <w:rFonts w:ascii="宋体" w:hAnsi="宋体" w:cs="宋体"/>
          <w:color w:val="auto"/>
          <w:sz w:val="28"/>
          <w:szCs w:val="28"/>
          <w:highlight w:val="none"/>
        </w:rPr>
        <w:t>300</w:t>
      </w:r>
      <w:r>
        <w:rPr>
          <w:rFonts w:hint="eastAsia" w:ascii="宋体" w:hAnsi="宋体" w:cs="宋体"/>
          <w:color w:val="auto"/>
          <w:sz w:val="28"/>
          <w:szCs w:val="28"/>
          <w:highlight w:val="none"/>
        </w:rPr>
        <w:t>元报名资料费银行转账回单（复印件）；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5</w:t>
      </w:r>
      <w:r>
        <w:rPr>
          <w:rFonts w:hint="eastAsia" w:ascii="宋体" w:hAnsi="宋体" w:cs="宋体"/>
          <w:color w:val="auto"/>
          <w:sz w:val="28"/>
          <w:szCs w:val="28"/>
          <w:highlight w:val="none"/>
        </w:rPr>
        <w:t>）授权委托书、被委托人身份证复印件；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6</w:t>
      </w:r>
      <w:r>
        <w:rPr>
          <w:rFonts w:hint="eastAsia" w:ascii="宋体" w:hAnsi="宋体" w:cs="宋体"/>
          <w:color w:val="auto"/>
          <w:sz w:val="28"/>
          <w:szCs w:val="28"/>
          <w:highlight w:val="none"/>
        </w:rPr>
        <w:t>）产品（或服务，下同）技术性能参数的详细描述一览表（投标文件在对投标标的物进行技术和商务描述时，必须完全按照招标文件附件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中的章节顺序依次逐条响应，不得颠倒顺序，不得有漏项，不得原封不动地引用招标文件附件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7</w:t>
      </w:r>
      <w:r>
        <w:rPr>
          <w:rFonts w:hint="eastAsia" w:ascii="宋体" w:hAnsi="宋体" w:cs="宋体"/>
          <w:color w:val="auto"/>
          <w:sz w:val="28"/>
          <w:szCs w:val="28"/>
          <w:highlight w:val="none"/>
        </w:rPr>
        <w:t>）产品技术和商务指标偏差表；</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8</w:t>
      </w:r>
      <w:r>
        <w:rPr>
          <w:rFonts w:hint="eastAsia" w:ascii="宋体" w:hAnsi="宋体" w:cs="宋体"/>
          <w:color w:val="auto"/>
          <w:sz w:val="28"/>
          <w:szCs w:val="28"/>
          <w:highlight w:val="none"/>
        </w:rPr>
        <w:t>）产品服务方案；</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9</w:t>
      </w:r>
      <w:r>
        <w:rPr>
          <w:rFonts w:hint="eastAsia" w:ascii="宋体" w:hAnsi="宋体" w:cs="宋体"/>
          <w:color w:val="auto"/>
          <w:sz w:val="28"/>
          <w:szCs w:val="28"/>
          <w:highlight w:val="none"/>
        </w:rPr>
        <w:t>）产品销售授权书或代理证书（如系代理公司的）；</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10)</w:t>
      </w:r>
      <w:r>
        <w:rPr>
          <w:rFonts w:hint="eastAsia" w:ascii="宋体" w:hAnsi="宋体" w:cs="宋体"/>
          <w:color w:val="auto"/>
          <w:sz w:val="28"/>
          <w:szCs w:val="28"/>
          <w:highlight w:val="none"/>
        </w:rPr>
        <w:t xml:space="preserve"> 产品质量、工期、安全、管理及售后服务承诺书；</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11</w:t>
      </w:r>
      <w:r>
        <w:rPr>
          <w:rFonts w:hint="eastAsia" w:ascii="宋体" w:hAnsi="宋体" w:cs="宋体"/>
          <w:color w:val="auto"/>
          <w:sz w:val="28"/>
          <w:szCs w:val="28"/>
          <w:highlight w:val="none"/>
        </w:rPr>
        <w:t>）产品质量检测报告、质保、认证等证书；</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12</w:t>
      </w:r>
      <w:r>
        <w:rPr>
          <w:rFonts w:hint="eastAsia" w:ascii="宋体" w:hAnsi="宋体" w:cs="宋体"/>
          <w:color w:val="auto"/>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13</w:t>
      </w:r>
      <w:r>
        <w:rPr>
          <w:rFonts w:hint="eastAsia" w:ascii="宋体" w:hAnsi="宋体" w:cs="宋体"/>
          <w:color w:val="auto"/>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14</w:t>
      </w:r>
      <w:r>
        <w:rPr>
          <w:rFonts w:hint="eastAsia" w:ascii="宋体" w:hAnsi="宋体" w:cs="宋体"/>
          <w:color w:val="auto"/>
          <w:sz w:val="28"/>
          <w:szCs w:val="28"/>
          <w:highlight w:val="none"/>
        </w:rPr>
        <w:t>）招标文件规定或投标人对照评标办法的得分因素以及附件</w:t>
      </w:r>
      <w:r>
        <w:rPr>
          <w:rFonts w:ascii="宋体" w:hAnsi="宋体" w:cs="宋体"/>
          <w:color w:val="auto"/>
          <w:sz w:val="28"/>
          <w:szCs w:val="28"/>
          <w:highlight w:val="none"/>
        </w:rPr>
        <w:t>1</w:t>
      </w:r>
      <w:r>
        <w:rPr>
          <w:rFonts w:hint="eastAsia" w:ascii="宋体" w:hAnsi="宋体" w:cs="宋体"/>
          <w:color w:val="auto"/>
          <w:sz w:val="28"/>
          <w:szCs w:val="28"/>
          <w:highlight w:val="none"/>
        </w:rPr>
        <w:t>相关要求认为应提交的其他资料和文件。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15</w:t>
      </w:r>
      <w:r>
        <w:rPr>
          <w:rFonts w:hint="eastAsia" w:ascii="宋体" w:hAnsi="宋体" w:cs="宋体"/>
          <w:color w:val="auto"/>
          <w:sz w:val="28"/>
          <w:szCs w:val="28"/>
          <w:highlight w:val="none"/>
        </w:rPr>
        <w:t>）</w:t>
      </w:r>
      <w:r>
        <w:rPr>
          <w:rFonts w:hint="eastAsia"/>
          <w:color w:val="auto"/>
          <w:sz w:val="28"/>
          <w:szCs w:val="28"/>
          <w:highlight w:val="none"/>
        </w:rPr>
        <w:t>投标人必须投本标书所有标段的设备，不允许分标段投标；标书中服务器标段必须满足所有参数要求，其余标段标</w:t>
      </w:r>
      <w:r>
        <w:rPr>
          <w:rFonts w:hint="eastAsia" w:ascii="宋体" w:hAnsi="宋体" w:cs="Arial"/>
          <w:color w:val="auto"/>
          <w:kern w:val="0"/>
          <w:sz w:val="18"/>
          <w:szCs w:val="18"/>
          <w:highlight w:val="none"/>
        </w:rPr>
        <w:t>★</w:t>
      </w:r>
      <w:r>
        <w:rPr>
          <w:rFonts w:hint="eastAsia"/>
          <w:color w:val="auto"/>
          <w:sz w:val="28"/>
          <w:szCs w:val="28"/>
          <w:highlight w:val="none"/>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投标人在投标文件中应承诺对如下内容已完全理解，如不承诺，视为认可：</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）在参与我校相关项目的招投标活动中，遵纪守法，诚信经营，公平竞争；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）不采取不正当手段诋毁、排挤其他投标人；</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5</w:t>
      </w:r>
      <w:r>
        <w:rPr>
          <w:rFonts w:hint="eastAsia" w:ascii="宋体" w:hAnsi="宋体" w:cs="宋体"/>
          <w:color w:val="auto"/>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6</w:t>
      </w:r>
      <w:r>
        <w:rPr>
          <w:rFonts w:hint="eastAsia" w:ascii="宋体" w:hAnsi="宋体" w:cs="宋体"/>
          <w:color w:val="auto"/>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7</w:t>
      </w:r>
      <w:r>
        <w:rPr>
          <w:rFonts w:hint="eastAsia" w:ascii="宋体" w:hAnsi="宋体" w:cs="宋体"/>
          <w:color w:val="auto"/>
          <w:sz w:val="28"/>
          <w:szCs w:val="28"/>
          <w:highlight w:val="none"/>
        </w:rPr>
        <w:t>）未能中标单位，本校对其原因不作解释；</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8</w:t>
      </w:r>
      <w:r>
        <w:rPr>
          <w:rFonts w:hint="eastAsia" w:ascii="宋体" w:hAnsi="宋体" w:cs="宋体"/>
          <w:color w:val="auto"/>
          <w:sz w:val="28"/>
          <w:szCs w:val="28"/>
          <w:highlight w:val="none"/>
        </w:rPr>
        <w:t>）投标单位对本文件其他内容已充分理解，并承诺一经中标即严格按合同执行，合同附件与合同有同等法律效力。</w:t>
      </w:r>
    </w:p>
    <w:bookmarkEnd w:id="5"/>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bookmarkStart w:id="6" w:name="_Hlk9866206"/>
      <w:r>
        <w:rPr>
          <w:rFonts w:hint="eastAsia" w:ascii="黑体" w:hAnsi="黑体" w:eastAsia="黑体" w:cs="宋体"/>
          <w:color w:val="auto"/>
          <w:sz w:val="28"/>
          <w:szCs w:val="28"/>
          <w:highlight w:val="none"/>
        </w:rPr>
        <w:t>四、开标程序</w:t>
      </w:r>
    </w:p>
    <w:bookmarkEnd w:id="6"/>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招标文件给出评标办法（见附件</w:t>
      </w:r>
      <w:r>
        <w:rPr>
          <w:rFonts w:ascii="宋体" w:hAnsi="宋体" w:cs="宋体"/>
          <w:color w:val="auto"/>
          <w:sz w:val="28"/>
          <w:szCs w:val="28"/>
          <w:highlight w:val="none"/>
        </w:rPr>
        <w:t>5</w:t>
      </w:r>
      <w:r>
        <w:rPr>
          <w:rFonts w:hint="eastAsia" w:ascii="宋体" w:hAnsi="宋体" w:cs="宋体"/>
          <w:color w:val="auto"/>
          <w:sz w:val="28"/>
          <w:szCs w:val="28"/>
          <w:highlight w:val="none"/>
        </w:rPr>
        <w:t>）</w:t>
      </w:r>
      <w:r>
        <w:rPr>
          <w:rFonts w:ascii="宋体" w:cs="宋体"/>
          <w:color w:val="auto"/>
          <w:sz w:val="28"/>
          <w:szCs w:val="28"/>
          <w:highlight w:val="none"/>
        </w:rPr>
        <w:t>,</w:t>
      </w:r>
      <w:r>
        <w:rPr>
          <w:rFonts w:hint="eastAsia" w:ascii="宋体" w:hAnsi="宋体" w:cs="宋体"/>
          <w:color w:val="auto"/>
          <w:sz w:val="28"/>
          <w:szCs w:val="28"/>
          <w:highlight w:val="none"/>
        </w:rPr>
        <w:t>供投标人和评标专家组参考。</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由财务处招标科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财务处工作人员在投标人的见证下唱标。投标人或投标人代表在唱标结果上签名确认。如投标人均未参加唱标，则由财务处工作人员和评标专家组组长、采购人代表共同签名确认。重要项目另请</w:t>
      </w:r>
      <w:r>
        <w:rPr>
          <w:rFonts w:hint="eastAsia" w:ascii="宋体" w:hAnsi="宋体" w:cs="宋体"/>
          <w:color w:val="auto"/>
          <w:sz w:val="28"/>
          <w:szCs w:val="28"/>
          <w:highlight w:val="none"/>
          <w:lang w:val="en-US" w:eastAsia="zh-CN"/>
        </w:rPr>
        <w:t>纪检监察部门</w:t>
      </w:r>
      <w:r>
        <w:rPr>
          <w:rFonts w:hint="eastAsia" w:ascii="宋体" w:hAnsi="宋体" w:cs="宋体"/>
          <w:color w:val="auto"/>
          <w:sz w:val="28"/>
          <w:szCs w:val="28"/>
          <w:highlight w:val="none"/>
        </w:rPr>
        <w:t>代表签字。</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color w:val="auto"/>
          <w:sz w:val="28"/>
          <w:szCs w:val="28"/>
          <w:highlight w:val="none"/>
        </w:rPr>
      </w:pPr>
      <w:r>
        <w:rPr>
          <w:rFonts w:hint="eastAsia" w:ascii="宋体" w:hAnsi="宋体" w:cs="宋体"/>
          <w:color w:val="auto"/>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）投标文件中的大写金额与小写金额不一致的，以大写金额为准；正本和副本不一致的，以正本为准。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财务处根据评标专家组综合排序，在学校网站和财务处招标科网站对拟中标单位进行公示。公示结束，无异议，确定中标单位。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五、无效投标</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投标文件出现下列情形的，将作为无效投标文件，不得进入评标：</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投标文件未按照招标文件的要求予以密封的；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投标文件少项漏项，或关键内容字迹模糊、无法辨认的；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有</w:t>
      </w:r>
      <w:r>
        <w:rPr>
          <w:rFonts w:ascii="宋体" w:hAnsi="宋体" w:cs="宋体"/>
          <w:color w:val="auto"/>
          <w:sz w:val="28"/>
          <w:szCs w:val="28"/>
          <w:highlight w:val="none"/>
        </w:rPr>
        <w:t>1</w:t>
      </w:r>
      <w:r>
        <w:rPr>
          <w:rFonts w:hint="eastAsia" w:ascii="宋体" w:hAnsi="宋体" w:cs="宋体"/>
          <w:color w:val="auto"/>
          <w:sz w:val="28"/>
          <w:szCs w:val="28"/>
          <w:highlight w:val="none"/>
        </w:rPr>
        <w:t>个核心指标或有</w:t>
      </w:r>
      <w:r>
        <w:rPr>
          <w:rFonts w:ascii="宋体" w:hAnsi="宋体" w:cs="宋体"/>
          <w:color w:val="auto"/>
          <w:sz w:val="28"/>
          <w:szCs w:val="28"/>
          <w:highlight w:val="none"/>
        </w:rPr>
        <w:t>5</w:t>
      </w:r>
      <w:r>
        <w:rPr>
          <w:rFonts w:hint="eastAsia" w:ascii="宋体" w:hAnsi="宋体" w:cs="宋体"/>
          <w:color w:val="auto"/>
          <w:sz w:val="28"/>
          <w:szCs w:val="28"/>
          <w:highlight w:val="none"/>
        </w:rPr>
        <w:t>个及以上非核心指标未能满足的；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技术指标响应内容未按照招标文件附件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中的章节、句段的；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8.</w:t>
      </w:r>
      <w:r>
        <w:rPr>
          <w:rFonts w:hint="eastAsia" w:ascii="宋体" w:hAnsi="宋体" w:cs="宋体"/>
          <w:color w:val="auto"/>
          <w:sz w:val="28"/>
          <w:szCs w:val="28"/>
          <w:highlight w:val="none"/>
        </w:rPr>
        <w:t>报价超过预算金额，或以人民币之外的币种报价的；</w:t>
      </w:r>
    </w:p>
    <w:p>
      <w:pPr>
        <w:spacing w:line="360" w:lineRule="auto"/>
        <w:ind w:firstLine="548" w:firstLineChars="196"/>
        <w:rPr>
          <w:rFonts w:ascii="宋体" w:hAnsi="宋体" w:cs="宋体"/>
          <w:b/>
          <w:color w:val="auto"/>
          <w:sz w:val="28"/>
          <w:szCs w:val="28"/>
          <w:highlight w:val="none"/>
        </w:rPr>
      </w:pPr>
      <w:r>
        <w:rPr>
          <w:rFonts w:ascii="宋体" w:hAnsi="宋体" w:cs="宋体"/>
          <w:color w:val="auto"/>
          <w:sz w:val="28"/>
          <w:szCs w:val="28"/>
          <w:highlight w:val="none"/>
        </w:rPr>
        <w:t>9.</w:t>
      </w:r>
      <w:r>
        <w:rPr>
          <w:rFonts w:hint="eastAsia" w:ascii="宋体" w:hAnsi="宋体" w:cs="宋体"/>
          <w:color w:val="auto"/>
          <w:sz w:val="28"/>
          <w:szCs w:val="28"/>
          <w:highlight w:val="none"/>
        </w:rPr>
        <w:t>无</w:t>
      </w:r>
      <w:r>
        <w:rPr>
          <w:rFonts w:ascii="宋体" w:hAnsi="宋体" w:cs="宋体"/>
          <w:color w:val="auto"/>
          <w:sz w:val="28"/>
          <w:szCs w:val="28"/>
          <w:highlight w:val="none"/>
        </w:rPr>
        <w:t>300</w:t>
      </w:r>
      <w:r>
        <w:rPr>
          <w:rFonts w:hint="eastAsia" w:ascii="宋体" w:hAnsi="宋体" w:cs="宋体"/>
          <w:color w:val="auto"/>
          <w:sz w:val="28"/>
          <w:szCs w:val="28"/>
          <w:highlight w:val="none"/>
        </w:rPr>
        <w:t>元报名资料费银行转账回单复印件的，或报名资料费银行转账回单中无</w:t>
      </w:r>
      <w:r>
        <w:rPr>
          <w:rFonts w:hint="eastAsia" w:ascii="宋体" w:hAnsi="宋体" w:cs="宋体"/>
          <w:b/>
          <w:color w:val="auto"/>
          <w:sz w:val="28"/>
          <w:szCs w:val="28"/>
          <w:highlight w:val="none"/>
        </w:rPr>
        <w:t>“</w:t>
      </w:r>
      <w:r>
        <w:rPr>
          <w:rFonts w:ascii="宋体" w:hAnsi="宋体" w:cs="宋体"/>
          <w:b/>
          <w:color w:val="auto"/>
          <w:sz w:val="28"/>
          <w:szCs w:val="28"/>
          <w:highlight w:val="none"/>
        </w:rPr>
        <w:t>SBC20</w:t>
      </w:r>
      <w:r>
        <w:rPr>
          <w:rFonts w:hint="eastAsia" w:ascii="宋体" w:hAnsi="宋体" w:cs="宋体"/>
          <w:b/>
          <w:color w:val="auto"/>
          <w:sz w:val="28"/>
          <w:szCs w:val="28"/>
          <w:highlight w:val="none"/>
        </w:rPr>
        <w:t>2002</w:t>
      </w:r>
      <w:r>
        <w:rPr>
          <w:rFonts w:hint="eastAsia" w:ascii="宋体" w:hAnsi="宋体" w:cs="宋体"/>
          <w:b/>
          <w:color w:val="auto"/>
          <w:sz w:val="28"/>
          <w:szCs w:val="28"/>
          <w:highlight w:val="none"/>
          <w:lang w:val="en-US" w:eastAsia="zh-CN"/>
        </w:rPr>
        <w:t>4</w:t>
      </w:r>
      <w:r>
        <w:rPr>
          <w:rFonts w:hint="eastAsia" w:ascii="宋体" w:hAnsi="宋体" w:cs="宋体"/>
          <w:b/>
          <w:color w:val="auto"/>
          <w:sz w:val="28"/>
          <w:szCs w:val="28"/>
          <w:highlight w:val="none"/>
        </w:rPr>
        <w:t>资料费”</w:t>
      </w:r>
      <w:r>
        <w:rPr>
          <w:rFonts w:hint="eastAsia" w:ascii="宋体" w:hAnsi="宋体" w:cs="宋体"/>
          <w:color w:val="auto"/>
          <w:sz w:val="28"/>
          <w:szCs w:val="28"/>
          <w:highlight w:val="none"/>
        </w:rPr>
        <w:t>字样的；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10.</w:t>
      </w:r>
      <w:r>
        <w:rPr>
          <w:rFonts w:hint="eastAsia" w:ascii="宋体" w:hAnsi="宋体" w:cs="宋体"/>
          <w:color w:val="auto"/>
          <w:sz w:val="28"/>
          <w:szCs w:val="28"/>
          <w:highlight w:val="none"/>
        </w:rPr>
        <w:t>招标文件中虽没明确，但经评标专家组讨论通过的符合无效投标情形的其他条件。</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六、评标办法</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本着“质量第一、价格合理、服务优异、保障有力”的原则，由采购人、项目归口管理部门和财务处从报价得分、技术得分、服务、业绩、信誉得分五个方面提出评标办法（见附件</w:t>
      </w:r>
      <w:r>
        <w:rPr>
          <w:rFonts w:ascii="宋体" w:hAnsi="宋体" w:cs="宋体"/>
          <w:color w:val="auto"/>
          <w:sz w:val="28"/>
          <w:szCs w:val="28"/>
          <w:highlight w:val="none"/>
        </w:rPr>
        <w:t>5</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为保证招标质量，在评标办法中设核心指标。每个分包的核心指标不超过</w:t>
      </w:r>
      <w:r>
        <w:rPr>
          <w:rFonts w:ascii="宋体" w:hAnsi="宋体" w:cs="宋体"/>
          <w:color w:val="auto"/>
          <w:sz w:val="28"/>
          <w:szCs w:val="28"/>
          <w:highlight w:val="none"/>
        </w:rPr>
        <w:t>5</w:t>
      </w:r>
      <w:r>
        <w:rPr>
          <w:rFonts w:hint="eastAsia" w:ascii="宋体" w:hAnsi="宋体" w:cs="宋体"/>
          <w:color w:val="auto"/>
          <w:sz w:val="28"/>
          <w:szCs w:val="28"/>
          <w:highlight w:val="none"/>
        </w:rPr>
        <w:t>个。</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七、合同、履约、验收及结算等事项</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合同：</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）中标公示结束无异议后</w:t>
      </w:r>
      <w:r>
        <w:rPr>
          <w:rFonts w:ascii="宋体" w:hAnsi="宋体" w:cs="宋体"/>
          <w:color w:val="auto"/>
          <w:sz w:val="28"/>
          <w:szCs w:val="28"/>
          <w:highlight w:val="none"/>
        </w:rPr>
        <w:t>5</w:t>
      </w:r>
      <w:r>
        <w:rPr>
          <w:rFonts w:hint="eastAsia" w:ascii="宋体" w:hAnsi="宋体" w:cs="宋体"/>
          <w:color w:val="auto"/>
          <w:sz w:val="28"/>
          <w:szCs w:val="28"/>
          <w:highlight w:val="none"/>
        </w:rPr>
        <w:t>个工作日内，中标单位须及时缴纳5</w:t>
      </w:r>
      <w:r>
        <w:rPr>
          <w:rFonts w:ascii="宋体" w:hAnsi="宋体" w:cs="宋体"/>
          <w:color w:val="auto"/>
          <w:sz w:val="28"/>
          <w:szCs w:val="28"/>
          <w:highlight w:val="none"/>
        </w:rPr>
        <w:t>000</w:t>
      </w:r>
      <w:r>
        <w:rPr>
          <w:rFonts w:hint="eastAsia" w:ascii="宋体" w:hAnsi="宋体" w:cs="宋体"/>
          <w:color w:val="auto"/>
          <w:sz w:val="28"/>
          <w:szCs w:val="28"/>
          <w:highlight w:val="none"/>
        </w:rPr>
        <w:t>元履约保证金并前来我校领取的《中标通知书》（一式二份）。</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）中标单位须在接《中标通知书》起</w:t>
      </w:r>
      <w:r>
        <w:rPr>
          <w:rFonts w:ascii="宋体" w:hAnsi="宋体" w:cs="宋体"/>
          <w:color w:val="auto"/>
          <w:sz w:val="28"/>
          <w:szCs w:val="28"/>
          <w:highlight w:val="none"/>
        </w:rPr>
        <w:t>7</w:t>
      </w:r>
      <w:r>
        <w:rPr>
          <w:rFonts w:hint="eastAsia" w:ascii="宋体" w:hAnsi="宋体" w:cs="宋体"/>
          <w:color w:val="auto"/>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服务地点：南京信息工程大学校内。</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付款方式：</w:t>
      </w:r>
    </w:p>
    <w:p>
      <w:pPr>
        <w:spacing w:line="360" w:lineRule="auto"/>
        <w:ind w:firstLine="548" w:firstLineChars="196"/>
        <w:rPr>
          <w:rFonts w:hint="eastAsia" w:ascii="宋体" w:hAnsi="宋体" w:cs="宋体"/>
          <w:color w:val="auto"/>
          <w:sz w:val="28"/>
          <w:szCs w:val="28"/>
          <w:highlight w:val="none"/>
        </w:rPr>
      </w:pPr>
      <w:r>
        <w:rPr>
          <w:rFonts w:hint="eastAsia" w:ascii="宋体" w:hAnsi="宋体" w:cs="宋体"/>
          <w:color w:val="auto"/>
          <w:sz w:val="28"/>
          <w:szCs w:val="28"/>
          <w:highlight w:val="none"/>
        </w:rPr>
        <w:t>针对国内供应货物，中标单位所供设备（或软件、服务）进场安装调试或服务工作完毕，经验收、检测合格后，提供全额税务发票，凭最终签字和盖章的验收合格报告，支付至合同价的95%，余5%作质保金，质保期满后并经有关单位确认无质量问题后，一次性支付完毕。具体内容以最终签署的合同约定为准。</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针对国外供应货物（进口货物），由外贸公司开具全额发票，外贸合同中采用100%信用证，90%见单即付，10%凭最终用户方签字和盖章的验收报告支付。</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资料费：</w:t>
      </w:r>
      <w:r>
        <w:rPr>
          <w:rFonts w:ascii="宋体" w:hAnsi="宋体" w:cs="宋体"/>
          <w:color w:val="auto"/>
          <w:sz w:val="28"/>
          <w:szCs w:val="28"/>
          <w:highlight w:val="none"/>
        </w:rPr>
        <w:t>300</w:t>
      </w:r>
      <w:r>
        <w:rPr>
          <w:rFonts w:hint="eastAsia" w:ascii="宋体" w:hAnsi="宋体" w:cs="宋体"/>
          <w:color w:val="auto"/>
          <w:sz w:val="28"/>
          <w:szCs w:val="28"/>
          <w:highlight w:val="none"/>
        </w:rPr>
        <w:t>元</w:t>
      </w:r>
      <w:r>
        <w:rPr>
          <w:rFonts w:ascii="宋体" w:hAnsi="宋体" w:cs="宋体"/>
          <w:color w:val="auto"/>
          <w:sz w:val="28"/>
          <w:szCs w:val="28"/>
          <w:highlight w:val="none"/>
        </w:rPr>
        <w:t>/</w:t>
      </w:r>
      <w:r>
        <w:rPr>
          <w:rFonts w:hint="eastAsia" w:ascii="宋体" w:hAnsi="宋体" w:cs="宋体"/>
          <w:color w:val="auto"/>
          <w:sz w:val="28"/>
          <w:szCs w:val="28"/>
          <w:highlight w:val="none"/>
        </w:rPr>
        <w:t>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）我校不接收现金或支付宝等方式交费。各投标人务必通过单位银行基本账户提前将资料费汇至我校以下账号：户名：南京信息工程大学；账号：</w:t>
      </w:r>
      <w:r>
        <w:rPr>
          <w:rFonts w:ascii="宋体" w:hAnsi="宋体" w:cs="宋体"/>
          <w:color w:val="auto"/>
          <w:sz w:val="28"/>
          <w:szCs w:val="28"/>
          <w:highlight w:val="none"/>
        </w:rPr>
        <w:t>10115401040000228</w:t>
      </w:r>
      <w:r>
        <w:rPr>
          <w:rFonts w:hint="eastAsia" w:ascii="宋体" w:hAnsi="宋体" w:cs="宋体"/>
          <w:color w:val="auto"/>
          <w:sz w:val="28"/>
          <w:szCs w:val="28"/>
          <w:highlight w:val="none"/>
        </w:rPr>
        <w:t>；开户银行：中国农业银行南京盘城支行。请各投标人务必在转账留言栏备注填写</w:t>
      </w:r>
      <w:r>
        <w:rPr>
          <w:rFonts w:hint="eastAsia" w:ascii="宋体" w:hAnsi="宋体" w:cs="宋体"/>
          <w:b/>
          <w:color w:val="auto"/>
          <w:sz w:val="28"/>
          <w:szCs w:val="28"/>
          <w:highlight w:val="none"/>
        </w:rPr>
        <w:t>“</w:t>
      </w:r>
      <w:r>
        <w:rPr>
          <w:rFonts w:ascii="宋体" w:hAnsi="宋体" w:cs="宋体"/>
          <w:b/>
          <w:color w:val="auto"/>
          <w:sz w:val="28"/>
          <w:szCs w:val="28"/>
          <w:highlight w:val="none"/>
        </w:rPr>
        <w:t>SBC20200</w:t>
      </w:r>
      <w:r>
        <w:rPr>
          <w:rFonts w:hint="eastAsia" w:ascii="宋体" w:hAnsi="宋体" w:cs="宋体"/>
          <w:b/>
          <w:color w:val="auto"/>
          <w:sz w:val="28"/>
          <w:szCs w:val="28"/>
          <w:highlight w:val="none"/>
        </w:rPr>
        <w:t>2</w:t>
      </w:r>
      <w:r>
        <w:rPr>
          <w:rFonts w:hint="eastAsia" w:ascii="宋体" w:hAnsi="宋体" w:cs="宋体"/>
          <w:b/>
          <w:color w:val="auto"/>
          <w:sz w:val="28"/>
          <w:szCs w:val="28"/>
          <w:highlight w:val="none"/>
          <w:lang w:val="en-US" w:eastAsia="zh-CN"/>
        </w:rPr>
        <w:t>4</w:t>
      </w:r>
      <w:r>
        <w:rPr>
          <w:rFonts w:hint="eastAsia" w:ascii="宋体" w:hAnsi="宋体" w:cs="宋体"/>
          <w:b/>
          <w:color w:val="auto"/>
          <w:sz w:val="28"/>
          <w:szCs w:val="28"/>
          <w:highlight w:val="none"/>
        </w:rPr>
        <w:t>资料费”</w:t>
      </w:r>
      <w:r>
        <w:rPr>
          <w:rFonts w:hint="eastAsia" w:ascii="宋体" w:hAnsi="宋体" w:cs="宋体"/>
          <w:color w:val="auto"/>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w:t>
      </w:r>
      <w:r>
        <w:rPr>
          <w:rFonts w:hint="eastAsia" w:ascii="宋体" w:hAnsi="宋体" w:cs="宋体"/>
          <w:b/>
          <w:bCs/>
          <w:color w:val="auto"/>
          <w:sz w:val="28"/>
          <w:szCs w:val="28"/>
          <w:highlight w:val="none"/>
        </w:rPr>
        <w:t>我校提供电子普通发票，招标科定期到财务结算中心对账（时间约半个月）。请投标单位在邮件报名时提供单位纳税人识别号，并确保联系人手机号及邮箱状态正常，以便接收电子发票信息。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履约保证金（或投标保证金）：</w:t>
      </w:r>
      <w:r>
        <w:rPr>
          <w:rFonts w:hint="eastAsia" w:ascii="宋体" w:hAnsi="宋体" w:cs="宋体"/>
          <w:color w:val="auto"/>
          <w:sz w:val="28"/>
          <w:szCs w:val="28"/>
          <w:highlight w:val="none"/>
          <w:u w:val="single"/>
        </w:rPr>
        <w:t>5</w:t>
      </w:r>
      <w:r>
        <w:rPr>
          <w:rFonts w:ascii="宋体" w:hAnsi="宋体" w:cs="宋体"/>
          <w:color w:val="auto"/>
          <w:sz w:val="28"/>
          <w:szCs w:val="28"/>
          <w:highlight w:val="none"/>
          <w:u w:val="single"/>
        </w:rPr>
        <w:t>000</w:t>
      </w:r>
      <w:r>
        <w:rPr>
          <w:rFonts w:hint="eastAsia" w:ascii="宋体" w:hAnsi="宋体" w:cs="宋体"/>
          <w:color w:val="auto"/>
          <w:sz w:val="28"/>
          <w:szCs w:val="28"/>
          <w:highlight w:val="none"/>
          <w:u w:val="single"/>
        </w:rPr>
        <w:t>元</w:t>
      </w:r>
      <w:r>
        <w:rPr>
          <w:rFonts w:hint="eastAsia" w:ascii="宋体" w:hAnsi="宋体" w:cs="宋体"/>
          <w:color w:val="auto"/>
          <w:sz w:val="28"/>
          <w:szCs w:val="28"/>
          <w:highlight w:val="none"/>
        </w:rPr>
        <w:t>整。</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财务处招标科领取中标通知书后再与采购单位签订供货和服务合同。5</w:t>
      </w:r>
      <w:r>
        <w:rPr>
          <w:rFonts w:ascii="宋体" w:hAnsi="宋体" w:cs="宋体"/>
          <w:color w:val="auto"/>
          <w:sz w:val="28"/>
          <w:szCs w:val="28"/>
          <w:highlight w:val="none"/>
        </w:rPr>
        <w:t>000</w:t>
      </w:r>
      <w:r>
        <w:rPr>
          <w:rFonts w:hint="eastAsia" w:ascii="宋体" w:hAnsi="宋体" w:cs="宋体"/>
          <w:color w:val="auto"/>
          <w:sz w:val="28"/>
          <w:szCs w:val="28"/>
          <w:highlight w:val="none"/>
        </w:rPr>
        <w:t>元履约保证金交款账号同</w:t>
      </w:r>
      <w:r>
        <w:rPr>
          <w:rFonts w:ascii="宋体" w:hAnsi="宋体" w:cs="宋体"/>
          <w:color w:val="auto"/>
          <w:sz w:val="28"/>
          <w:szCs w:val="28"/>
          <w:highlight w:val="none"/>
        </w:rPr>
        <w:t>300</w:t>
      </w:r>
      <w:r>
        <w:rPr>
          <w:rFonts w:hint="eastAsia" w:ascii="宋体" w:hAnsi="宋体" w:cs="宋体"/>
          <w:color w:val="auto"/>
          <w:sz w:val="28"/>
          <w:szCs w:val="28"/>
          <w:highlight w:val="none"/>
        </w:rPr>
        <w:t>元资料费。</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）履约保证金交退咨询：财务处结算中心（体育馆北面，南气宾馆东侧的大学生创业中心</w:t>
      </w:r>
      <w:r>
        <w:rPr>
          <w:rFonts w:ascii="宋体" w:hAnsi="宋体" w:cs="宋体"/>
          <w:color w:val="auto"/>
          <w:sz w:val="28"/>
          <w:szCs w:val="28"/>
          <w:highlight w:val="none"/>
        </w:rPr>
        <w:t>3</w:t>
      </w:r>
      <w:r>
        <w:rPr>
          <w:rFonts w:hint="eastAsia" w:ascii="宋体" w:hAnsi="宋体" w:cs="宋体"/>
          <w:color w:val="auto"/>
          <w:sz w:val="28"/>
          <w:szCs w:val="28"/>
          <w:highlight w:val="none"/>
        </w:rPr>
        <w:t>号楼二楼201）。</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）如中标单位有下列情况之一，不予退还履约保证金，我校将其列入招投标诚信“黑名单”，</w:t>
      </w:r>
      <w:r>
        <w:rPr>
          <w:rFonts w:ascii="宋体" w:hAnsi="宋体" w:cs="宋体"/>
          <w:color w:val="auto"/>
          <w:sz w:val="28"/>
          <w:szCs w:val="28"/>
          <w:highlight w:val="none"/>
        </w:rPr>
        <w:t>3</w:t>
      </w:r>
      <w:r>
        <w:rPr>
          <w:rFonts w:hint="eastAsia" w:ascii="宋体" w:hAnsi="宋体" w:cs="宋体"/>
          <w:color w:val="auto"/>
          <w:sz w:val="28"/>
          <w:szCs w:val="28"/>
          <w:highlight w:val="none"/>
        </w:rPr>
        <w:t>年内不得到我校从事任何投标活动。</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a.</w:t>
      </w:r>
      <w:r>
        <w:rPr>
          <w:rFonts w:hint="eastAsia" w:ascii="宋体" w:hAnsi="宋体" w:cs="宋体"/>
          <w:color w:val="auto"/>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b.</w:t>
      </w:r>
      <w:r>
        <w:rPr>
          <w:rFonts w:hint="eastAsia" w:ascii="宋体" w:hAnsi="宋体" w:cs="宋体"/>
          <w:color w:val="auto"/>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c.</w:t>
      </w:r>
      <w:r>
        <w:rPr>
          <w:rFonts w:hint="eastAsia" w:ascii="宋体" w:hAnsi="宋体" w:cs="宋体"/>
          <w:color w:val="auto"/>
          <w:sz w:val="28"/>
          <w:szCs w:val="28"/>
          <w:highlight w:val="none"/>
        </w:rPr>
        <w:t>出现其他不予退还履约保证金情形的。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验收：按学校验收规定执行，项目合同是验收的主要依据。</w:t>
      </w:r>
    </w:p>
    <w:p>
      <w:pPr>
        <w:widowControl/>
        <w:spacing w:line="360" w:lineRule="auto"/>
        <w:ind w:firstLine="560" w:firstLineChars="200"/>
        <w:textAlignment w:val="center"/>
        <w:rPr>
          <w:rFonts w:ascii="宋体" w:hAns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质保：参照附件4服务要求</w:t>
      </w:r>
    </w:p>
    <w:p>
      <w:pPr>
        <w:spacing w:before="312" w:beforeLines="100" w:after="312" w:afterLines="100" w:line="360" w:lineRule="auto"/>
        <w:jc w:val="center"/>
        <w:rPr>
          <w:rFonts w:ascii="黑体" w:hAnsi="黑体" w:eastAsia="黑体"/>
          <w:color w:val="auto"/>
          <w:sz w:val="28"/>
          <w:szCs w:val="28"/>
          <w:highlight w:val="none"/>
        </w:rPr>
      </w:pPr>
      <w:bookmarkStart w:id="7" w:name="_Hlk9866833"/>
      <w:r>
        <w:rPr>
          <w:rFonts w:hint="eastAsia" w:ascii="黑体" w:hAnsi="黑体" w:eastAsia="黑体"/>
          <w:color w:val="auto"/>
          <w:sz w:val="28"/>
          <w:szCs w:val="28"/>
          <w:highlight w:val="none"/>
        </w:rPr>
        <w:t>八、日程安排和联系方式</w:t>
      </w:r>
    </w:p>
    <w:p>
      <w:pPr>
        <w:spacing w:line="360" w:lineRule="auto"/>
        <w:ind w:firstLine="560" w:firstLineChars="200"/>
        <w:rPr>
          <w:rFonts w:ascii="宋体"/>
          <w:color w:val="auto"/>
          <w:sz w:val="28"/>
          <w:szCs w:val="28"/>
          <w:highlight w:val="none"/>
        </w:rPr>
      </w:pPr>
      <w:r>
        <w:rPr>
          <w:rFonts w:ascii="宋体" w:hAnsi="宋体"/>
          <w:color w:val="auto"/>
          <w:sz w:val="28"/>
          <w:szCs w:val="28"/>
          <w:highlight w:val="none"/>
        </w:rPr>
        <w:t>1.</w:t>
      </w:r>
      <w:r>
        <w:rPr>
          <w:rFonts w:hint="eastAsia" w:ascii="宋体" w:hAnsi="宋体"/>
          <w:color w:val="auto"/>
          <w:sz w:val="28"/>
          <w:szCs w:val="28"/>
          <w:highlight w:val="none"/>
        </w:rPr>
        <w:t>报名时间：招标信息发布后。</w:t>
      </w:r>
    </w:p>
    <w:p>
      <w:pPr>
        <w:spacing w:line="360" w:lineRule="auto"/>
        <w:ind w:firstLine="560" w:firstLineChars="200"/>
        <w:rPr>
          <w:rFonts w:ascii="宋体" w:cs="宋体"/>
          <w:color w:val="auto"/>
          <w:sz w:val="28"/>
          <w:szCs w:val="28"/>
          <w:highlight w:val="none"/>
        </w:rPr>
      </w:pPr>
      <w:r>
        <w:rPr>
          <w:rFonts w:ascii="宋体" w:hAnsi="宋体"/>
          <w:color w:val="auto"/>
          <w:sz w:val="28"/>
          <w:szCs w:val="28"/>
          <w:highlight w:val="none"/>
        </w:rPr>
        <w:t>2.</w:t>
      </w:r>
      <w:r>
        <w:rPr>
          <w:rFonts w:hint="eastAsia" w:ascii="宋体" w:hAnsi="宋体"/>
          <w:color w:val="auto"/>
          <w:sz w:val="28"/>
          <w:szCs w:val="28"/>
          <w:highlight w:val="none"/>
        </w:rPr>
        <w:t>领取招标文件：</w:t>
      </w:r>
      <w:r>
        <w:rPr>
          <w:rFonts w:hint="eastAsia" w:ascii="宋体" w:hAnsi="宋体"/>
          <w:color w:val="auto"/>
          <w:sz w:val="28"/>
          <w:szCs w:val="28"/>
          <w:highlight w:val="none"/>
          <w:u w:val="single"/>
        </w:rPr>
        <w:t>自行下载</w:t>
      </w:r>
      <w:r>
        <w:rPr>
          <w:rFonts w:hint="eastAsia" w:ascii="宋体" w:hAnsi="宋体" w:cs="宋体"/>
          <w:color w:val="auto"/>
          <w:kern w:val="0"/>
          <w:sz w:val="28"/>
          <w:szCs w:val="28"/>
          <w:highlight w:val="none"/>
        </w:rPr>
        <w:t>。</w:t>
      </w:r>
    </w:p>
    <w:p>
      <w:pPr>
        <w:spacing w:line="360" w:lineRule="auto"/>
        <w:ind w:firstLine="560" w:firstLineChars="200"/>
        <w:rPr>
          <w:rFonts w:ascii="宋体"/>
          <w:color w:val="auto"/>
          <w:sz w:val="28"/>
          <w:szCs w:val="28"/>
          <w:highlight w:val="none"/>
        </w:rPr>
      </w:pPr>
      <w:r>
        <w:rPr>
          <w:rFonts w:ascii="宋体" w:hAnsi="宋体"/>
          <w:color w:val="auto"/>
          <w:sz w:val="28"/>
          <w:szCs w:val="28"/>
          <w:highlight w:val="none"/>
        </w:rPr>
        <w:t>3.</w:t>
      </w:r>
      <w:r>
        <w:rPr>
          <w:rFonts w:hint="eastAsia" w:ascii="宋体" w:hAnsi="宋体"/>
          <w:color w:val="auto"/>
          <w:sz w:val="28"/>
          <w:szCs w:val="28"/>
          <w:highlight w:val="none"/>
        </w:rPr>
        <w:t xml:space="preserve">答疑时间：          </w:t>
      </w:r>
    </w:p>
    <w:p>
      <w:pPr>
        <w:spacing w:line="360" w:lineRule="auto"/>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1</w:t>
      </w:r>
      <w:r>
        <w:rPr>
          <w:rFonts w:hint="eastAsia" w:ascii="宋体" w:hAnsi="宋体"/>
          <w:color w:val="auto"/>
          <w:sz w:val="28"/>
          <w:szCs w:val="28"/>
          <w:highlight w:val="none"/>
        </w:rPr>
        <w:t>）投标人如有疑问，请在</w:t>
      </w:r>
      <w:r>
        <w:rPr>
          <w:rFonts w:ascii="宋体" w:hAnsi="宋体"/>
          <w:b/>
          <w:color w:val="auto"/>
          <w:sz w:val="28"/>
          <w:szCs w:val="28"/>
          <w:highlight w:val="none"/>
          <w:u w:val="single"/>
        </w:rPr>
        <w:t>2020</w:t>
      </w:r>
      <w:r>
        <w:rPr>
          <w:rFonts w:hint="eastAsia" w:ascii="宋体" w:hAnsi="宋体"/>
          <w:b/>
          <w:color w:val="auto"/>
          <w:sz w:val="28"/>
          <w:szCs w:val="28"/>
          <w:highlight w:val="none"/>
          <w:u w:val="single"/>
        </w:rPr>
        <w:t>年06月</w:t>
      </w:r>
      <w:r>
        <w:rPr>
          <w:rFonts w:hint="eastAsia" w:ascii="宋体" w:hAnsi="宋体"/>
          <w:b/>
          <w:color w:val="auto"/>
          <w:sz w:val="28"/>
          <w:szCs w:val="28"/>
          <w:highlight w:val="none"/>
          <w:u w:val="single"/>
          <w:lang w:val="en-US" w:eastAsia="zh-CN"/>
        </w:rPr>
        <w:t>22</w:t>
      </w:r>
      <w:r>
        <w:rPr>
          <w:rFonts w:hint="eastAsia" w:ascii="宋体" w:hAnsi="宋体"/>
          <w:b/>
          <w:color w:val="auto"/>
          <w:sz w:val="28"/>
          <w:szCs w:val="28"/>
          <w:highlight w:val="none"/>
          <w:u w:val="single"/>
        </w:rPr>
        <w:t>日</w:t>
      </w:r>
      <w:r>
        <w:rPr>
          <w:rFonts w:ascii="宋体" w:hAnsi="宋体"/>
          <w:b/>
          <w:color w:val="auto"/>
          <w:sz w:val="28"/>
          <w:szCs w:val="28"/>
          <w:highlight w:val="none"/>
          <w:u w:val="single"/>
        </w:rPr>
        <w:t>11</w:t>
      </w:r>
      <w:r>
        <w:rPr>
          <w:rFonts w:hint="eastAsia" w:ascii="宋体" w:hAnsi="宋体"/>
          <w:b/>
          <w:color w:val="auto"/>
          <w:sz w:val="28"/>
          <w:szCs w:val="28"/>
          <w:highlight w:val="none"/>
          <w:u w:val="single"/>
        </w:rPr>
        <w:t>：</w:t>
      </w:r>
      <w:r>
        <w:rPr>
          <w:rFonts w:ascii="宋体" w:hAnsi="宋体"/>
          <w:b/>
          <w:color w:val="auto"/>
          <w:sz w:val="28"/>
          <w:szCs w:val="28"/>
          <w:highlight w:val="none"/>
          <w:u w:val="single"/>
        </w:rPr>
        <w:t>3</w:t>
      </w:r>
      <w:r>
        <w:rPr>
          <w:color w:val="auto"/>
          <w:highlight w:val="none"/>
        </w:rPr>
        <w:fldChar w:fldCharType="begin"/>
      </w:r>
      <w:r>
        <w:rPr>
          <w:color w:val="auto"/>
          <w:highlight w:val="none"/>
        </w:rPr>
        <w:instrText xml:space="preserve"> HYPERLINK "mailto:30前将问题一律以word格式或txt格式发至89523765@qq.com" </w:instrText>
      </w:r>
      <w:r>
        <w:rPr>
          <w:color w:val="auto"/>
          <w:highlight w:val="none"/>
        </w:rPr>
        <w:fldChar w:fldCharType="separate"/>
      </w:r>
      <w:r>
        <w:rPr>
          <w:rFonts w:ascii="宋体"/>
          <w:b/>
          <w:color w:val="auto"/>
          <w:sz w:val="28"/>
          <w:szCs w:val="28"/>
          <w:highlight w:val="none"/>
          <w:u w:val="single"/>
        </w:rPr>
        <w:t>0</w:t>
      </w:r>
      <w:r>
        <w:rPr>
          <w:rFonts w:hint="eastAsia" w:ascii="宋体" w:hAnsi="宋体"/>
          <w:color w:val="auto"/>
          <w:sz w:val="28"/>
          <w:szCs w:val="28"/>
          <w:highlight w:val="none"/>
        </w:rPr>
        <w:t>前将问题以</w:t>
      </w:r>
      <w:r>
        <w:rPr>
          <w:rFonts w:ascii="宋体" w:hAnsi="宋体"/>
          <w:color w:val="auto"/>
          <w:sz w:val="28"/>
          <w:szCs w:val="28"/>
          <w:highlight w:val="none"/>
        </w:rPr>
        <w:t>word</w:t>
      </w:r>
      <w:r>
        <w:rPr>
          <w:rFonts w:hint="eastAsia" w:ascii="宋体" w:hAnsi="宋体"/>
          <w:color w:val="auto"/>
          <w:sz w:val="28"/>
          <w:szCs w:val="28"/>
          <w:highlight w:val="none"/>
        </w:rPr>
        <w:t>格式或</w:t>
      </w:r>
      <w:r>
        <w:rPr>
          <w:rFonts w:ascii="宋体" w:hAnsi="宋体"/>
          <w:color w:val="auto"/>
          <w:sz w:val="28"/>
          <w:szCs w:val="28"/>
          <w:highlight w:val="none"/>
        </w:rPr>
        <w:t>txt</w:t>
      </w:r>
      <w:r>
        <w:rPr>
          <w:rFonts w:hint="eastAsia" w:ascii="宋体" w:hAnsi="宋体"/>
          <w:color w:val="auto"/>
          <w:sz w:val="28"/>
          <w:szCs w:val="28"/>
          <w:highlight w:val="none"/>
        </w:rPr>
        <w:t>格式发至</w:t>
      </w:r>
      <w:r>
        <w:rPr>
          <w:rFonts w:ascii="宋体" w:hAnsi="宋体"/>
          <w:color w:val="auto"/>
          <w:sz w:val="28"/>
          <w:szCs w:val="28"/>
          <w:highlight w:val="none"/>
        </w:rPr>
        <w:t>2483567991@qq.com</w:t>
      </w:r>
      <w:r>
        <w:rPr>
          <w:rFonts w:ascii="宋体" w:hAnsi="宋体"/>
          <w:color w:val="auto"/>
          <w:sz w:val="28"/>
          <w:szCs w:val="28"/>
          <w:highlight w:val="none"/>
        </w:rPr>
        <w:fldChar w:fldCharType="end"/>
      </w:r>
      <w:r>
        <w:rPr>
          <w:rFonts w:hint="eastAsia" w:ascii="宋体" w:hAnsi="宋体"/>
          <w:color w:val="auto"/>
          <w:sz w:val="28"/>
          <w:szCs w:val="28"/>
          <w:highlight w:val="none"/>
        </w:rPr>
        <w:t>（质疑函请勿以</w:t>
      </w:r>
      <w:r>
        <w:rPr>
          <w:rFonts w:ascii="宋体" w:hAnsi="宋体"/>
          <w:color w:val="auto"/>
          <w:sz w:val="28"/>
          <w:szCs w:val="28"/>
          <w:highlight w:val="none"/>
        </w:rPr>
        <w:t>JPG</w:t>
      </w:r>
      <w:r>
        <w:rPr>
          <w:rFonts w:hint="eastAsia" w:ascii="宋体" w:hAnsi="宋体"/>
          <w:color w:val="auto"/>
          <w:sz w:val="28"/>
          <w:szCs w:val="28"/>
          <w:highlight w:val="none"/>
        </w:rPr>
        <w:t>或</w:t>
      </w:r>
      <w:r>
        <w:rPr>
          <w:rFonts w:ascii="宋体" w:hAnsi="宋体"/>
          <w:color w:val="auto"/>
          <w:sz w:val="28"/>
          <w:szCs w:val="28"/>
          <w:highlight w:val="none"/>
        </w:rPr>
        <w:t>PDF</w:t>
      </w:r>
      <w:r>
        <w:rPr>
          <w:rFonts w:hint="eastAsia" w:ascii="宋体" w:hAnsi="宋体"/>
          <w:color w:val="auto"/>
          <w:sz w:val="28"/>
          <w:szCs w:val="28"/>
          <w:highlight w:val="none"/>
        </w:rPr>
        <w:t>格式，对</w:t>
      </w:r>
      <w:r>
        <w:rPr>
          <w:rFonts w:ascii="宋体" w:hAnsi="宋体"/>
          <w:color w:val="auto"/>
          <w:sz w:val="28"/>
          <w:szCs w:val="28"/>
          <w:highlight w:val="none"/>
        </w:rPr>
        <w:t>JPG</w:t>
      </w:r>
      <w:r>
        <w:rPr>
          <w:rFonts w:hint="eastAsia" w:ascii="宋体" w:hAnsi="宋体"/>
          <w:color w:val="auto"/>
          <w:sz w:val="28"/>
          <w:szCs w:val="28"/>
          <w:highlight w:val="none"/>
        </w:rPr>
        <w:t>和</w:t>
      </w:r>
      <w:r>
        <w:rPr>
          <w:rFonts w:ascii="宋体" w:hAnsi="宋体"/>
          <w:color w:val="auto"/>
          <w:sz w:val="28"/>
          <w:szCs w:val="28"/>
          <w:highlight w:val="none"/>
        </w:rPr>
        <w:t>PDF</w:t>
      </w:r>
      <w:r>
        <w:rPr>
          <w:rFonts w:hint="eastAsia" w:ascii="宋体" w:hAnsi="宋体"/>
          <w:color w:val="auto"/>
          <w:sz w:val="28"/>
          <w:szCs w:val="28"/>
          <w:highlight w:val="none"/>
        </w:rPr>
        <w:t>格式的附件一律删除，不予采纳，敬请谅解）。</w:t>
      </w:r>
    </w:p>
    <w:p>
      <w:pPr>
        <w:spacing w:line="360" w:lineRule="auto"/>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2</w:t>
      </w:r>
      <w:r>
        <w:rPr>
          <w:rFonts w:hint="eastAsia" w:ascii="宋体" w:hAnsi="宋体"/>
          <w:color w:val="auto"/>
          <w:sz w:val="28"/>
          <w:szCs w:val="28"/>
          <w:highlight w:val="none"/>
        </w:rPr>
        <w:t>）我校项目归口管理部门将通过财务处招标科向各投标人统一进行书面（或电子版）答疑回复。</w:t>
      </w:r>
    </w:p>
    <w:p>
      <w:pPr>
        <w:widowControl/>
        <w:snapToGrid w:val="0"/>
        <w:spacing w:line="360" w:lineRule="auto"/>
        <w:ind w:firstLine="548" w:firstLineChars="196"/>
        <w:rPr>
          <w:rFonts w:ascii="黑体" w:hAnsi="黑体" w:eastAsia="黑体"/>
          <w:i/>
          <w:color w:val="auto"/>
          <w:sz w:val="28"/>
          <w:szCs w:val="28"/>
          <w:highlight w:val="none"/>
        </w:rPr>
      </w:pPr>
      <w:r>
        <w:rPr>
          <w:rFonts w:hint="eastAsia" w:ascii="宋体" w:hAnsi="宋体"/>
          <w:color w:val="auto"/>
          <w:sz w:val="28"/>
          <w:szCs w:val="28"/>
          <w:highlight w:val="none"/>
        </w:rPr>
        <w:t>4.投标文件</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（1）投标送达方式：</w:t>
      </w:r>
      <w:r>
        <w:rPr>
          <w:rFonts w:hint="eastAsia" w:ascii="宋体" w:hAnsi="宋体"/>
          <w:b/>
          <w:color w:val="auto"/>
          <w:sz w:val="28"/>
          <w:szCs w:val="28"/>
          <w:highlight w:val="none"/>
        </w:rPr>
        <w:t>只接受以邮寄方式送达，并请务必用顺丰快递</w:t>
      </w:r>
      <w:r>
        <w:rPr>
          <w:rFonts w:hint="eastAsia" w:ascii="宋体" w:hAnsi="宋体"/>
          <w:color w:val="auto"/>
          <w:sz w:val="28"/>
          <w:szCs w:val="28"/>
          <w:highlight w:val="none"/>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color w:val="auto"/>
          <w:sz w:val="28"/>
          <w:szCs w:val="28"/>
          <w:highlight w:val="none"/>
        </w:rPr>
        <w:t>（若后期有调整，会将调整信息发送到各投标单位报名邮箱，请各投标单位在投标前密切关注报名邮箱）</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（2）投标截止时间：2020年</w:t>
      </w:r>
      <w:r>
        <w:rPr>
          <w:rFonts w:hint="eastAsia" w:ascii="宋体" w:hAnsi="宋体"/>
          <w:color w:val="auto"/>
          <w:sz w:val="28"/>
          <w:szCs w:val="28"/>
          <w:highlight w:val="none"/>
          <w:lang w:val="en-US" w:eastAsia="zh-CN"/>
        </w:rPr>
        <w:t>07</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 xml:space="preserve"> 07</w:t>
      </w:r>
      <w:r>
        <w:rPr>
          <w:rFonts w:hint="eastAsia" w:ascii="宋体" w:hAnsi="宋体"/>
          <w:color w:val="auto"/>
          <w:sz w:val="28"/>
          <w:szCs w:val="28"/>
          <w:highlight w:val="none"/>
        </w:rPr>
        <w:t>日09：00。</w:t>
      </w:r>
      <w:bookmarkStart w:id="8" w:name="_Hlk32349437"/>
    </w:p>
    <w:bookmarkEnd w:id="8"/>
    <w:p>
      <w:pPr>
        <w:widowControl/>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（3）邮寄送达地点：</w:t>
      </w:r>
      <w:r>
        <w:rPr>
          <w:rFonts w:hint="eastAsia" w:ascii="宋体" w:hAnsi="宋体" w:cs="宋体"/>
          <w:color w:val="auto"/>
          <w:kern w:val="0"/>
          <w:sz w:val="28"/>
          <w:szCs w:val="28"/>
          <w:highlight w:val="none"/>
        </w:rPr>
        <w:t>南京市浦口区宁六路219号</w:t>
      </w:r>
      <w:r>
        <w:rPr>
          <w:rFonts w:ascii="宋体" w:hAnsi="宋体" w:cs="宋体"/>
          <w:color w:val="auto"/>
          <w:kern w:val="0"/>
          <w:sz w:val="28"/>
          <w:szCs w:val="28"/>
          <w:highlight w:val="none"/>
        </w:rPr>
        <w:t>南京信息工程大学</w:t>
      </w:r>
      <w:r>
        <w:rPr>
          <w:rFonts w:hint="eastAsia" w:ascii="宋体" w:hAnsi="宋体"/>
          <w:color w:val="auto"/>
          <w:sz w:val="28"/>
          <w:szCs w:val="28"/>
          <w:highlight w:val="none"/>
        </w:rPr>
        <w:t>东苑大学生创业中心3号楼（体育馆北面三层小楼）210室</w:t>
      </w:r>
      <w:r>
        <w:rPr>
          <w:rFonts w:hint="eastAsia" w:ascii="宋体" w:hAnsi="宋体" w:cs="宋体"/>
          <w:color w:val="auto"/>
          <w:kern w:val="0"/>
          <w:sz w:val="28"/>
          <w:szCs w:val="28"/>
          <w:highlight w:val="none"/>
        </w:rPr>
        <w:t>财务处招标科。联系人：马老师、罗老师、方老师；联系电话：025-58731441。</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5.开标、唱标和评标</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（1）开标、唱标：2020年</w:t>
      </w:r>
      <w:r>
        <w:rPr>
          <w:rFonts w:hint="eastAsia" w:ascii="宋体" w:hAnsi="宋体"/>
          <w:color w:val="auto"/>
          <w:sz w:val="28"/>
          <w:szCs w:val="28"/>
          <w:highlight w:val="none"/>
          <w:lang w:val="en-US" w:eastAsia="zh-CN"/>
        </w:rPr>
        <w:t>07</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07</w:t>
      </w:r>
      <w:r>
        <w:rPr>
          <w:rFonts w:hint="eastAsia" w:ascii="宋体" w:hAnsi="宋体"/>
          <w:color w:val="auto"/>
          <w:sz w:val="28"/>
          <w:szCs w:val="28"/>
          <w:highlight w:val="none"/>
        </w:rPr>
        <w:t>日09：00；(不安排公开开标、唱标，由财务处招标科工作人员在我校</w:t>
      </w:r>
      <w:r>
        <w:rPr>
          <w:rFonts w:hint="eastAsia" w:ascii="宋体" w:hAnsi="宋体"/>
          <w:color w:val="auto"/>
          <w:sz w:val="28"/>
          <w:szCs w:val="28"/>
          <w:highlight w:val="none"/>
          <w:lang w:val="en-US" w:eastAsia="zh-CN"/>
        </w:rPr>
        <w:t>纪检监察部门</w:t>
      </w:r>
      <w:r>
        <w:rPr>
          <w:rFonts w:hint="eastAsia" w:ascii="宋体" w:hAnsi="宋体"/>
          <w:color w:val="auto"/>
          <w:sz w:val="28"/>
          <w:szCs w:val="28"/>
          <w:highlight w:val="none"/>
        </w:rPr>
        <w:t>监督见证下进行，开标、唱标工作全程视频监控并录像)。</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（2）唱标和开标地点：南京信息工程大学东苑大学生创业中心</w:t>
      </w:r>
      <w:r>
        <w:rPr>
          <w:rFonts w:ascii="宋体" w:hAnsi="宋体"/>
          <w:color w:val="auto"/>
          <w:sz w:val="28"/>
          <w:szCs w:val="28"/>
          <w:highlight w:val="none"/>
        </w:rPr>
        <w:t>3</w:t>
      </w:r>
      <w:r>
        <w:rPr>
          <w:rFonts w:hint="eastAsia" w:ascii="宋体" w:hAnsi="宋体"/>
          <w:color w:val="auto"/>
          <w:sz w:val="28"/>
          <w:szCs w:val="28"/>
          <w:highlight w:val="none"/>
        </w:rPr>
        <w:t>号楼（体育馆北面三层小楼）</w:t>
      </w:r>
      <w:r>
        <w:rPr>
          <w:rFonts w:ascii="宋体" w:hAnsi="宋体"/>
          <w:color w:val="auto"/>
          <w:sz w:val="28"/>
          <w:szCs w:val="28"/>
          <w:highlight w:val="none"/>
        </w:rPr>
        <w:t>210</w:t>
      </w:r>
      <w:r>
        <w:rPr>
          <w:rFonts w:hint="eastAsia" w:ascii="宋体" w:hAnsi="宋体"/>
          <w:color w:val="auto"/>
          <w:sz w:val="28"/>
          <w:szCs w:val="28"/>
          <w:highlight w:val="none"/>
        </w:rPr>
        <w:t>室。</w:t>
      </w:r>
    </w:p>
    <w:p>
      <w:pPr>
        <w:snapToGrid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6.相关单位联系人及电话</w:t>
      </w:r>
    </w:p>
    <w:p>
      <w:pPr>
        <w:snapToGrid w:val="0"/>
        <w:spacing w:line="360" w:lineRule="auto"/>
        <w:ind w:firstLine="425" w:firstLineChars="152"/>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1</w:t>
      </w:r>
      <w:r>
        <w:rPr>
          <w:rFonts w:hint="eastAsia" w:ascii="宋体" w:hAnsi="宋体"/>
          <w:color w:val="auto"/>
          <w:sz w:val="28"/>
          <w:szCs w:val="28"/>
          <w:highlight w:val="none"/>
        </w:rPr>
        <w:t>）财务处招标科（招投标管理业务单位）：联系电话：</w:t>
      </w:r>
      <w:r>
        <w:rPr>
          <w:rFonts w:ascii="宋体" w:hAnsi="宋体"/>
          <w:color w:val="auto"/>
          <w:sz w:val="28"/>
          <w:szCs w:val="28"/>
          <w:highlight w:val="none"/>
        </w:rPr>
        <w:t>025-58731441</w:t>
      </w:r>
      <w:r>
        <w:rPr>
          <w:rFonts w:hint="eastAsia" w:ascii="宋体" w:hAnsi="宋体"/>
          <w:color w:val="auto"/>
          <w:sz w:val="28"/>
          <w:szCs w:val="28"/>
          <w:highlight w:val="none"/>
        </w:rPr>
        <w:t>，联系人：马老师、罗老师、方老师；</w:t>
      </w:r>
    </w:p>
    <w:p>
      <w:pPr>
        <w:snapToGrid w:val="0"/>
        <w:spacing w:line="360" w:lineRule="auto"/>
        <w:ind w:firstLine="425" w:firstLineChars="152"/>
        <w:rPr>
          <w:rFonts w:ascii="宋体" w:hAnsi="宋体"/>
          <w:color w:val="auto"/>
          <w:sz w:val="28"/>
          <w:szCs w:val="28"/>
          <w:highlight w:val="none"/>
        </w:rPr>
      </w:pPr>
      <w:r>
        <w:rPr>
          <w:rFonts w:hint="eastAsia" w:ascii="宋体" w:hAnsi="宋体"/>
          <w:color w:val="auto"/>
          <w:sz w:val="28"/>
          <w:szCs w:val="28"/>
          <w:highlight w:val="none"/>
        </w:rPr>
        <w:t>（2）</w:t>
      </w:r>
      <w:bookmarkEnd w:id="7"/>
      <w:r>
        <w:rPr>
          <w:rFonts w:hint="eastAsia" w:ascii="宋体" w:hAnsi="宋体"/>
          <w:color w:val="auto"/>
          <w:sz w:val="28"/>
          <w:szCs w:val="28"/>
          <w:highlight w:val="none"/>
        </w:rPr>
        <w:t>用户单位联系电话：</w:t>
      </w:r>
      <w:r>
        <w:rPr>
          <w:rFonts w:hint="eastAsia" w:ascii="宋体" w:hAnsi="宋体"/>
          <w:color w:val="auto"/>
          <w:sz w:val="28"/>
          <w:szCs w:val="28"/>
          <w:highlight w:val="none"/>
          <w:lang w:val="en-US" w:eastAsia="zh-CN"/>
        </w:rPr>
        <w:t>19850056497</w:t>
      </w:r>
      <w:r>
        <w:rPr>
          <w:rFonts w:hint="eastAsia" w:ascii="宋体" w:hAnsi="宋体"/>
          <w:color w:val="auto"/>
          <w:sz w:val="28"/>
          <w:szCs w:val="28"/>
          <w:highlight w:val="none"/>
        </w:rPr>
        <w:t>，联系人：</w:t>
      </w:r>
      <w:r>
        <w:rPr>
          <w:rFonts w:hint="eastAsia" w:ascii="宋体" w:hAnsi="宋体"/>
          <w:color w:val="auto"/>
          <w:sz w:val="28"/>
          <w:szCs w:val="28"/>
          <w:highlight w:val="none"/>
          <w:lang w:val="en-US" w:eastAsia="zh-CN"/>
        </w:rPr>
        <w:t>化</w:t>
      </w:r>
      <w:r>
        <w:rPr>
          <w:rFonts w:hint="eastAsia" w:ascii="宋体" w:hAnsi="宋体"/>
          <w:color w:val="auto"/>
          <w:sz w:val="28"/>
          <w:szCs w:val="28"/>
          <w:highlight w:val="none"/>
        </w:rPr>
        <w:t>老师。</w:t>
      </w:r>
    </w:p>
    <w:p>
      <w:pPr>
        <w:pStyle w:val="2"/>
        <w:ind w:left="0" w:leftChars="0" w:right="0" w:rightChars="0"/>
        <w:rPr>
          <w:rFonts w:ascii="宋体" w:hAnsi="宋体"/>
          <w:color w:val="auto"/>
          <w:sz w:val="28"/>
          <w:szCs w:val="28"/>
          <w:highlight w:val="none"/>
        </w:rPr>
      </w:pPr>
    </w:p>
    <w:p>
      <w:pPr>
        <w:tabs>
          <w:tab w:val="left" w:pos="1260"/>
        </w:tabs>
        <w:spacing w:line="360" w:lineRule="auto"/>
        <w:ind w:left="1959" w:leftChars="933" w:firstLine="2530" w:firstLineChars="900"/>
        <w:rPr>
          <w:rFonts w:ascii="宋体"/>
          <w:b/>
          <w:color w:val="auto"/>
          <w:sz w:val="28"/>
          <w:szCs w:val="28"/>
          <w:highlight w:val="none"/>
        </w:rPr>
      </w:pPr>
      <w:bookmarkStart w:id="9" w:name="_Hlk9866962"/>
      <w:r>
        <w:rPr>
          <w:rFonts w:hint="eastAsia" w:ascii="宋体" w:hAnsi="宋体"/>
          <w:b/>
          <w:color w:val="auto"/>
          <w:sz w:val="28"/>
          <w:szCs w:val="28"/>
          <w:highlight w:val="none"/>
        </w:rPr>
        <w:t>南京信息工程大学财务处</w:t>
      </w:r>
    </w:p>
    <w:p>
      <w:pPr>
        <w:pStyle w:val="9"/>
        <w:spacing w:line="360" w:lineRule="auto"/>
        <w:ind w:left="99" w:leftChars="47" w:firstLine="4919" w:firstLineChars="1750"/>
        <w:rPr>
          <w:rStyle w:val="38"/>
          <w:rFonts w:ascii="宋体" w:hAnsi="Times New Roman" w:eastAsia="宋体"/>
          <w:color w:val="auto"/>
          <w:sz w:val="28"/>
          <w:szCs w:val="28"/>
          <w:highlight w:val="none"/>
        </w:rPr>
      </w:pPr>
      <w:r>
        <w:rPr>
          <w:rStyle w:val="38"/>
          <w:rFonts w:ascii="宋体" w:hAnsi="宋体" w:eastAsia="宋体"/>
          <w:color w:val="auto"/>
          <w:sz w:val="28"/>
          <w:szCs w:val="28"/>
          <w:highlight w:val="none"/>
        </w:rPr>
        <w:t>20</w:t>
      </w:r>
      <w:r>
        <w:rPr>
          <w:rStyle w:val="38"/>
          <w:rFonts w:hint="eastAsia" w:ascii="宋体" w:hAnsi="宋体" w:eastAsia="宋体"/>
          <w:color w:val="auto"/>
          <w:sz w:val="28"/>
          <w:szCs w:val="28"/>
          <w:highlight w:val="none"/>
        </w:rPr>
        <w:t>20年0</w:t>
      </w:r>
      <w:r>
        <w:rPr>
          <w:rStyle w:val="38"/>
          <w:rFonts w:hint="eastAsia" w:ascii="宋体" w:hAnsi="宋体"/>
          <w:color w:val="auto"/>
          <w:sz w:val="28"/>
          <w:szCs w:val="28"/>
          <w:highlight w:val="none"/>
        </w:rPr>
        <w:t>6</w:t>
      </w:r>
      <w:r>
        <w:rPr>
          <w:rStyle w:val="38"/>
          <w:rFonts w:hint="eastAsia" w:ascii="宋体" w:hAnsi="宋体" w:eastAsia="宋体"/>
          <w:color w:val="auto"/>
          <w:sz w:val="28"/>
          <w:szCs w:val="28"/>
          <w:highlight w:val="none"/>
        </w:rPr>
        <w:t>月</w:t>
      </w:r>
      <w:r>
        <w:rPr>
          <w:rStyle w:val="38"/>
          <w:rFonts w:hint="eastAsia" w:ascii="宋体" w:hAnsi="宋体"/>
          <w:color w:val="auto"/>
          <w:sz w:val="28"/>
          <w:szCs w:val="28"/>
          <w:highlight w:val="none"/>
          <w:lang w:val="en-US"/>
        </w:rPr>
        <w:t>16</w:t>
      </w:r>
      <w:r>
        <w:rPr>
          <w:rStyle w:val="38"/>
          <w:rFonts w:hint="eastAsia" w:ascii="宋体" w:hAnsi="宋体" w:eastAsia="宋体"/>
          <w:color w:val="auto"/>
          <w:sz w:val="28"/>
          <w:szCs w:val="28"/>
          <w:highlight w:val="none"/>
        </w:rPr>
        <w:t>日</w:t>
      </w:r>
    </w:p>
    <w:bookmarkEnd w:id="9"/>
    <w:p>
      <w:pPr>
        <w:pStyle w:val="8"/>
        <w:adjustRightInd w:val="0"/>
        <w:snapToGrid w:val="0"/>
        <w:spacing w:before="120" w:after="120" w:line="360" w:lineRule="auto"/>
        <w:rPr>
          <w:rFonts w:ascii="Times New Roman" w:hAnsi="Times New Roman"/>
          <w:color w:val="auto"/>
          <w:sz w:val="24"/>
          <w:szCs w:val="24"/>
          <w:highlight w:val="none"/>
        </w:rPr>
      </w:pPr>
      <w:r>
        <w:rPr>
          <w:rStyle w:val="38"/>
          <w:rFonts w:ascii="宋体" w:hAnsi="Times New Roman" w:eastAsia="宋体"/>
          <w:b w:val="0"/>
          <w:color w:val="auto"/>
          <w:sz w:val="28"/>
          <w:szCs w:val="28"/>
          <w:highlight w:val="none"/>
        </w:rPr>
        <w:br w:type="page"/>
      </w:r>
      <w:bookmarkStart w:id="10" w:name="_Toc462564147"/>
      <w:r>
        <w:rPr>
          <w:rFonts w:ascii="Times New Roman" w:hAnsi="Times New Roman"/>
          <w:b/>
          <w:bCs/>
          <w:color w:val="auto"/>
          <w:sz w:val="24"/>
          <w:szCs w:val="24"/>
          <w:highlight w:val="none"/>
        </w:rPr>
        <w:t>附件1：</w:t>
      </w:r>
    </w:p>
    <w:p>
      <w:pPr>
        <w:widowControl/>
        <w:jc w:val="left"/>
        <w:rPr>
          <w:rStyle w:val="38"/>
          <w:rFonts w:ascii="宋体" w:hAnsi="宋体" w:eastAsia="宋体"/>
          <w:b w:val="0"/>
          <w:color w:val="auto"/>
          <w:sz w:val="28"/>
          <w:szCs w:val="28"/>
          <w:highlight w:val="none"/>
        </w:rPr>
      </w:pPr>
    </w:p>
    <w:p>
      <w:pPr>
        <w:spacing w:line="360" w:lineRule="auto"/>
        <w:ind w:left="180"/>
        <w:jc w:val="center"/>
        <w:rPr>
          <w:rFonts w:hAnsi="宋体"/>
          <w:b/>
          <w:color w:val="auto"/>
          <w:sz w:val="28"/>
          <w:szCs w:val="28"/>
          <w:highlight w:val="none"/>
        </w:rPr>
      </w:pPr>
      <w:r>
        <w:rPr>
          <w:rFonts w:hint="eastAsia" w:hAnsi="宋体"/>
          <w:b/>
          <w:color w:val="auto"/>
          <w:sz w:val="28"/>
          <w:szCs w:val="28"/>
          <w:highlight w:val="none"/>
        </w:rPr>
        <w:t>招标项目设备名称、数量、主要技术要求及其他要求</w:t>
      </w:r>
    </w:p>
    <w:tbl>
      <w:tblPr>
        <w:tblStyle w:val="15"/>
        <w:tblW w:w="5040" w:type="pct"/>
        <w:tblInd w:w="0" w:type="dxa"/>
        <w:tblLayout w:type="fixed"/>
        <w:tblCellMar>
          <w:top w:w="15" w:type="dxa"/>
          <w:left w:w="15" w:type="dxa"/>
          <w:bottom w:w="15" w:type="dxa"/>
          <w:right w:w="15" w:type="dxa"/>
        </w:tblCellMar>
      </w:tblPr>
      <w:tblGrid>
        <w:gridCol w:w="454"/>
        <w:gridCol w:w="2261"/>
        <w:gridCol w:w="1261"/>
        <w:gridCol w:w="1261"/>
        <w:gridCol w:w="1261"/>
        <w:gridCol w:w="721"/>
        <w:gridCol w:w="3100"/>
      </w:tblGrid>
      <w:tr>
        <w:tblPrEx>
          <w:tblCellMar>
            <w:top w:w="15" w:type="dxa"/>
            <w:left w:w="15" w:type="dxa"/>
            <w:bottom w:w="15" w:type="dxa"/>
            <w:right w:w="15" w:type="dxa"/>
          </w:tblCellMar>
        </w:tblPrEx>
        <w:trPr>
          <w:trHeight w:val="721" w:hRule="atLeast"/>
        </w:trPr>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分包</w:t>
            </w:r>
          </w:p>
        </w:tc>
        <w:tc>
          <w:tcPr>
            <w:tcW w:w="10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仪器设备名称</w:t>
            </w:r>
          </w:p>
        </w:tc>
        <w:tc>
          <w:tcPr>
            <w:tcW w:w="6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型号</w:t>
            </w:r>
          </w:p>
        </w:tc>
        <w:tc>
          <w:tcPr>
            <w:tcW w:w="6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6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单位</w:t>
            </w:r>
          </w:p>
        </w:tc>
        <w:tc>
          <w:tcPr>
            <w:tcW w:w="3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数量</w:t>
            </w:r>
          </w:p>
        </w:tc>
        <w:tc>
          <w:tcPr>
            <w:tcW w:w="15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主要配置或技术参数</w:t>
            </w:r>
          </w:p>
        </w:tc>
      </w:tr>
      <w:tr>
        <w:tblPrEx>
          <w:tblCellMar>
            <w:top w:w="15" w:type="dxa"/>
            <w:left w:w="15" w:type="dxa"/>
            <w:bottom w:w="15" w:type="dxa"/>
            <w:right w:w="15" w:type="dxa"/>
          </w:tblCellMar>
        </w:tblPrEx>
        <w:trPr>
          <w:trHeight w:val="669" w:hRule="atLeast"/>
        </w:trPr>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0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45通道脑机信号采集系统</w:t>
            </w:r>
          </w:p>
        </w:tc>
        <w:tc>
          <w:tcPr>
            <w:tcW w:w="6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4"/>
                <w:highlight w:val="none"/>
              </w:rPr>
            </w:pPr>
          </w:p>
        </w:tc>
        <w:tc>
          <w:tcPr>
            <w:tcW w:w="6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highlight w:val="none"/>
              </w:rPr>
            </w:pPr>
          </w:p>
        </w:tc>
        <w:tc>
          <w:tcPr>
            <w:tcW w:w="6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套</w:t>
            </w:r>
          </w:p>
        </w:tc>
        <w:tc>
          <w:tcPr>
            <w:tcW w:w="3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50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详见表后内容</w:t>
            </w:r>
          </w:p>
        </w:tc>
      </w:tr>
    </w:tbl>
    <w:p>
      <w:pPr>
        <w:rPr>
          <w:rFonts w:ascii="宋体" w:hAnsi="宋体" w:cs="宋体"/>
          <w:b/>
          <w:color w:val="auto"/>
          <w:kern w:val="0"/>
          <w:sz w:val="24"/>
          <w:highlight w:val="none"/>
        </w:rPr>
      </w:pPr>
      <w:r>
        <w:rPr>
          <w:rFonts w:hint="eastAsia"/>
          <w:b/>
          <w:color w:val="auto"/>
          <w:highlight w:val="none"/>
        </w:rPr>
        <w:t>以上所有设备要求免费质保期至少</w:t>
      </w:r>
      <w:r>
        <w:rPr>
          <w:rFonts w:hint="eastAsia" w:ascii="宋体" w:hAnsi="宋体"/>
          <w:color w:val="auto"/>
          <w:sz w:val="28"/>
          <w:szCs w:val="28"/>
          <w:highlight w:val="none"/>
        </w:rPr>
        <w:t>1</w:t>
      </w:r>
      <w:r>
        <w:rPr>
          <w:rFonts w:hint="eastAsia"/>
          <w:b/>
          <w:color w:val="auto"/>
          <w:highlight w:val="none"/>
        </w:rPr>
        <w:t>年。</w:t>
      </w:r>
    </w:p>
    <w:p>
      <w:pPr>
        <w:rPr>
          <w:b/>
          <w:color w:val="auto"/>
          <w:highlight w:val="none"/>
        </w:rPr>
      </w:pPr>
      <w:r>
        <w:rPr>
          <w:rFonts w:hint="eastAsia" w:ascii="宋体" w:hAnsi="宋体" w:cs="宋体"/>
          <w:b/>
          <w:color w:val="auto"/>
          <w:kern w:val="0"/>
          <w:sz w:val="24"/>
          <w:highlight w:val="none"/>
        </w:rPr>
        <w:t>主要配置或技术参数</w:t>
      </w:r>
      <w:r>
        <w:rPr>
          <w:rFonts w:hint="eastAsia"/>
          <w:b/>
          <w:color w:val="auto"/>
          <w:highlight w:val="none"/>
        </w:rPr>
        <w:t>：（标注“</w:t>
      </w:r>
      <w:r>
        <w:rPr>
          <w:rFonts w:hint="eastAsia" w:ascii="宋体" w:hAnsi="宋体" w:cs="宋体"/>
          <w:color w:val="auto"/>
          <w:kern w:val="0"/>
          <w:sz w:val="20"/>
          <w:szCs w:val="20"/>
          <w:highlight w:val="none"/>
        </w:rPr>
        <w:t>★</w:t>
      </w:r>
      <w:r>
        <w:rPr>
          <w:rFonts w:hint="eastAsia"/>
          <w:b/>
          <w:color w:val="auto"/>
          <w:highlight w:val="none"/>
        </w:rPr>
        <w:t>”指标为必须满足项，不满足按</w:t>
      </w:r>
      <w:r>
        <w:rPr>
          <w:rFonts w:hint="eastAsia"/>
          <w:b/>
          <w:color w:val="auto"/>
          <w:highlight w:val="none"/>
          <w:lang w:val="en-US" w:eastAsia="zh-CN"/>
        </w:rPr>
        <w:t>无效</w:t>
      </w:r>
      <w:r>
        <w:rPr>
          <w:rFonts w:hint="eastAsia"/>
          <w:b/>
          <w:color w:val="auto"/>
          <w:highlight w:val="none"/>
        </w:rPr>
        <w:t>标处理。）</w:t>
      </w:r>
    </w:p>
    <w:p>
      <w:pPr>
        <w:autoSpaceDE w:val="0"/>
        <w:autoSpaceDN w:val="0"/>
        <w:adjustRightInd w:val="0"/>
        <w:spacing w:line="36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1、硬件参数：</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1.1、具有ABR、EEG、ERP、ECOG、SPIKE（提供高阻转换器）等采集分析功能；</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★1.2、单体放大器：≥45通道（脑电≥32通道，双极导联≥10通道，额外导联≥3通道）；</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1.3、最大升级容量：512导；</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★1.4、采样率:≥4,000 Hz/导；</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1.5、带宽:0～1000 Hz；</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1.6、A/D 转换分辨率: 24Bit；</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1.7、共模抑制比:≥100dB，输入噪声:≤2uV RMS；</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1.8、灵敏度:DC模式不大于18nV/bit ，放大器具有DC采集方式；</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1.9、输入范围（AC Mode） :+/- 900uV；</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1.10、系统增益（AC Mode）:≥2000；</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1.11、放大器网线供电，可使用路由器将多台放大器同步；</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1.12、操作系统：WIN7或者WIN8；</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★1.13、数据同步盒参数：同时支持至少2个并口/串口设备同步；可通过USB端口向并口/串口设备发送信号；可通过无线方式向并口/串口设备发送信号。</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★1.14、设备安全认证要求:须提供FDA、CE、CFDA等，以及脑电生理软件著作权与追踪定位系统著作权；</w:t>
      </w:r>
    </w:p>
    <w:p>
      <w:pPr>
        <w:autoSpaceDE w:val="0"/>
        <w:autoSpaceDN w:val="0"/>
        <w:adjustRightInd w:val="0"/>
        <w:spacing w:line="360" w:lineRule="exact"/>
        <w:jc w:val="left"/>
        <w:rPr>
          <w:rFonts w:ascii="宋体" w:hAnsi="宋体" w:cs="宋体"/>
          <w:color w:val="auto"/>
          <w:kern w:val="0"/>
          <w:szCs w:val="21"/>
          <w:highlight w:val="none"/>
        </w:rPr>
      </w:pPr>
      <w:r>
        <w:rPr>
          <w:rFonts w:hint="eastAsia" w:ascii="宋体" w:hAnsi="宋体" w:cs="宋体"/>
          <w:b/>
          <w:bCs/>
          <w:color w:val="auto"/>
          <w:kern w:val="0"/>
          <w:szCs w:val="21"/>
          <w:highlight w:val="none"/>
        </w:rPr>
        <w:t>2、数据采集参数：</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2.1、连续或分段采集；</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2.2、放大器、刺激生成系统、脑电采集（包括输入阻抗测试）等均由系统自动校准；</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2.3、在数据采集过程中所有事件均自动检测并记录，反应代码和刺激代码可以有效分离；</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2.4、软件自动校准，使刺激与记录严格同步；</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2.5、可进行单极记录和双极记录脑电，参考电极可根据实验要求任意选择相关位置； </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2.6、具有多人同步采集功能，不需要借助第三方软件，在同一个软件可实现不小于8人同步数据采集功能；</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2.7、可以在线进行脑电阻抗检测及数据分析；滤波（从傅氏变换到小波变换）、数据重组；脑电频谱分析及时域特征分析、叠加平均；PCA/ICA成分分析；在线数据转接到Matlab；</w:t>
      </w:r>
    </w:p>
    <w:p>
      <w:pPr>
        <w:widowControl/>
        <w:spacing w:line="360" w:lineRule="exact"/>
        <w:rPr>
          <w:rFonts w:ascii="宋体" w:hAnsi="宋体" w:cs="宋体"/>
          <w:b/>
          <w:color w:val="auto"/>
          <w:szCs w:val="21"/>
          <w:highlight w:val="none"/>
        </w:rPr>
      </w:pPr>
      <w:r>
        <w:rPr>
          <w:rFonts w:hint="eastAsia" w:ascii="宋体" w:hAnsi="宋体" w:cs="宋体"/>
          <w:b/>
          <w:color w:val="auto"/>
          <w:szCs w:val="21"/>
          <w:highlight w:val="none"/>
        </w:rPr>
        <w:t>3、电极帽参数：</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3.1、电极帽采用导电膏与盐水两种方式采集信号，标准的银/氯化银(Ag/AgC1)电极可将DC偏移最小化；</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3.2、所有电极都很清楚地标记在帽子上，不是在放大器的接口上，使电极的定位快速简便；</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3.3、导电膏电极帽为导电膏介质，确保头皮输入阻抗不大于10KOhms；</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3.4、盐水电极帽采用橡胶网状布局，电极为海绵电极，可重复使用。佩戴方便，5分钟内戴好；</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★3.5、盐水电极帽为生理盐水介质，确保头皮输入阻抗不大于20KOhms。可满足儿童以及快速实验要求等被试，供应商需提供如截图等证明。</w:t>
      </w:r>
    </w:p>
    <w:p>
      <w:pPr>
        <w:widowControl/>
        <w:spacing w:line="360" w:lineRule="exact"/>
        <w:rPr>
          <w:rFonts w:ascii="宋体" w:hAnsi="宋体" w:cs="宋体"/>
          <w:b/>
          <w:color w:val="auto"/>
          <w:szCs w:val="21"/>
          <w:highlight w:val="none"/>
        </w:rPr>
      </w:pPr>
      <w:r>
        <w:rPr>
          <w:rFonts w:hint="eastAsia" w:ascii="宋体" w:hAnsi="宋体" w:cs="宋体"/>
          <w:b/>
          <w:color w:val="auto"/>
          <w:szCs w:val="21"/>
          <w:highlight w:val="none"/>
        </w:rPr>
        <w:t>4、配置清单：</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4.1、放大器                            1套；</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4.2、采集软件                          1套；</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4.3、刺激软件                          1套；</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4.4、32导电极帽（导电膏/生理盐水）     2顶；</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4.5、导电膏                            6桶；</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4.6、磨砂膏                            3支；</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4.7、替换电极                          10根</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4.8、电极帽附件                        1套；</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4.9、被试专用显示器                    1台；</w:t>
      </w:r>
    </w:p>
    <w:p>
      <w:pPr>
        <w:autoSpaceDE w:val="0"/>
        <w:autoSpaceDN w:val="0"/>
        <w:adjustRightInd w:val="0"/>
        <w:spacing w:line="360" w:lineRule="exact"/>
        <w:ind w:firstLine="105" w:firstLineChars="50"/>
        <w:jc w:val="left"/>
        <w:rPr>
          <w:rFonts w:ascii="宋体" w:hAnsi="宋体" w:cs="宋体"/>
          <w:color w:val="auto"/>
          <w:kern w:val="0"/>
          <w:szCs w:val="21"/>
          <w:highlight w:val="none"/>
        </w:rPr>
      </w:pPr>
      <w:r>
        <w:rPr>
          <w:rFonts w:hint="eastAsia" w:ascii="宋体" w:hAnsi="宋体" w:cs="宋体"/>
          <w:color w:val="auto"/>
          <w:kern w:val="0"/>
          <w:szCs w:val="21"/>
          <w:highlight w:val="none"/>
        </w:rPr>
        <w:t>4.10、分屏切换器                       1套。</w:t>
      </w:r>
    </w:p>
    <w:p>
      <w:pPr>
        <w:widowControl/>
        <w:jc w:val="left"/>
        <w:rPr>
          <w:rFonts w:ascii="宋体" w:hAnsi="宋体" w:cs="宋体"/>
          <w:b/>
          <w:bCs/>
          <w:color w:val="auto"/>
          <w:sz w:val="28"/>
          <w:szCs w:val="28"/>
          <w:highlight w:val="none"/>
        </w:rPr>
      </w:pPr>
      <w:r>
        <w:rPr>
          <w:rFonts w:ascii="宋体" w:hAnsi="宋体" w:cs="宋体"/>
          <w:b/>
          <w:bCs/>
          <w:color w:val="auto"/>
          <w:sz w:val="28"/>
          <w:szCs w:val="28"/>
          <w:highlight w:val="none"/>
        </w:rPr>
        <w:t>注：报价时必须注明或说明品牌中具体投标品牌，否则投标无效。</w:t>
      </w:r>
    </w:p>
    <w:p>
      <w:pPr>
        <w:widowControl/>
        <w:jc w:val="left"/>
        <w:rPr>
          <w:rFonts w:ascii="宋体" w:cs="仿宋"/>
          <w:b/>
          <w:bCs/>
          <w:color w:val="auto"/>
          <w:sz w:val="28"/>
          <w:szCs w:val="28"/>
          <w:highlight w:val="none"/>
        </w:rPr>
      </w:pPr>
      <w:r>
        <w:rPr>
          <w:rFonts w:ascii="宋体" w:hAnsi="宋体" w:eastAsia="宋体" w:cs="宋体"/>
          <w:b/>
          <w:bCs/>
          <w:color w:val="auto"/>
          <w:sz w:val="28"/>
          <w:szCs w:val="28"/>
          <w:highlight w:val="none"/>
        </w:rPr>
        <w:t>★▲投标时需提供承诺并在中标公示之日起，五个工作日内取得所投上述要求原厂授权函、售后服务承诺函、原厂保修等均须提供原厂项目授权书与售后服务承诺书，否则取消中标资格。</w:t>
      </w:r>
      <w:r>
        <w:rPr>
          <w:rFonts w:ascii="宋体" w:hAnsi="宋体" w:cs="宋体"/>
          <w:b/>
          <w:bCs/>
          <w:color w:val="auto"/>
          <w:sz w:val="28"/>
          <w:szCs w:val="28"/>
          <w:highlight w:val="none"/>
        </w:rPr>
        <w:br w:type="textWrapping"/>
      </w:r>
    </w:p>
    <w:p>
      <w:pPr>
        <w:widowControl/>
        <w:jc w:val="left"/>
        <w:rPr>
          <w:rFonts w:hAnsi="宋体"/>
          <w:b/>
          <w:color w:val="auto"/>
          <w:sz w:val="28"/>
          <w:szCs w:val="28"/>
          <w:highlight w:val="none"/>
        </w:rPr>
      </w:pPr>
      <w:r>
        <w:rPr>
          <w:rFonts w:hAnsi="宋体"/>
          <w:b/>
          <w:color w:val="auto"/>
          <w:sz w:val="28"/>
          <w:szCs w:val="28"/>
          <w:highlight w:val="none"/>
        </w:rPr>
        <w:br w:type="page"/>
      </w:r>
    </w:p>
    <w:p>
      <w:pPr>
        <w:widowControl/>
        <w:jc w:val="left"/>
        <w:rPr>
          <w:rFonts w:hAnsi="宋体"/>
          <w:b/>
          <w:color w:val="auto"/>
          <w:sz w:val="36"/>
          <w:szCs w:val="36"/>
          <w:highlight w:val="none"/>
        </w:rPr>
      </w:pPr>
      <w:r>
        <w:rPr>
          <w:rFonts w:hint="eastAsia" w:hAnsi="宋体"/>
          <w:b/>
          <w:color w:val="auto"/>
          <w:sz w:val="28"/>
          <w:szCs w:val="28"/>
          <w:highlight w:val="none"/>
        </w:rPr>
        <w:t>附件</w:t>
      </w:r>
      <w:r>
        <w:rPr>
          <w:rFonts w:hAnsi="宋体"/>
          <w:b/>
          <w:color w:val="auto"/>
          <w:sz w:val="28"/>
          <w:szCs w:val="28"/>
          <w:highlight w:val="none"/>
        </w:rPr>
        <w:t>2</w:t>
      </w:r>
      <w:r>
        <w:rPr>
          <w:rFonts w:hint="eastAsia" w:hAnsi="宋体"/>
          <w:b/>
          <w:color w:val="auto"/>
          <w:sz w:val="28"/>
          <w:szCs w:val="28"/>
          <w:highlight w:val="none"/>
        </w:rPr>
        <w:t>：</w:t>
      </w:r>
    </w:p>
    <w:p>
      <w:pPr>
        <w:tabs>
          <w:tab w:val="left" w:pos="3270"/>
        </w:tabs>
        <w:autoSpaceDE w:val="0"/>
        <w:autoSpaceDN w:val="0"/>
        <w:adjustRightInd w:val="0"/>
        <w:spacing w:line="360" w:lineRule="exact"/>
        <w:rPr>
          <w:rFonts w:ascii="宋体" w:hAnsi="宋体"/>
          <w:b/>
          <w:color w:val="auto"/>
          <w:sz w:val="24"/>
          <w:highlight w:val="none"/>
          <w:lang w:val="zh-CN"/>
        </w:rPr>
      </w:pPr>
      <w:bookmarkStart w:id="11" w:name="_Hlk9862420"/>
    </w:p>
    <w:p>
      <w:pPr>
        <w:autoSpaceDE w:val="0"/>
        <w:autoSpaceDN w:val="0"/>
        <w:adjustRightInd w:val="0"/>
        <w:spacing w:line="360" w:lineRule="exact"/>
        <w:ind w:firstLine="723" w:firstLineChars="200"/>
        <w:jc w:val="center"/>
        <w:rPr>
          <w:rFonts w:ascii="宋体" w:hAnsi="宋体"/>
          <w:b/>
          <w:color w:val="auto"/>
          <w:sz w:val="36"/>
          <w:szCs w:val="36"/>
          <w:highlight w:val="none"/>
          <w:lang w:val="zh-CN"/>
        </w:rPr>
      </w:pPr>
      <w:r>
        <w:rPr>
          <w:rFonts w:hint="eastAsia" w:ascii="宋体" w:hAnsi="宋体"/>
          <w:b/>
          <w:color w:val="auto"/>
          <w:sz w:val="36"/>
          <w:szCs w:val="36"/>
          <w:highlight w:val="none"/>
          <w:lang w:val="zh-CN"/>
        </w:rPr>
        <w:t>投标函</w:t>
      </w:r>
    </w:p>
    <w:p>
      <w:pPr>
        <w:autoSpaceDE w:val="0"/>
        <w:autoSpaceDN w:val="0"/>
        <w:adjustRightInd w:val="0"/>
        <w:spacing w:line="300" w:lineRule="auto"/>
        <w:rPr>
          <w:rFonts w:ascii="宋体" w:hAnsi="宋体"/>
          <w:color w:val="auto"/>
          <w:sz w:val="24"/>
          <w:highlight w:val="none"/>
          <w:lang w:val="zh-CN"/>
        </w:rPr>
      </w:pPr>
      <w:r>
        <w:rPr>
          <w:rFonts w:hint="eastAsia" w:ascii="宋体" w:hAnsi="宋体"/>
          <w:color w:val="auto"/>
          <w:sz w:val="24"/>
          <w:highlight w:val="none"/>
          <w:lang w:val="zh-CN"/>
        </w:rPr>
        <w:t>致：南京信息工程大学</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根据贵方（项目名称）（项目编号）投标邀请，正式授权下述签字人</w:t>
      </w:r>
      <w:r>
        <w:rPr>
          <w:rFonts w:ascii="宋体" w:hAnsi="宋体"/>
          <w:color w:val="auto"/>
          <w:sz w:val="24"/>
          <w:highlight w:val="none"/>
          <w:lang w:val="zh-CN"/>
        </w:rPr>
        <w:t>(</w:t>
      </w:r>
      <w:r>
        <w:rPr>
          <w:rFonts w:hint="eastAsia" w:ascii="宋体" w:hAnsi="宋体"/>
          <w:color w:val="auto"/>
          <w:sz w:val="24"/>
          <w:highlight w:val="none"/>
          <w:lang w:val="zh-CN"/>
        </w:rPr>
        <w:t>姓名和职务</w:t>
      </w:r>
      <w:r>
        <w:rPr>
          <w:rFonts w:ascii="宋体" w:hAnsi="宋体"/>
          <w:color w:val="auto"/>
          <w:sz w:val="24"/>
          <w:highlight w:val="none"/>
          <w:lang w:val="zh-CN"/>
        </w:rPr>
        <w:t>)</w:t>
      </w:r>
      <w:r>
        <w:rPr>
          <w:rFonts w:hint="eastAsia" w:ascii="宋体" w:hAnsi="宋体"/>
          <w:color w:val="auto"/>
          <w:sz w:val="24"/>
          <w:highlight w:val="none"/>
          <w:lang w:val="zh-CN"/>
        </w:rPr>
        <w:t>代表投标人 （投标人名称），提交投标文件。</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color w:val="auto"/>
          <w:sz w:val="24"/>
          <w:highlight w:val="none"/>
        </w:rPr>
      </w:pPr>
      <w:r>
        <w:rPr>
          <w:rFonts w:ascii="宋体" w:hAnsi="宋体"/>
          <w:color w:val="auto"/>
          <w:sz w:val="24"/>
          <w:highlight w:val="none"/>
          <w:lang w:val="zh-CN"/>
        </w:rPr>
        <w:t>1</w:t>
      </w:r>
      <w:r>
        <w:rPr>
          <w:rFonts w:hint="eastAsia" w:ascii="宋体" w:hAnsi="宋体"/>
          <w:color w:val="auto"/>
          <w:sz w:val="24"/>
          <w:highlight w:val="none"/>
          <w:lang w:val="zh-CN"/>
        </w:rPr>
        <w:t>、</w:t>
      </w:r>
      <w:r>
        <w:rPr>
          <w:rFonts w:hint="eastAsia" w:ascii="宋体" w:hAnsi="宋体"/>
          <w:b/>
          <w:color w:val="auto"/>
          <w:sz w:val="24"/>
          <w:highlight w:val="none"/>
          <w:lang w:val="zh-CN"/>
        </w:rPr>
        <w:t>我们的资格条件完全符合政府采购法和本次招标要求</w:t>
      </w:r>
      <w:r>
        <w:rPr>
          <w:rFonts w:hint="eastAsia" w:ascii="宋体" w:hAnsi="宋体"/>
          <w:color w:val="auto"/>
          <w:sz w:val="24"/>
          <w:highlight w:val="none"/>
          <w:lang w:val="zh-CN"/>
        </w:rPr>
        <w:t>，</w:t>
      </w:r>
      <w:r>
        <w:rPr>
          <w:rFonts w:hint="eastAsia" w:ascii="宋体" w:hAnsi="宋体"/>
          <w:color w:val="auto"/>
          <w:sz w:val="24"/>
          <w:highlight w:val="none"/>
        </w:rPr>
        <w:t>我们</w:t>
      </w:r>
      <w:r>
        <w:rPr>
          <w:rFonts w:hint="eastAsia" w:ascii="宋体" w:hAnsi="宋体"/>
          <w:color w:val="auto"/>
          <w:sz w:val="24"/>
          <w:highlight w:val="none"/>
          <w:lang w:val="zh-CN"/>
        </w:rPr>
        <w:t>同意并向贵方提供了与投标有关的所有证据和资料。</w:t>
      </w:r>
    </w:p>
    <w:p>
      <w:pPr>
        <w:autoSpaceDE w:val="0"/>
        <w:autoSpaceDN w:val="0"/>
        <w:adjustRightInd w:val="0"/>
        <w:spacing w:line="300" w:lineRule="auto"/>
        <w:ind w:firstLine="480" w:firstLineChars="200"/>
        <w:rPr>
          <w:rFonts w:ascii="宋体" w:hAnsi="宋体"/>
          <w:color w:val="auto"/>
          <w:sz w:val="24"/>
          <w:highlight w:val="none"/>
          <w:lang w:val="zh-CN"/>
        </w:rPr>
      </w:pPr>
      <w:r>
        <w:rPr>
          <w:rFonts w:ascii="宋体" w:hAnsi="宋体"/>
          <w:color w:val="auto"/>
          <w:sz w:val="24"/>
          <w:highlight w:val="none"/>
        </w:rPr>
        <w:t>2</w:t>
      </w:r>
      <w:r>
        <w:rPr>
          <w:rFonts w:hint="eastAsia" w:ascii="宋体" w:hAnsi="宋体"/>
          <w:color w:val="auto"/>
          <w:sz w:val="24"/>
          <w:highlight w:val="none"/>
        </w:rPr>
        <w:t>、</w:t>
      </w:r>
      <w:r>
        <w:rPr>
          <w:rFonts w:hint="eastAsia" w:ascii="宋体" w:hAnsi="宋体"/>
          <w:color w:val="auto"/>
          <w:sz w:val="24"/>
          <w:highlight w:val="none"/>
          <w:lang w:val="zh-CN"/>
        </w:rPr>
        <w:t>按招标要求，我们的投标总报价为人民币大写</w:t>
      </w:r>
      <w:r>
        <w:rPr>
          <w:rFonts w:hint="eastAsia" w:ascii="宋体" w:hAnsi="宋体"/>
          <w:color w:val="auto"/>
          <w:sz w:val="24"/>
          <w:highlight w:val="none"/>
          <w:u w:val="single"/>
          <w:lang w:val="zh-CN"/>
        </w:rPr>
        <w:t xml:space="preserve">                        ，</w:t>
      </w:r>
      <w:r>
        <w:rPr>
          <w:rFonts w:hint="eastAsia" w:ascii="宋体" w:hAnsi="宋体"/>
          <w:color w:val="auto"/>
          <w:sz w:val="24"/>
          <w:highlight w:val="none"/>
          <w:lang w:val="zh-CN"/>
        </w:rPr>
        <w:t>小写：</w:t>
      </w:r>
      <w:r>
        <w:rPr>
          <w:rFonts w:hint="eastAsia" w:ascii="宋体" w:hAnsi="宋体"/>
          <w:color w:val="auto"/>
          <w:sz w:val="24"/>
          <w:highlight w:val="none"/>
          <w:u w:val="single"/>
          <w:lang w:val="zh-CN"/>
        </w:rPr>
        <w:t>￥         。</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3、项目负责人</w:t>
      </w:r>
      <w:r>
        <w:rPr>
          <w:rFonts w:ascii="宋体" w:hAnsi="宋体"/>
          <w:color w:val="auto"/>
          <w:sz w:val="24"/>
          <w:highlight w:val="none"/>
          <w:lang w:val="zh-CN"/>
        </w:rPr>
        <w:t>(</w:t>
      </w:r>
      <w:r>
        <w:rPr>
          <w:rFonts w:hint="eastAsia" w:ascii="宋体" w:hAnsi="宋体"/>
          <w:color w:val="auto"/>
          <w:sz w:val="24"/>
          <w:highlight w:val="none"/>
          <w:lang w:val="zh-CN"/>
        </w:rPr>
        <w:t>姓名</w:t>
      </w:r>
      <w:r>
        <w:rPr>
          <w:rFonts w:ascii="宋体" w:hAnsi="宋体"/>
          <w:color w:val="auto"/>
          <w:sz w:val="24"/>
          <w:highlight w:val="none"/>
          <w:lang w:val="zh-CN"/>
        </w:rPr>
        <w:t>)</w:t>
      </w:r>
      <w:r>
        <w:rPr>
          <w:rFonts w:hint="eastAsia" w:ascii="宋体" w:hAnsi="宋体"/>
          <w:color w:val="auto"/>
          <w:sz w:val="24"/>
          <w:highlight w:val="none"/>
          <w:lang w:val="zh-CN"/>
        </w:rPr>
        <w:t>，身份证号。</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4、我们已详细审核全部招标文件及其有效补充文件，我们放弃对招标文件任何误解的权利，提交投标文件后，</w:t>
      </w:r>
      <w:r>
        <w:rPr>
          <w:rFonts w:hint="eastAsia" w:ascii="宋体" w:hAnsi="宋体"/>
          <w:b/>
          <w:color w:val="auto"/>
          <w:sz w:val="24"/>
          <w:highlight w:val="none"/>
          <w:lang w:val="zh-CN"/>
        </w:rPr>
        <w:t>不对招标文件本身提出质疑</w:t>
      </w:r>
      <w:r>
        <w:rPr>
          <w:rFonts w:hint="eastAsia" w:ascii="宋体" w:hAnsi="宋体"/>
          <w:color w:val="auto"/>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6、一旦我方中标，我方将根据招标文件的规定严格履行合同，并保证于承诺的时间完成服务的启动</w:t>
      </w:r>
      <w:r>
        <w:rPr>
          <w:rFonts w:ascii="宋体" w:hAnsi="宋体"/>
          <w:color w:val="auto"/>
          <w:sz w:val="24"/>
          <w:highlight w:val="none"/>
          <w:lang w:val="zh-CN"/>
        </w:rPr>
        <w:t>/</w:t>
      </w:r>
      <w:r>
        <w:rPr>
          <w:rFonts w:hint="eastAsia" w:ascii="宋体" w:hAnsi="宋体"/>
          <w:color w:val="auto"/>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color w:val="auto"/>
          <w:sz w:val="24"/>
          <w:highlight w:val="none"/>
          <w:lang w:val="zh-CN"/>
        </w:rPr>
      </w:pPr>
      <w:r>
        <w:rPr>
          <w:rFonts w:ascii="宋体" w:hAnsi="宋体"/>
          <w:color w:val="auto"/>
          <w:sz w:val="24"/>
          <w:highlight w:val="none"/>
          <w:lang w:val="zh-CN"/>
        </w:rPr>
        <w:t>8</w:t>
      </w:r>
      <w:r>
        <w:rPr>
          <w:rFonts w:hint="eastAsia" w:ascii="宋体" w:hAnsi="宋体"/>
          <w:color w:val="auto"/>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地址：</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电话：</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传真：</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开户银行：</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银行账号：</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投标人法定代表人姓名（签字）：</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投标人名称：（盖章）</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日期：     年   月    日</w:t>
      </w:r>
    </w:p>
    <w:p>
      <w:pPr>
        <w:spacing w:line="360" w:lineRule="auto"/>
        <w:rPr>
          <w:rFonts w:asci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附件</w:t>
      </w:r>
      <w:r>
        <w:rPr>
          <w:rFonts w:ascii="宋体" w:hAnsi="宋体"/>
          <w:b/>
          <w:color w:val="auto"/>
          <w:sz w:val="28"/>
          <w:szCs w:val="28"/>
          <w:highlight w:val="none"/>
        </w:rPr>
        <w:t>3</w:t>
      </w:r>
      <w:r>
        <w:rPr>
          <w:rFonts w:hint="eastAsia" w:ascii="宋体" w:hAnsi="宋体"/>
          <w:b/>
          <w:color w:val="auto"/>
          <w:sz w:val="28"/>
          <w:szCs w:val="28"/>
          <w:highlight w:val="none"/>
        </w:rPr>
        <w:t>：</w:t>
      </w:r>
    </w:p>
    <w:p>
      <w:pPr>
        <w:spacing w:line="360" w:lineRule="auto"/>
        <w:jc w:val="center"/>
        <w:rPr>
          <w:rFonts w:ascii="宋体"/>
          <w:color w:val="auto"/>
          <w:sz w:val="44"/>
          <w:szCs w:val="44"/>
          <w:highlight w:val="none"/>
        </w:rPr>
      </w:pPr>
      <w:r>
        <w:rPr>
          <w:rFonts w:hint="eastAsia" w:ascii="宋体" w:hAnsi="宋体"/>
          <w:color w:val="auto"/>
          <w:sz w:val="44"/>
          <w:szCs w:val="44"/>
          <w:highlight w:val="none"/>
        </w:rPr>
        <w:t>投标项目报价明细表</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投标人</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招标编号及分包号</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投标报价</w:t>
      </w:r>
    </w:p>
    <w:tbl>
      <w:tblPr>
        <w:tblStyle w:val="15"/>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分包号</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货物</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名称</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货物</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描述</w:t>
            </w:r>
          </w:p>
        </w:tc>
        <w:tc>
          <w:tcPr>
            <w:tcW w:w="1065" w:type="dxa"/>
            <w:vAlign w:val="center"/>
          </w:tcPr>
          <w:p>
            <w:pPr>
              <w:spacing w:line="360" w:lineRule="auto"/>
              <w:jc w:val="center"/>
              <w:rPr>
                <w:rFonts w:hint="eastAsia" w:ascii="宋体" w:hAnsi="宋体"/>
                <w:b/>
                <w:color w:val="auto"/>
                <w:sz w:val="28"/>
                <w:szCs w:val="28"/>
                <w:highlight w:val="none"/>
                <w:lang w:val="en-US" w:eastAsia="zh-CN"/>
              </w:rPr>
            </w:pPr>
            <w:r>
              <w:rPr>
                <w:rFonts w:hint="eastAsia" w:ascii="宋体" w:hAnsi="宋体"/>
                <w:b/>
                <w:color w:val="auto"/>
                <w:sz w:val="28"/>
                <w:szCs w:val="28"/>
                <w:highlight w:val="none"/>
                <w:lang w:val="en-US" w:eastAsia="zh-CN"/>
              </w:rPr>
              <w:t>品牌</w:t>
            </w:r>
          </w:p>
          <w:p>
            <w:pPr>
              <w:spacing w:line="360" w:lineRule="auto"/>
              <w:jc w:val="center"/>
              <w:rPr>
                <w:rFonts w:hint="default" w:ascii="宋体" w:hAnsi="宋体" w:eastAsia="宋体"/>
                <w:b/>
                <w:color w:val="auto"/>
                <w:sz w:val="28"/>
                <w:szCs w:val="28"/>
                <w:highlight w:val="none"/>
                <w:lang w:val="en-US" w:eastAsia="zh-CN"/>
              </w:rPr>
            </w:pPr>
            <w:r>
              <w:rPr>
                <w:rFonts w:hint="eastAsia" w:ascii="宋体" w:hAnsi="宋体"/>
                <w:b/>
                <w:color w:val="auto"/>
                <w:sz w:val="28"/>
                <w:szCs w:val="28"/>
                <w:highlight w:val="none"/>
                <w:lang w:val="en-US" w:eastAsia="zh-CN"/>
              </w:rPr>
              <w:t>型号</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计量</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单位</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数量</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单价</w:t>
            </w:r>
          </w:p>
        </w:tc>
        <w:tc>
          <w:tcPr>
            <w:tcW w:w="1066"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每项</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总价</w:t>
            </w:r>
          </w:p>
        </w:tc>
        <w:tc>
          <w:tcPr>
            <w:tcW w:w="1066" w:type="dxa"/>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质保</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vAlign w:val="center"/>
          </w:tcPr>
          <w:p>
            <w:pPr>
              <w:spacing w:line="360" w:lineRule="auto"/>
              <w:jc w:val="center"/>
              <w:rPr>
                <w:rFonts w:ascii="宋体"/>
                <w:color w:val="auto"/>
                <w:sz w:val="28"/>
                <w:szCs w:val="28"/>
                <w:highlight w:val="none"/>
              </w:rPr>
            </w:pPr>
            <w:r>
              <w:rPr>
                <w:rFonts w:hint="eastAsia" w:ascii="宋体" w:hAnsi="宋体"/>
                <w:color w:val="auto"/>
                <w:sz w:val="28"/>
                <w:szCs w:val="28"/>
                <w:highlight w:val="none"/>
              </w:rPr>
              <w:t>合计总价</w:t>
            </w:r>
          </w:p>
        </w:tc>
        <w:tc>
          <w:tcPr>
            <w:tcW w:w="1065" w:type="dxa"/>
            <w:vAlign w:val="center"/>
          </w:tcPr>
          <w:p>
            <w:pPr>
              <w:spacing w:line="360" w:lineRule="auto"/>
              <w:rPr>
                <w:rFonts w:hint="eastAsia" w:ascii="宋体" w:hAnsi="宋体"/>
                <w:color w:val="auto"/>
                <w:sz w:val="28"/>
                <w:szCs w:val="28"/>
                <w:highlight w:val="none"/>
              </w:rPr>
            </w:pPr>
          </w:p>
        </w:tc>
        <w:tc>
          <w:tcPr>
            <w:tcW w:w="6392" w:type="dxa"/>
            <w:gridSpan w:val="6"/>
            <w:vAlign w:val="center"/>
          </w:tcPr>
          <w:p>
            <w:pPr>
              <w:spacing w:line="360" w:lineRule="auto"/>
              <w:rPr>
                <w:rFonts w:ascii="宋体"/>
                <w:color w:val="auto"/>
                <w:sz w:val="28"/>
                <w:szCs w:val="28"/>
                <w:highlight w:val="none"/>
                <w:u w:val="single"/>
              </w:rPr>
            </w:pPr>
            <w:r>
              <w:rPr>
                <w:rFonts w:hint="eastAsia" w:ascii="宋体" w:hAnsi="宋体"/>
                <w:color w:val="auto"/>
                <w:sz w:val="28"/>
                <w:szCs w:val="28"/>
                <w:highlight w:val="none"/>
              </w:rPr>
              <w:t>大写：小写：元</w:t>
            </w:r>
          </w:p>
        </w:tc>
      </w:tr>
    </w:tbl>
    <w:p>
      <w:pPr>
        <w:spacing w:line="360" w:lineRule="auto"/>
        <w:rPr>
          <w:rFonts w:ascii="宋体"/>
          <w:color w:val="auto"/>
          <w:sz w:val="28"/>
          <w:szCs w:val="28"/>
          <w:highlight w:val="none"/>
        </w:rPr>
      </w:pPr>
      <w:r>
        <w:rPr>
          <w:rFonts w:hint="eastAsia" w:ascii="宋体" w:hAnsi="宋体"/>
          <w:color w:val="auto"/>
          <w:sz w:val="28"/>
          <w:szCs w:val="28"/>
          <w:highlight w:val="none"/>
        </w:rPr>
        <w:t>（可续页）</w:t>
      </w:r>
    </w:p>
    <w:p>
      <w:pPr>
        <w:spacing w:line="360" w:lineRule="auto"/>
        <w:rPr>
          <w:rFonts w:ascii="宋体"/>
          <w:color w:val="auto"/>
          <w:sz w:val="28"/>
          <w:szCs w:val="28"/>
          <w:highlight w:val="none"/>
        </w:rPr>
      </w:pPr>
    </w:p>
    <w:p>
      <w:pPr>
        <w:spacing w:line="360" w:lineRule="auto"/>
        <w:rPr>
          <w:rFonts w:ascii="宋体"/>
          <w:color w:val="auto"/>
          <w:sz w:val="28"/>
          <w:szCs w:val="28"/>
          <w:highlight w:val="none"/>
          <w:u w:val="single"/>
        </w:rPr>
      </w:pPr>
      <w:r>
        <w:rPr>
          <w:rFonts w:hint="eastAsia" w:ascii="宋体" w:hAnsi="宋体"/>
          <w:color w:val="auto"/>
          <w:sz w:val="28"/>
          <w:szCs w:val="28"/>
          <w:highlight w:val="none"/>
        </w:rPr>
        <w:t>单位盖章：</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授权代表签字：</w:t>
      </w:r>
    </w:p>
    <w:p>
      <w:pPr>
        <w:spacing w:line="360" w:lineRule="auto"/>
        <w:rPr>
          <w:rFonts w:ascii="宋体"/>
          <w:color w:val="auto"/>
          <w:sz w:val="28"/>
          <w:szCs w:val="28"/>
          <w:highlight w:val="none"/>
        </w:rPr>
      </w:pPr>
    </w:p>
    <w:p>
      <w:pPr>
        <w:spacing w:line="360" w:lineRule="auto"/>
        <w:rPr>
          <w:rFonts w:ascii="宋体"/>
          <w:color w:val="auto"/>
          <w:sz w:val="28"/>
          <w:szCs w:val="28"/>
          <w:highlight w:val="none"/>
        </w:rPr>
      </w:pPr>
      <w:r>
        <w:rPr>
          <w:rFonts w:hint="eastAsia" w:ascii="宋体" w:hAnsi="宋体"/>
          <w:color w:val="auto"/>
          <w:sz w:val="28"/>
          <w:szCs w:val="28"/>
          <w:highlight w:val="none"/>
        </w:rPr>
        <w:t>年月日</w:t>
      </w:r>
    </w:p>
    <w:p>
      <w:pPr>
        <w:jc w:val="left"/>
        <w:rPr>
          <w:b/>
          <w:color w:val="auto"/>
          <w:sz w:val="28"/>
          <w:szCs w:val="28"/>
          <w:highlight w:val="none"/>
        </w:rPr>
      </w:pPr>
    </w:p>
    <w:bookmarkEnd w:id="10"/>
    <w:bookmarkEnd w:id="11"/>
    <w:p>
      <w:pPr>
        <w:jc w:val="left"/>
        <w:rPr>
          <w:b/>
          <w:color w:val="auto"/>
          <w:sz w:val="28"/>
          <w:szCs w:val="28"/>
          <w:highlight w:val="none"/>
        </w:rPr>
      </w:pPr>
      <w:r>
        <w:rPr>
          <w:rFonts w:hint="eastAsia"/>
          <w:b/>
          <w:color w:val="auto"/>
          <w:sz w:val="28"/>
          <w:szCs w:val="28"/>
          <w:highlight w:val="none"/>
        </w:rPr>
        <w:t>附件</w:t>
      </w:r>
      <w:r>
        <w:rPr>
          <w:b/>
          <w:color w:val="auto"/>
          <w:sz w:val="28"/>
          <w:szCs w:val="28"/>
          <w:highlight w:val="none"/>
        </w:rPr>
        <w:t>4</w:t>
      </w:r>
      <w:r>
        <w:rPr>
          <w:rFonts w:hint="eastAsia"/>
          <w:b/>
          <w:color w:val="auto"/>
          <w:sz w:val="28"/>
          <w:szCs w:val="28"/>
          <w:highlight w:val="none"/>
        </w:rPr>
        <w:t>：服务要求</w:t>
      </w:r>
    </w:p>
    <w:p>
      <w:pPr>
        <w:widowControl/>
        <w:spacing w:line="360" w:lineRule="auto"/>
        <w:ind w:firstLine="480" w:firstLineChars="200"/>
        <w:textAlignment w:val="center"/>
        <w:rPr>
          <w:rFonts w:ascii="宋体" w:hAnsi="宋体"/>
          <w:bCs/>
          <w:color w:val="auto"/>
          <w:sz w:val="24"/>
          <w:highlight w:val="none"/>
        </w:rPr>
      </w:pPr>
      <w:r>
        <w:rPr>
          <w:rFonts w:hint="eastAsia" w:ascii="宋体" w:hAnsi="宋体"/>
          <w:bCs/>
          <w:color w:val="auto"/>
          <w:sz w:val="24"/>
          <w:highlight w:val="none"/>
        </w:rPr>
        <w:t>1、本项目供货期：合同签订后90个日历</w:t>
      </w:r>
      <w:r>
        <w:rPr>
          <w:rFonts w:hint="eastAsia" w:ascii="宋体" w:hAnsi="宋体"/>
          <w:bCs/>
          <w:color w:val="auto"/>
          <w:sz w:val="24"/>
          <w:highlight w:val="none"/>
          <w:lang w:val="en-US" w:eastAsia="zh-CN"/>
        </w:rPr>
        <w:t>天</w:t>
      </w:r>
      <w:r>
        <w:rPr>
          <w:rFonts w:hint="eastAsia" w:ascii="宋体" w:hAnsi="宋体"/>
          <w:bCs/>
          <w:color w:val="auto"/>
          <w:sz w:val="24"/>
          <w:highlight w:val="none"/>
        </w:rPr>
        <w:t>日内。</w:t>
      </w:r>
    </w:p>
    <w:p>
      <w:pPr>
        <w:widowControl/>
        <w:spacing w:line="360" w:lineRule="auto"/>
        <w:ind w:firstLine="480" w:firstLineChars="200"/>
        <w:textAlignment w:val="center"/>
        <w:rPr>
          <w:rFonts w:ascii="宋体" w:hAnsi="宋体"/>
          <w:bCs/>
          <w:color w:val="auto"/>
          <w:sz w:val="24"/>
          <w:highlight w:val="none"/>
        </w:rPr>
      </w:pPr>
      <w:r>
        <w:rPr>
          <w:rFonts w:hint="eastAsia" w:ascii="宋体" w:hAnsi="宋体"/>
          <w:bCs/>
          <w:color w:val="auto"/>
          <w:sz w:val="24"/>
          <w:highlight w:val="none"/>
        </w:rPr>
        <w:t>2、</w:t>
      </w:r>
      <w:r>
        <w:rPr>
          <w:rFonts w:hint="eastAsia" w:ascii="宋体" w:hAnsi="宋体"/>
          <w:bCs/>
          <w:color w:val="auto"/>
          <w:sz w:val="24"/>
          <w:highlight w:val="none"/>
          <w:lang w:val="en-US" w:eastAsia="zh-CN"/>
        </w:rPr>
        <w:t>中标商到货后提供</w:t>
      </w:r>
      <w:r>
        <w:rPr>
          <w:rFonts w:hint="eastAsia" w:ascii="宋体" w:hAnsi="宋体"/>
          <w:bCs/>
          <w:color w:val="auto"/>
          <w:sz w:val="24"/>
          <w:highlight w:val="none"/>
        </w:rPr>
        <w:t>质保期一年</w:t>
      </w:r>
      <w:r>
        <w:rPr>
          <w:rFonts w:hint="eastAsia" w:ascii="宋体" w:hAnsi="宋体"/>
          <w:bCs/>
          <w:color w:val="auto"/>
          <w:sz w:val="24"/>
          <w:highlight w:val="none"/>
          <w:lang w:val="en-US" w:eastAsia="zh-CN"/>
        </w:rPr>
        <w:t>以上服务</w:t>
      </w:r>
      <w:r>
        <w:rPr>
          <w:rFonts w:hint="eastAsia" w:ascii="宋体" w:hAnsi="宋体"/>
          <w:bCs/>
          <w:color w:val="auto"/>
          <w:sz w:val="24"/>
          <w:highlight w:val="none"/>
        </w:rPr>
        <w:t>，同系列软件终身免费升级；</w:t>
      </w:r>
    </w:p>
    <w:p>
      <w:pPr>
        <w:widowControl/>
        <w:spacing w:line="360" w:lineRule="auto"/>
        <w:ind w:firstLine="480" w:firstLineChars="200"/>
        <w:textAlignment w:val="center"/>
        <w:rPr>
          <w:rFonts w:ascii="宋体" w:hAnsi="宋体"/>
          <w:bCs/>
          <w:color w:val="auto"/>
          <w:sz w:val="24"/>
          <w:highlight w:val="none"/>
        </w:rPr>
      </w:pPr>
      <w:r>
        <w:rPr>
          <w:rFonts w:hint="eastAsia" w:ascii="宋体" w:hAnsi="宋体"/>
          <w:bCs/>
          <w:color w:val="auto"/>
          <w:sz w:val="24"/>
          <w:highlight w:val="none"/>
        </w:rPr>
        <w:t>3、供应商确保所提供货物的技术资料完整统一且内容准确，所提供货物技术参数要真实有效，须和制造厂家官方网站公布参数要严格一致，如有差异，以官方网站为准，提供官网技术参数截图，不提供视为不响应；</w:t>
      </w:r>
    </w:p>
    <w:p>
      <w:pPr>
        <w:widowControl/>
        <w:spacing w:line="360" w:lineRule="auto"/>
        <w:ind w:firstLine="480" w:firstLineChars="200"/>
        <w:textAlignment w:val="center"/>
        <w:rPr>
          <w:rFonts w:ascii="宋体" w:hAnsi="宋体"/>
          <w:bCs/>
          <w:color w:val="auto"/>
          <w:sz w:val="24"/>
          <w:highlight w:val="none"/>
        </w:rPr>
      </w:pPr>
      <w:r>
        <w:rPr>
          <w:rFonts w:hint="eastAsia" w:ascii="宋体" w:hAnsi="宋体"/>
          <w:bCs/>
          <w:color w:val="auto"/>
          <w:sz w:val="24"/>
          <w:highlight w:val="none"/>
        </w:rPr>
        <w:t>4、招投标流程中，凡有争议者签订合同前要带样机进行检测，一切费用由供应商承担；</w:t>
      </w:r>
    </w:p>
    <w:p>
      <w:pPr>
        <w:widowControl/>
        <w:spacing w:line="360" w:lineRule="auto"/>
        <w:ind w:firstLine="480" w:firstLineChars="200"/>
        <w:textAlignment w:val="center"/>
        <w:rPr>
          <w:rFonts w:ascii="宋体" w:hAnsi="宋体"/>
          <w:bCs/>
          <w:color w:val="auto"/>
          <w:sz w:val="24"/>
          <w:highlight w:val="none"/>
        </w:rPr>
      </w:pPr>
      <w:r>
        <w:rPr>
          <w:rFonts w:hint="eastAsia" w:ascii="宋体" w:hAnsi="宋体"/>
          <w:bCs/>
          <w:color w:val="auto"/>
          <w:sz w:val="24"/>
          <w:highlight w:val="none"/>
        </w:rPr>
        <w:t>5、硬件出现故障要求厂家24小时响应，48小时内到达，如返厂维修，须提供样机；</w:t>
      </w:r>
    </w:p>
    <w:p>
      <w:pPr>
        <w:widowControl/>
        <w:spacing w:line="360" w:lineRule="auto"/>
        <w:ind w:firstLine="480" w:firstLineChars="200"/>
        <w:textAlignment w:val="center"/>
        <w:rPr>
          <w:rFonts w:ascii="宋体" w:hAnsi="宋体"/>
          <w:bCs/>
          <w:color w:val="auto"/>
          <w:sz w:val="24"/>
          <w:highlight w:val="none"/>
        </w:rPr>
      </w:pPr>
      <w:r>
        <w:rPr>
          <w:rFonts w:hint="eastAsia" w:ascii="宋体" w:hAnsi="宋体"/>
          <w:bCs/>
          <w:color w:val="auto"/>
          <w:sz w:val="24"/>
          <w:highlight w:val="none"/>
        </w:rPr>
        <w:t>6、仪器使用问题需要2小时内响应，可通过电话、邮件等、如果不能解决，48小时内到达用户指定地点进行指导；</w:t>
      </w:r>
    </w:p>
    <w:p>
      <w:pPr>
        <w:widowControl/>
        <w:spacing w:line="360" w:lineRule="auto"/>
        <w:ind w:firstLine="480" w:firstLineChars="200"/>
        <w:textAlignment w:val="center"/>
        <w:rPr>
          <w:rFonts w:ascii="宋体" w:hAnsi="宋体"/>
          <w:bCs/>
          <w:color w:val="auto"/>
          <w:sz w:val="24"/>
          <w:highlight w:val="none"/>
        </w:rPr>
      </w:pPr>
      <w:r>
        <w:rPr>
          <w:rFonts w:hint="eastAsia" w:ascii="宋体" w:hAnsi="宋体"/>
          <w:bCs/>
          <w:color w:val="auto"/>
          <w:sz w:val="24"/>
          <w:highlight w:val="none"/>
        </w:rPr>
        <w:t>7、一周仪器操作使用培训，用户指定地点培训，不限制人数，可根据需要延长培训时间</w:t>
      </w: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培训费由中标商承担</w:t>
      </w:r>
      <w:r>
        <w:rPr>
          <w:rFonts w:hint="eastAsia" w:ascii="宋体" w:hAnsi="宋体"/>
          <w:bCs/>
          <w:color w:val="auto"/>
          <w:sz w:val="24"/>
          <w:highlight w:val="none"/>
        </w:rPr>
        <w:t>；</w:t>
      </w:r>
    </w:p>
    <w:p>
      <w:pPr>
        <w:widowControl/>
        <w:spacing w:line="360" w:lineRule="auto"/>
        <w:ind w:firstLine="480" w:firstLineChars="200"/>
        <w:textAlignment w:val="center"/>
        <w:rPr>
          <w:rFonts w:ascii="宋体" w:hAnsi="宋体"/>
          <w:bCs/>
          <w:color w:val="auto"/>
          <w:sz w:val="24"/>
          <w:highlight w:val="none"/>
        </w:rPr>
      </w:pPr>
      <w:r>
        <w:rPr>
          <w:rFonts w:hint="eastAsia" w:ascii="宋体" w:hAnsi="宋体"/>
          <w:bCs/>
          <w:color w:val="auto"/>
          <w:sz w:val="24"/>
          <w:highlight w:val="none"/>
        </w:rPr>
        <w:t>8、使用一段时间后，可根据用户需要再次到用户指定地点在进行培训；</w:t>
      </w:r>
    </w:p>
    <w:p>
      <w:pPr>
        <w:widowControl/>
        <w:spacing w:line="360" w:lineRule="auto"/>
        <w:ind w:firstLine="480" w:firstLineChars="200"/>
        <w:textAlignment w:val="center"/>
        <w:rPr>
          <w:rFonts w:ascii="宋体" w:hAnsi="宋体"/>
          <w:bCs/>
          <w:color w:val="auto"/>
          <w:sz w:val="24"/>
          <w:highlight w:val="none"/>
        </w:rPr>
      </w:pPr>
      <w:r>
        <w:rPr>
          <w:rFonts w:hint="eastAsia" w:ascii="宋体" w:hAnsi="宋体"/>
          <w:bCs/>
          <w:color w:val="auto"/>
          <w:sz w:val="24"/>
          <w:highlight w:val="none"/>
        </w:rPr>
        <w:t>9、为保证产品质量，需提供生产厂商或中国区总代理商出具的授权书。</w:t>
      </w:r>
    </w:p>
    <w:p>
      <w:pPr>
        <w:widowControl/>
        <w:jc w:val="left"/>
        <w:rPr>
          <w:rFonts w:ascii="宋体" w:hAnsi="宋体" w:cs="仿宋"/>
          <w:b/>
          <w:bCs/>
          <w:color w:val="auto"/>
          <w:sz w:val="28"/>
          <w:szCs w:val="28"/>
          <w:highlight w:val="none"/>
        </w:rPr>
      </w:pPr>
      <w:r>
        <w:rPr>
          <w:rFonts w:ascii="宋体" w:hAnsi="宋体" w:cs="仿宋"/>
          <w:b/>
          <w:bCs/>
          <w:color w:val="auto"/>
          <w:sz w:val="28"/>
          <w:szCs w:val="28"/>
          <w:highlight w:val="none"/>
        </w:rPr>
        <w:br w:type="page"/>
      </w:r>
    </w:p>
    <w:p>
      <w:pPr>
        <w:adjustRightInd w:val="0"/>
        <w:snapToGrid w:val="0"/>
        <w:spacing w:line="360" w:lineRule="auto"/>
        <w:rPr>
          <w:rFonts w:ascii="宋体" w:hAnsi="宋体" w:cs="仿宋"/>
          <w:b/>
          <w:bCs/>
          <w:color w:val="auto"/>
          <w:sz w:val="28"/>
          <w:szCs w:val="28"/>
          <w:highlight w:val="none"/>
        </w:rPr>
      </w:pPr>
      <w:r>
        <w:rPr>
          <w:rFonts w:hint="eastAsia" w:ascii="宋体" w:hAnsi="宋体" w:cs="仿宋"/>
          <w:b/>
          <w:bCs/>
          <w:color w:val="auto"/>
          <w:sz w:val="28"/>
          <w:szCs w:val="28"/>
          <w:highlight w:val="none"/>
        </w:rPr>
        <w:t>附件</w:t>
      </w:r>
      <w:r>
        <w:rPr>
          <w:rFonts w:ascii="宋体" w:hAnsi="宋体" w:cs="仿宋"/>
          <w:b/>
          <w:bCs/>
          <w:color w:val="auto"/>
          <w:sz w:val="28"/>
          <w:szCs w:val="28"/>
          <w:highlight w:val="none"/>
        </w:rPr>
        <w:t>5</w:t>
      </w:r>
      <w:r>
        <w:rPr>
          <w:rFonts w:hint="eastAsia" w:ascii="宋体" w:hAnsi="宋体" w:cs="仿宋"/>
          <w:b/>
          <w:bCs/>
          <w:color w:val="auto"/>
          <w:sz w:val="28"/>
          <w:szCs w:val="28"/>
          <w:highlight w:val="none"/>
        </w:rPr>
        <w:t>：评标办法</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260"/>
        <w:gridCol w:w="6402"/>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360" w:lineRule="auto"/>
              <w:jc w:val="center"/>
              <w:rPr>
                <w:rFonts w:ascii="宋体" w:hAnsi="宋体"/>
                <w:b/>
                <w:color w:val="auto"/>
                <w:kern w:val="0"/>
                <w:sz w:val="24"/>
                <w:szCs w:val="28"/>
                <w:highlight w:val="none"/>
              </w:rPr>
            </w:pPr>
            <w:r>
              <w:rPr>
                <w:rFonts w:ascii="宋体" w:hAnsi="宋体"/>
                <w:b/>
                <w:color w:val="auto"/>
                <w:kern w:val="0"/>
                <w:sz w:val="24"/>
                <w:szCs w:val="28"/>
                <w:highlight w:val="none"/>
              </w:rPr>
              <w:t>序号</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60" w:lineRule="auto"/>
              <w:jc w:val="center"/>
              <w:rPr>
                <w:rFonts w:ascii="宋体" w:hAnsi="宋体"/>
                <w:b/>
                <w:color w:val="auto"/>
                <w:kern w:val="0"/>
                <w:sz w:val="24"/>
                <w:szCs w:val="28"/>
                <w:highlight w:val="none"/>
              </w:rPr>
            </w:pPr>
            <w:r>
              <w:rPr>
                <w:rFonts w:hint="eastAsia" w:ascii="宋体" w:hAnsi="宋体"/>
                <w:b/>
                <w:color w:val="auto"/>
                <w:kern w:val="0"/>
                <w:sz w:val="24"/>
                <w:szCs w:val="28"/>
                <w:highlight w:val="none"/>
              </w:rPr>
              <w:t>评分因素</w:t>
            </w:r>
          </w:p>
        </w:tc>
        <w:tc>
          <w:tcPr>
            <w:tcW w:w="64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60" w:lineRule="auto"/>
              <w:jc w:val="center"/>
              <w:rPr>
                <w:rFonts w:ascii="宋体" w:hAnsi="宋体"/>
                <w:b/>
                <w:color w:val="auto"/>
                <w:kern w:val="0"/>
                <w:sz w:val="24"/>
                <w:szCs w:val="28"/>
                <w:highlight w:val="none"/>
              </w:rPr>
            </w:pPr>
            <w:r>
              <w:rPr>
                <w:rFonts w:ascii="宋体" w:hAnsi="宋体"/>
                <w:b/>
                <w:color w:val="auto"/>
                <w:kern w:val="0"/>
                <w:sz w:val="24"/>
                <w:szCs w:val="28"/>
                <w:highlight w:val="none"/>
              </w:rPr>
              <w:t>评分</w:t>
            </w:r>
            <w:r>
              <w:rPr>
                <w:rFonts w:hint="eastAsia" w:ascii="宋体" w:hAnsi="宋体"/>
                <w:b/>
                <w:color w:val="auto"/>
                <w:kern w:val="0"/>
                <w:sz w:val="24"/>
                <w:szCs w:val="28"/>
                <w:highlight w:val="none"/>
              </w:rPr>
              <w:t>内容</w:t>
            </w:r>
          </w:p>
        </w:tc>
        <w:tc>
          <w:tcPr>
            <w:tcW w:w="11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color w:val="auto"/>
                <w:kern w:val="0"/>
                <w:sz w:val="24"/>
                <w:szCs w:val="28"/>
                <w:highlight w:val="none"/>
              </w:rPr>
            </w:pPr>
            <w:r>
              <w:rPr>
                <w:rFonts w:hint="eastAsia" w:ascii="宋体" w:hAnsi="宋体"/>
                <w:b/>
                <w:color w:val="auto"/>
                <w:kern w:val="0"/>
                <w:sz w:val="24"/>
                <w:szCs w:val="28"/>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仿宋"/>
                <w:color w:val="auto"/>
                <w:sz w:val="24"/>
                <w:highlight w:val="none"/>
              </w:rPr>
            </w:pPr>
            <w:r>
              <w:rPr>
                <w:rFonts w:hint="eastAsia" w:ascii="宋体" w:hAnsi="宋体" w:cs="仿宋"/>
                <w:color w:val="auto"/>
                <w:sz w:val="24"/>
                <w:highlight w:val="none"/>
              </w:rPr>
              <w:t>1</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仿宋"/>
                <w:color w:val="auto"/>
                <w:sz w:val="24"/>
                <w:highlight w:val="none"/>
              </w:rPr>
            </w:pPr>
            <w:r>
              <w:rPr>
                <w:rFonts w:hint="eastAsia" w:ascii="宋体" w:hAnsi="宋体" w:cs="仿宋"/>
                <w:color w:val="auto"/>
                <w:sz w:val="24"/>
                <w:highlight w:val="none"/>
              </w:rPr>
              <w:t>投标报价</w:t>
            </w:r>
          </w:p>
          <w:p>
            <w:pPr>
              <w:spacing w:line="360" w:lineRule="auto"/>
              <w:jc w:val="center"/>
              <w:rPr>
                <w:rFonts w:ascii="宋体" w:hAnsi="宋体" w:cs="仿宋"/>
                <w:color w:val="auto"/>
                <w:sz w:val="24"/>
                <w:highlight w:val="none"/>
              </w:rPr>
            </w:pPr>
            <w:r>
              <w:rPr>
                <w:rFonts w:hint="eastAsia" w:ascii="宋体" w:hAnsi="宋体" w:cs="仿宋"/>
                <w:color w:val="auto"/>
                <w:sz w:val="24"/>
                <w:highlight w:val="none"/>
              </w:rPr>
              <w:t>（</w:t>
            </w:r>
            <w:r>
              <w:rPr>
                <w:rFonts w:hint="eastAsia" w:ascii="宋体" w:hAnsi="宋体" w:cs="仿宋"/>
                <w:color w:val="auto"/>
                <w:sz w:val="24"/>
                <w:highlight w:val="none"/>
                <w:lang w:val="en-US" w:eastAsia="zh-CN"/>
              </w:rPr>
              <w:t>4</w:t>
            </w:r>
            <w:r>
              <w:rPr>
                <w:rFonts w:hint="eastAsia" w:ascii="宋体" w:hAnsi="宋体" w:cs="仿宋"/>
                <w:color w:val="auto"/>
                <w:sz w:val="24"/>
                <w:highlight w:val="none"/>
              </w:rPr>
              <w:t>0分）</w:t>
            </w:r>
          </w:p>
        </w:tc>
        <w:tc>
          <w:tcPr>
            <w:tcW w:w="64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综合评分法中的价格分统一采用低价优先法计算，即满足招标文件要求且投标价格最低的投标报价为评标基准价，其价格分为满分</w:t>
            </w:r>
            <w:r>
              <w:rPr>
                <w:rFonts w:hint="eastAsia" w:ascii="宋体" w:hAnsi="宋体" w:cs="仿宋"/>
                <w:color w:val="auto"/>
                <w:sz w:val="24"/>
                <w:highlight w:val="none"/>
                <w:lang w:val="en-US" w:eastAsia="zh-CN"/>
              </w:rPr>
              <w:t>4</w:t>
            </w:r>
            <w:r>
              <w:rPr>
                <w:rFonts w:ascii="宋体" w:hAnsi="宋体" w:cs="仿宋"/>
                <w:color w:val="auto"/>
                <w:sz w:val="24"/>
                <w:highlight w:val="none"/>
              </w:rPr>
              <w:t>0分。其他投标人的价格分统一按照下列公式计算：投标报价得分=(评标基准价／投标报价)×</w:t>
            </w:r>
            <w:r>
              <w:rPr>
                <w:rFonts w:hint="eastAsia" w:ascii="宋体" w:hAnsi="宋体" w:cs="仿宋"/>
                <w:color w:val="auto"/>
                <w:sz w:val="24"/>
                <w:highlight w:val="none"/>
                <w:lang w:val="en-US" w:eastAsia="zh-CN"/>
              </w:rPr>
              <w:t>4</w:t>
            </w:r>
            <w:r>
              <w:rPr>
                <w:rFonts w:ascii="宋体" w:hAnsi="宋体" w:cs="仿宋"/>
                <w:color w:val="auto"/>
                <w:sz w:val="24"/>
                <w:highlight w:val="none"/>
              </w:rPr>
              <w:t>0</w:t>
            </w:r>
          </w:p>
          <w:p>
            <w:pPr>
              <w:spacing w:line="360" w:lineRule="auto"/>
              <w:ind w:firstLine="480" w:firstLineChars="200"/>
              <w:rPr>
                <w:rFonts w:ascii="宋体" w:hAnsi="宋体" w:cs="仿宋"/>
                <w:color w:val="auto"/>
                <w:sz w:val="24"/>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ind w:leftChars="-1" w:hanging="2" w:hangingChars="1"/>
              <w:jc w:val="center"/>
              <w:rPr>
                <w:rFonts w:ascii="宋体" w:hAnsi="宋体" w:cs="仿宋"/>
                <w:color w:val="auto"/>
                <w:sz w:val="24"/>
                <w:highlight w:val="none"/>
              </w:rPr>
            </w:pPr>
            <w:r>
              <w:rPr>
                <w:rFonts w:hint="eastAsia" w:ascii="宋体" w:hAnsi="宋体" w:cs="仿宋"/>
                <w:color w:val="auto"/>
                <w:sz w:val="24"/>
                <w:highlight w:val="none"/>
              </w:rPr>
              <w:t>0-</w:t>
            </w:r>
            <w:r>
              <w:rPr>
                <w:rFonts w:hint="eastAsia" w:ascii="宋体" w:hAnsi="宋体" w:cs="仿宋"/>
                <w:color w:val="auto"/>
                <w:sz w:val="24"/>
                <w:highlight w:val="none"/>
                <w:lang w:val="en-US" w:eastAsia="zh-CN"/>
              </w:rPr>
              <w:t>4</w:t>
            </w:r>
            <w:r>
              <w:rPr>
                <w:rFonts w:hint="eastAsia" w:ascii="宋体" w:hAnsi="宋体" w:cs="仿宋"/>
                <w:color w:val="auto"/>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555"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仿宋"/>
                <w:color w:val="auto"/>
                <w:sz w:val="24"/>
                <w:highlight w:val="none"/>
              </w:rPr>
            </w:pPr>
            <w:r>
              <w:rPr>
                <w:rFonts w:hint="eastAsia" w:ascii="宋体" w:hAnsi="宋体" w:cs="仿宋"/>
                <w:color w:val="auto"/>
                <w:sz w:val="24"/>
                <w:highlight w:val="none"/>
              </w:rPr>
              <w:t>2</w:t>
            </w:r>
          </w:p>
        </w:tc>
        <w:tc>
          <w:tcPr>
            <w:tcW w:w="1260"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仿宋"/>
                <w:color w:val="auto"/>
                <w:sz w:val="24"/>
                <w:highlight w:val="none"/>
              </w:rPr>
            </w:pPr>
            <w:r>
              <w:rPr>
                <w:rFonts w:hint="eastAsia" w:ascii="宋体" w:hAnsi="宋体" w:cs="仿宋"/>
                <w:color w:val="auto"/>
                <w:sz w:val="24"/>
                <w:highlight w:val="none"/>
              </w:rPr>
              <w:t>技术性能</w:t>
            </w:r>
          </w:p>
          <w:p>
            <w:pPr>
              <w:spacing w:line="360" w:lineRule="auto"/>
              <w:jc w:val="center"/>
              <w:rPr>
                <w:rFonts w:ascii="宋体" w:hAnsi="宋体" w:cs="仿宋"/>
                <w:color w:val="auto"/>
                <w:sz w:val="24"/>
                <w:highlight w:val="none"/>
              </w:rPr>
            </w:pPr>
            <w:r>
              <w:rPr>
                <w:rFonts w:hint="eastAsia" w:ascii="宋体" w:hAnsi="宋体" w:cs="仿宋"/>
                <w:color w:val="auto"/>
                <w:sz w:val="24"/>
                <w:highlight w:val="none"/>
              </w:rPr>
              <w:t>（</w:t>
            </w:r>
            <w:r>
              <w:rPr>
                <w:rFonts w:hint="eastAsia" w:ascii="宋体" w:hAnsi="宋体" w:cs="仿宋"/>
                <w:color w:val="auto"/>
                <w:sz w:val="24"/>
                <w:highlight w:val="none"/>
                <w:lang w:val="en-US" w:eastAsia="zh-CN"/>
              </w:rPr>
              <w:t>3</w:t>
            </w:r>
            <w:r>
              <w:rPr>
                <w:rFonts w:hint="eastAsia" w:ascii="宋体" w:hAnsi="宋体" w:cs="仿宋"/>
                <w:color w:val="auto"/>
                <w:sz w:val="24"/>
                <w:highlight w:val="none"/>
              </w:rPr>
              <w:t>0分）</w:t>
            </w:r>
          </w:p>
        </w:tc>
        <w:tc>
          <w:tcPr>
            <w:tcW w:w="6402"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投标人提供的产品技术规格、参数完全响应招标文件技术要求，得</w:t>
            </w:r>
            <w:r>
              <w:rPr>
                <w:rFonts w:hint="eastAsia" w:ascii="宋体" w:hAnsi="宋体" w:cs="仿宋"/>
                <w:color w:val="auto"/>
                <w:sz w:val="24"/>
                <w:highlight w:val="none"/>
                <w:lang w:val="en-US" w:eastAsia="zh-CN"/>
              </w:rPr>
              <w:t>20</w:t>
            </w:r>
            <w:r>
              <w:rPr>
                <w:rFonts w:hint="eastAsia" w:ascii="宋体" w:hAnsi="宋体" w:cs="仿宋"/>
                <w:color w:val="auto"/>
                <w:sz w:val="24"/>
                <w:highlight w:val="none"/>
              </w:rPr>
              <w:t>分。有实质性正偏离</w:t>
            </w:r>
            <w:r>
              <w:rPr>
                <w:rFonts w:hint="eastAsia" w:ascii="宋体" w:hAnsi="宋体" w:cs="宋体"/>
                <w:color w:val="auto"/>
                <w:kern w:val="0"/>
                <w:szCs w:val="21"/>
                <w:highlight w:val="none"/>
              </w:rPr>
              <w:t>★</w:t>
            </w:r>
            <w:r>
              <w:rPr>
                <w:rFonts w:hint="eastAsia" w:ascii="宋体" w:hAnsi="宋体" w:cs="仿宋"/>
                <w:color w:val="auto"/>
                <w:sz w:val="24"/>
                <w:highlight w:val="none"/>
              </w:rPr>
              <w:t>每项酌2分，</w:t>
            </w:r>
            <w:r>
              <w:rPr>
                <w:rFonts w:hint="eastAsia" w:ascii="宋体" w:hAnsi="宋体" w:cs="仿宋"/>
                <w:color w:val="auto"/>
                <w:sz w:val="24"/>
                <w:highlight w:val="none"/>
                <w:lang w:val="en-US" w:eastAsia="zh-CN"/>
              </w:rPr>
              <w:t>其他每项加1分，</w:t>
            </w:r>
            <w:r>
              <w:rPr>
                <w:rFonts w:hint="eastAsia" w:ascii="宋体" w:hAnsi="宋体" w:cs="仿宋"/>
                <w:color w:val="auto"/>
                <w:sz w:val="24"/>
                <w:highlight w:val="none"/>
              </w:rPr>
              <w:t>最多加10分；</w:t>
            </w:r>
            <w:r>
              <w:rPr>
                <w:rFonts w:hint="eastAsia" w:ascii="宋体" w:hAnsi="宋体" w:cs="仿宋"/>
                <w:color w:val="auto"/>
                <w:sz w:val="24"/>
                <w:highlight w:val="none"/>
                <w:lang w:val="en-US" w:eastAsia="zh-CN"/>
              </w:rPr>
              <w:t>本项目不允许负偏离，</w:t>
            </w:r>
            <w:r>
              <w:rPr>
                <w:rFonts w:hint="eastAsia" w:ascii="宋体" w:hAnsi="宋体" w:cs="宋体"/>
                <w:color w:val="auto"/>
                <w:kern w:val="0"/>
                <w:szCs w:val="21"/>
                <w:highlight w:val="none"/>
              </w:rPr>
              <w:t>★</w:t>
            </w:r>
            <w:r>
              <w:rPr>
                <w:rFonts w:hint="eastAsia" w:ascii="宋体" w:hAnsi="宋体" w:cs="仿宋"/>
                <w:color w:val="auto"/>
                <w:sz w:val="24"/>
                <w:highlight w:val="none"/>
              </w:rPr>
              <w:t>号条款为必须满足</w:t>
            </w:r>
            <w:r>
              <w:rPr>
                <w:rFonts w:hint="eastAsia" w:ascii="宋体" w:hAnsi="宋体" w:cs="仿宋"/>
                <w:color w:val="auto"/>
                <w:sz w:val="24"/>
                <w:highlight w:val="none"/>
                <w:lang w:val="en-US" w:eastAsia="zh-CN"/>
              </w:rPr>
              <w:t>项，不满足按无效标处理</w:t>
            </w:r>
            <w:r>
              <w:rPr>
                <w:rFonts w:hint="eastAsia" w:ascii="宋体" w:hAnsi="宋体" w:cs="仿宋"/>
                <w:color w:val="auto"/>
                <w:sz w:val="24"/>
                <w:highlight w:val="none"/>
              </w:rPr>
              <w:t>。</w:t>
            </w:r>
          </w:p>
          <w:p>
            <w:pPr>
              <w:spacing w:line="360" w:lineRule="auto"/>
              <w:ind w:firstLine="480" w:firstLineChars="200"/>
              <w:rPr>
                <w:rFonts w:hint="eastAsia" w:ascii="宋体" w:hAnsi="宋体" w:eastAsia="宋体" w:cs="仿宋"/>
                <w:color w:val="auto"/>
                <w:sz w:val="24"/>
                <w:highlight w:val="none"/>
                <w:lang w:val="en-US" w:eastAsia="zh-CN"/>
              </w:rPr>
            </w:pPr>
            <w:r>
              <w:rPr>
                <w:rFonts w:hint="eastAsia" w:ascii="宋体" w:hAnsi="宋体" w:cs="仿宋"/>
                <w:color w:val="auto"/>
                <w:sz w:val="24"/>
                <w:highlight w:val="none"/>
              </w:rPr>
              <w:t>各投标供应商均应如实填写偏离情况，核心指标与重要指标需提供证明其应标参数的证明材料</w:t>
            </w:r>
            <w:r>
              <w:rPr>
                <w:rFonts w:hint="eastAsia" w:ascii="宋体" w:hAnsi="宋体" w:cs="仿宋"/>
                <w:color w:val="auto"/>
                <w:sz w:val="24"/>
                <w:highlight w:val="none"/>
                <w:lang w:eastAsia="zh-CN"/>
              </w:rPr>
              <w:t>（</w:t>
            </w:r>
            <w:r>
              <w:rPr>
                <w:rFonts w:hint="eastAsia" w:ascii="宋体" w:hAnsi="宋体" w:cs="仿宋"/>
                <w:color w:val="auto"/>
                <w:sz w:val="24"/>
                <w:highlight w:val="none"/>
              </w:rPr>
              <w:t>制造商公开发布的印刷资料（宣传材料、说明书）或检测机构出具的检测报告</w:t>
            </w:r>
            <w:r>
              <w:rPr>
                <w:rFonts w:hint="eastAsia" w:ascii="宋体" w:hAnsi="宋体" w:cs="仿宋"/>
                <w:color w:val="auto"/>
                <w:sz w:val="24"/>
                <w:highlight w:val="none"/>
                <w:lang w:eastAsia="zh-CN"/>
              </w:rPr>
              <w:t>，</w:t>
            </w:r>
            <w:r>
              <w:rPr>
                <w:rFonts w:hint="eastAsia" w:ascii="宋体" w:hAnsi="宋体" w:cs="仿宋"/>
                <w:color w:val="auto"/>
                <w:sz w:val="24"/>
                <w:highlight w:val="none"/>
                <w:lang w:val="en-US" w:eastAsia="zh-CN"/>
              </w:rPr>
              <w:t>加盖单位公章</w:t>
            </w:r>
            <w:r>
              <w:rPr>
                <w:rFonts w:hint="eastAsia" w:ascii="宋体" w:hAnsi="宋体" w:cs="仿宋"/>
                <w:color w:val="auto"/>
                <w:sz w:val="24"/>
                <w:highlight w:val="none"/>
                <w:lang w:eastAsia="zh-CN"/>
              </w:rPr>
              <w:t>）</w:t>
            </w:r>
          </w:p>
        </w:tc>
        <w:tc>
          <w:tcPr>
            <w:tcW w:w="1173" w:type="dxa"/>
            <w:tcBorders>
              <w:top w:val="single" w:color="auto" w:sz="4" w:space="0"/>
              <w:left w:val="single" w:color="auto" w:sz="4" w:space="0"/>
              <w:right w:val="single" w:color="auto" w:sz="4" w:space="0"/>
            </w:tcBorders>
            <w:vAlign w:val="center"/>
          </w:tcPr>
          <w:p>
            <w:pPr>
              <w:spacing w:line="360" w:lineRule="auto"/>
              <w:ind w:leftChars="-1" w:hanging="2" w:hangingChars="1"/>
              <w:jc w:val="center"/>
              <w:rPr>
                <w:rFonts w:ascii="宋体" w:hAnsi="宋体" w:cs="仿宋"/>
                <w:color w:val="auto"/>
                <w:sz w:val="24"/>
                <w:highlight w:val="none"/>
              </w:rPr>
            </w:pPr>
            <w:r>
              <w:rPr>
                <w:rFonts w:hint="eastAsia" w:ascii="宋体" w:hAnsi="宋体" w:cs="仿宋"/>
                <w:color w:val="auto"/>
                <w:sz w:val="24"/>
                <w:highlight w:val="none"/>
              </w:rPr>
              <w:t>0-</w:t>
            </w:r>
            <w:r>
              <w:rPr>
                <w:rFonts w:hint="eastAsia" w:ascii="宋体" w:hAnsi="宋体" w:cs="仿宋"/>
                <w:color w:val="auto"/>
                <w:sz w:val="24"/>
                <w:highlight w:val="none"/>
                <w:lang w:val="en-US" w:eastAsia="zh-CN"/>
              </w:rPr>
              <w:t>3</w:t>
            </w:r>
            <w:r>
              <w:rPr>
                <w:rFonts w:hint="eastAsia" w:ascii="宋体" w:hAnsi="宋体" w:cs="仿宋"/>
                <w:color w:val="auto"/>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仿宋"/>
                <w:color w:val="auto"/>
                <w:sz w:val="24"/>
                <w:highlight w:val="none"/>
              </w:rPr>
            </w:pPr>
            <w:r>
              <w:rPr>
                <w:rFonts w:hint="eastAsia" w:ascii="宋体" w:hAnsi="宋体" w:cs="仿宋"/>
                <w:color w:val="auto"/>
                <w:sz w:val="24"/>
                <w:highlight w:val="none"/>
              </w:rPr>
              <w:t>3</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仿宋"/>
                <w:color w:val="auto"/>
                <w:sz w:val="24"/>
                <w:highlight w:val="none"/>
              </w:rPr>
            </w:pPr>
            <w:r>
              <w:rPr>
                <w:rFonts w:hint="eastAsia" w:ascii="宋体" w:hAnsi="宋体" w:cs="仿宋"/>
                <w:color w:val="auto"/>
                <w:sz w:val="24"/>
                <w:highlight w:val="none"/>
              </w:rPr>
              <w:t>相关业绩</w:t>
            </w:r>
          </w:p>
          <w:p>
            <w:pPr>
              <w:spacing w:line="360" w:lineRule="auto"/>
              <w:jc w:val="center"/>
              <w:rPr>
                <w:rFonts w:ascii="宋体" w:hAnsi="宋体" w:cs="仿宋"/>
                <w:color w:val="auto"/>
                <w:sz w:val="24"/>
                <w:highlight w:val="none"/>
              </w:rPr>
            </w:pPr>
            <w:r>
              <w:rPr>
                <w:rFonts w:hint="eastAsia" w:ascii="宋体" w:hAnsi="宋体" w:cs="仿宋"/>
                <w:color w:val="auto"/>
                <w:sz w:val="24"/>
                <w:highlight w:val="none"/>
              </w:rPr>
              <w:t>（8分）</w:t>
            </w:r>
          </w:p>
        </w:tc>
        <w:tc>
          <w:tcPr>
            <w:tcW w:w="64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ind w:firstLine="480" w:firstLineChars="200"/>
              <w:rPr>
                <w:rFonts w:hint="default" w:ascii="宋体" w:hAnsi="宋体" w:eastAsia="宋体" w:cs="仿宋"/>
                <w:color w:val="auto"/>
                <w:sz w:val="24"/>
                <w:highlight w:val="none"/>
                <w:lang w:val="en-US" w:eastAsia="zh-CN"/>
              </w:rPr>
            </w:pPr>
            <w:r>
              <w:rPr>
                <w:rFonts w:hint="eastAsia" w:ascii="宋体" w:hAnsi="宋体" w:cs="仿宋"/>
                <w:color w:val="auto"/>
                <w:sz w:val="24"/>
                <w:highlight w:val="none"/>
              </w:rPr>
              <w:t>投标人2018年至今承担过的类似项目业绩（含中标通知书、合同及验收意见表，三者缺一不可），每提供一份有效的合同（时间以合同签订日期为准）得2分，最多得8分（提供合同复印件，含合同首页、主要建设内容页、合同盖章页）。</w:t>
            </w: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ind w:leftChars="-1" w:hanging="2" w:hangingChars="1"/>
              <w:jc w:val="center"/>
              <w:rPr>
                <w:rFonts w:ascii="宋体" w:hAnsi="宋体" w:cs="仿宋"/>
                <w:color w:val="auto"/>
                <w:sz w:val="24"/>
                <w:highlight w:val="none"/>
              </w:rPr>
            </w:pPr>
            <w:r>
              <w:rPr>
                <w:rFonts w:hint="eastAsia" w:ascii="宋体" w:hAnsi="宋体" w:cs="仿宋"/>
                <w:color w:val="auto"/>
                <w:sz w:val="24"/>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5" w:hRule="atLeast"/>
          <w:jc w:val="center"/>
        </w:trPr>
        <w:tc>
          <w:tcPr>
            <w:tcW w:w="555"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仿宋"/>
                <w:color w:val="auto"/>
                <w:sz w:val="24"/>
                <w:highlight w:val="none"/>
              </w:rPr>
            </w:pPr>
            <w:r>
              <w:rPr>
                <w:rFonts w:hint="eastAsia" w:ascii="宋体" w:hAnsi="宋体" w:cs="仿宋"/>
                <w:color w:val="auto"/>
                <w:sz w:val="24"/>
                <w:highlight w:val="none"/>
              </w:rPr>
              <w:t>4</w:t>
            </w:r>
          </w:p>
        </w:tc>
        <w:tc>
          <w:tcPr>
            <w:tcW w:w="1260"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仿宋"/>
                <w:color w:val="auto"/>
                <w:sz w:val="24"/>
                <w:highlight w:val="none"/>
              </w:rPr>
            </w:pPr>
            <w:r>
              <w:rPr>
                <w:rFonts w:hint="eastAsia" w:ascii="宋体" w:hAnsi="宋体" w:cs="仿宋"/>
                <w:color w:val="auto"/>
                <w:sz w:val="24"/>
                <w:highlight w:val="none"/>
              </w:rPr>
              <w:t>综合商务</w:t>
            </w:r>
          </w:p>
          <w:p>
            <w:pPr>
              <w:spacing w:line="360" w:lineRule="auto"/>
              <w:jc w:val="center"/>
              <w:rPr>
                <w:rFonts w:ascii="宋体" w:hAnsi="宋体" w:cs="仿宋"/>
                <w:color w:val="auto"/>
                <w:sz w:val="24"/>
                <w:highlight w:val="none"/>
              </w:rPr>
            </w:pPr>
            <w:r>
              <w:rPr>
                <w:rFonts w:hint="eastAsia" w:ascii="宋体" w:hAnsi="宋体" w:cs="仿宋"/>
                <w:color w:val="auto"/>
                <w:sz w:val="24"/>
                <w:highlight w:val="none"/>
              </w:rPr>
              <w:t>（20分）</w:t>
            </w:r>
          </w:p>
          <w:p>
            <w:pPr>
              <w:spacing w:line="360" w:lineRule="auto"/>
              <w:jc w:val="center"/>
              <w:rPr>
                <w:rFonts w:ascii="宋体" w:hAnsi="宋体" w:cs="仿宋"/>
                <w:color w:val="auto"/>
                <w:sz w:val="24"/>
                <w:highlight w:val="none"/>
              </w:rPr>
            </w:pPr>
          </w:p>
        </w:tc>
        <w:tc>
          <w:tcPr>
            <w:tcW w:w="6402"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360" w:lineRule="auto"/>
              <w:rPr>
                <w:rFonts w:ascii="宋体" w:hAnsi="宋体" w:cs="仿宋"/>
                <w:color w:val="auto"/>
                <w:sz w:val="24"/>
                <w:highlight w:val="none"/>
              </w:rPr>
            </w:pPr>
            <w:r>
              <w:rPr>
                <w:rFonts w:hint="eastAsia" w:ascii="宋体" w:hAnsi="宋体" w:cs="仿宋"/>
                <w:color w:val="auto"/>
                <w:sz w:val="24"/>
                <w:highlight w:val="none"/>
              </w:rPr>
              <w:t>供货方案详细完整、备件供应充足有保障得5分；</w:t>
            </w:r>
          </w:p>
          <w:p>
            <w:pPr>
              <w:spacing w:line="360" w:lineRule="auto"/>
              <w:rPr>
                <w:rFonts w:ascii="宋体" w:hAnsi="宋体" w:cs="仿宋"/>
                <w:color w:val="auto"/>
                <w:sz w:val="24"/>
                <w:highlight w:val="none"/>
              </w:rPr>
            </w:pPr>
            <w:r>
              <w:rPr>
                <w:rFonts w:hint="eastAsia" w:ascii="宋体" w:hAnsi="宋体" w:cs="仿宋"/>
                <w:color w:val="auto"/>
                <w:sz w:val="24"/>
                <w:highlight w:val="none"/>
              </w:rPr>
              <w:t>供货方案基本完整、备件供应基本充足得3分；</w:t>
            </w:r>
          </w:p>
          <w:p>
            <w:pPr>
              <w:spacing w:line="360" w:lineRule="auto"/>
              <w:rPr>
                <w:rFonts w:ascii="宋体" w:hAnsi="宋体" w:cs="仿宋"/>
                <w:color w:val="auto"/>
                <w:sz w:val="24"/>
                <w:highlight w:val="none"/>
              </w:rPr>
            </w:pPr>
            <w:r>
              <w:rPr>
                <w:rFonts w:hint="eastAsia" w:ascii="宋体" w:hAnsi="宋体" w:cs="仿宋"/>
                <w:color w:val="auto"/>
                <w:sz w:val="24"/>
                <w:highlight w:val="none"/>
              </w:rPr>
              <w:t>供货方案无详细计划、备件供应基本满足要求得1分；</w:t>
            </w:r>
          </w:p>
          <w:p>
            <w:pPr>
              <w:spacing w:line="360" w:lineRule="auto"/>
              <w:rPr>
                <w:rFonts w:ascii="宋体" w:hAnsi="宋体" w:cs="仿宋"/>
                <w:color w:val="auto"/>
                <w:sz w:val="24"/>
                <w:highlight w:val="none"/>
              </w:rPr>
            </w:pPr>
            <w:r>
              <w:rPr>
                <w:rFonts w:hint="eastAsia" w:ascii="宋体" w:hAnsi="宋体" w:cs="仿宋"/>
                <w:color w:val="auto"/>
                <w:sz w:val="24"/>
                <w:highlight w:val="none"/>
              </w:rPr>
              <w:t>供货方案无计划、备件供应能力不能满足要求得0分。</w:t>
            </w:r>
          </w:p>
        </w:tc>
        <w:tc>
          <w:tcPr>
            <w:tcW w:w="1173" w:type="dxa"/>
            <w:tcBorders>
              <w:top w:val="single" w:color="auto" w:sz="4" w:space="0"/>
              <w:left w:val="single" w:color="auto" w:sz="4" w:space="0"/>
              <w:right w:val="single" w:color="auto" w:sz="4" w:space="0"/>
            </w:tcBorders>
            <w:vAlign w:val="center"/>
          </w:tcPr>
          <w:p>
            <w:pPr>
              <w:spacing w:line="360" w:lineRule="auto"/>
              <w:ind w:leftChars="-1" w:hanging="2" w:hangingChars="1"/>
              <w:jc w:val="center"/>
              <w:rPr>
                <w:rFonts w:ascii="宋体" w:hAnsi="宋体" w:cs="仿宋"/>
                <w:color w:val="auto"/>
                <w:sz w:val="24"/>
                <w:highlight w:val="none"/>
              </w:rPr>
            </w:pPr>
            <w:r>
              <w:rPr>
                <w:rFonts w:hint="eastAsia" w:ascii="宋体" w:hAnsi="宋体" w:cs="仿宋"/>
                <w:color w:val="auto"/>
                <w:sz w:val="24"/>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555" w:type="dxa"/>
            <w:vMerge w:val="continue"/>
            <w:tcBorders>
              <w:left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仿宋"/>
                <w:color w:val="auto"/>
                <w:sz w:val="24"/>
                <w:highlight w:val="none"/>
              </w:rPr>
            </w:pPr>
          </w:p>
        </w:tc>
        <w:tc>
          <w:tcPr>
            <w:tcW w:w="1260" w:type="dxa"/>
            <w:vMerge w:val="continue"/>
            <w:tcBorders>
              <w:left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仿宋"/>
                <w:color w:val="auto"/>
                <w:sz w:val="24"/>
                <w:highlight w:val="none"/>
              </w:rPr>
            </w:pPr>
          </w:p>
        </w:tc>
        <w:tc>
          <w:tcPr>
            <w:tcW w:w="6402"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360" w:lineRule="auto"/>
              <w:rPr>
                <w:rFonts w:ascii="宋体" w:hAnsi="宋体" w:cs="仿宋"/>
                <w:color w:val="auto"/>
                <w:sz w:val="24"/>
                <w:highlight w:val="none"/>
              </w:rPr>
            </w:pPr>
            <w:r>
              <w:rPr>
                <w:rFonts w:hint="eastAsia" w:ascii="宋体" w:hAnsi="宋体" w:cs="仿宋"/>
                <w:color w:val="auto"/>
                <w:sz w:val="24"/>
                <w:highlight w:val="none"/>
              </w:rPr>
              <w:t>售后服务措施完善，针对性强，培训方案全面细致得5分；</w:t>
            </w:r>
          </w:p>
          <w:p>
            <w:pPr>
              <w:spacing w:line="360" w:lineRule="auto"/>
              <w:rPr>
                <w:rFonts w:ascii="宋体" w:hAnsi="宋体" w:cs="仿宋"/>
                <w:color w:val="auto"/>
                <w:sz w:val="24"/>
                <w:highlight w:val="none"/>
              </w:rPr>
            </w:pPr>
            <w:r>
              <w:rPr>
                <w:rFonts w:hint="eastAsia" w:ascii="宋体" w:hAnsi="宋体" w:cs="仿宋"/>
                <w:color w:val="auto"/>
                <w:sz w:val="24"/>
                <w:highlight w:val="none"/>
              </w:rPr>
              <w:t>售后服务措施较完善，有一定针对性，培训方案较全面得3分；</w:t>
            </w:r>
          </w:p>
          <w:p>
            <w:pPr>
              <w:spacing w:line="360" w:lineRule="auto"/>
              <w:rPr>
                <w:rFonts w:ascii="宋体" w:hAnsi="宋体" w:cs="仿宋"/>
                <w:color w:val="auto"/>
                <w:sz w:val="24"/>
                <w:highlight w:val="none"/>
              </w:rPr>
            </w:pPr>
            <w:r>
              <w:rPr>
                <w:rFonts w:hint="eastAsia" w:ascii="宋体" w:hAnsi="宋体" w:cs="仿宋"/>
                <w:color w:val="auto"/>
                <w:sz w:val="24"/>
                <w:highlight w:val="none"/>
              </w:rPr>
              <w:t>售后服务措施、培训方案内容有欠缺得1分；</w:t>
            </w:r>
          </w:p>
          <w:p>
            <w:pPr>
              <w:spacing w:line="360" w:lineRule="auto"/>
              <w:rPr>
                <w:rFonts w:ascii="宋体" w:hAnsi="宋体" w:cs="仿宋"/>
                <w:color w:val="auto"/>
                <w:sz w:val="24"/>
                <w:highlight w:val="none"/>
              </w:rPr>
            </w:pPr>
            <w:r>
              <w:rPr>
                <w:rFonts w:hint="eastAsia" w:ascii="宋体" w:hAnsi="宋体" w:cs="仿宋"/>
                <w:color w:val="auto"/>
                <w:sz w:val="24"/>
                <w:highlight w:val="none"/>
              </w:rPr>
              <w:t>无明确的售后服务措施和培训方案得0分。</w:t>
            </w:r>
          </w:p>
        </w:tc>
        <w:tc>
          <w:tcPr>
            <w:tcW w:w="1173" w:type="dxa"/>
            <w:tcBorders>
              <w:left w:val="single" w:color="auto" w:sz="4" w:space="0"/>
              <w:right w:val="single" w:color="auto" w:sz="4" w:space="0"/>
            </w:tcBorders>
            <w:vAlign w:val="center"/>
          </w:tcPr>
          <w:p>
            <w:pPr>
              <w:spacing w:line="360" w:lineRule="auto"/>
              <w:ind w:leftChars="-1" w:hanging="2" w:hangingChars="1"/>
              <w:jc w:val="center"/>
              <w:rPr>
                <w:rFonts w:ascii="宋体" w:hAnsi="宋体" w:cs="仿宋"/>
                <w:color w:val="auto"/>
                <w:sz w:val="24"/>
                <w:highlight w:val="none"/>
              </w:rPr>
            </w:pPr>
            <w:r>
              <w:rPr>
                <w:rFonts w:hint="eastAsia" w:ascii="宋体" w:hAnsi="宋体" w:cs="仿宋"/>
                <w:color w:val="auto"/>
                <w:sz w:val="24"/>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555" w:type="dxa"/>
            <w:vMerge w:val="continue"/>
            <w:tcBorders>
              <w:left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仿宋"/>
                <w:color w:val="auto"/>
                <w:sz w:val="24"/>
                <w:highlight w:val="none"/>
              </w:rPr>
            </w:pPr>
          </w:p>
        </w:tc>
        <w:tc>
          <w:tcPr>
            <w:tcW w:w="1260" w:type="dxa"/>
            <w:vMerge w:val="continue"/>
            <w:tcBorders>
              <w:left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仿宋"/>
                <w:color w:val="auto"/>
                <w:sz w:val="24"/>
                <w:highlight w:val="none"/>
              </w:rPr>
            </w:pPr>
          </w:p>
        </w:tc>
        <w:tc>
          <w:tcPr>
            <w:tcW w:w="6402"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360" w:lineRule="auto"/>
              <w:rPr>
                <w:rFonts w:ascii="宋体" w:hAnsi="宋体" w:cs="仿宋"/>
                <w:color w:val="auto"/>
                <w:sz w:val="24"/>
                <w:highlight w:val="none"/>
              </w:rPr>
            </w:pPr>
            <w:r>
              <w:rPr>
                <w:rFonts w:hint="eastAsia" w:ascii="宋体" w:hAnsi="宋体" w:cs="仿宋"/>
                <w:color w:val="auto"/>
                <w:sz w:val="24"/>
                <w:highlight w:val="none"/>
              </w:rPr>
              <w:t>质保期每增加一年得1分，最高得3分。</w:t>
            </w:r>
          </w:p>
        </w:tc>
        <w:tc>
          <w:tcPr>
            <w:tcW w:w="1173" w:type="dxa"/>
            <w:tcBorders>
              <w:left w:val="single" w:color="auto" w:sz="4" w:space="0"/>
              <w:right w:val="single" w:color="auto" w:sz="4" w:space="0"/>
            </w:tcBorders>
            <w:vAlign w:val="center"/>
          </w:tcPr>
          <w:p>
            <w:pPr>
              <w:spacing w:line="360" w:lineRule="auto"/>
              <w:ind w:leftChars="-1" w:hanging="2" w:hangingChars="1"/>
              <w:jc w:val="center"/>
              <w:rPr>
                <w:rFonts w:ascii="宋体" w:hAnsi="宋体" w:cs="仿宋"/>
                <w:color w:val="auto"/>
                <w:sz w:val="24"/>
                <w:highlight w:val="none"/>
              </w:rPr>
            </w:pPr>
            <w:r>
              <w:rPr>
                <w:rFonts w:hint="eastAsia" w:ascii="宋体" w:hAnsi="宋体" w:cs="仿宋"/>
                <w:color w:val="auto"/>
                <w:sz w:val="24"/>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555"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仿宋"/>
                <w:color w:val="auto"/>
                <w:sz w:val="24"/>
                <w:highlight w:val="none"/>
              </w:rPr>
            </w:pPr>
          </w:p>
        </w:tc>
        <w:tc>
          <w:tcPr>
            <w:tcW w:w="1260"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spacing w:before="156" w:beforeLines="50" w:after="156" w:afterLines="50" w:line="360" w:lineRule="auto"/>
              <w:jc w:val="center"/>
              <w:rPr>
                <w:rFonts w:ascii="宋体" w:hAnsi="宋体" w:cs="仿宋"/>
                <w:color w:val="auto"/>
                <w:sz w:val="24"/>
                <w:highlight w:val="none"/>
              </w:rPr>
            </w:pPr>
          </w:p>
        </w:tc>
        <w:tc>
          <w:tcPr>
            <w:tcW w:w="6402" w:type="dxa"/>
            <w:tcBorders>
              <w:top w:val="single" w:color="auto" w:sz="4" w:space="0"/>
              <w:left w:val="single" w:color="auto" w:sz="4" w:space="0"/>
              <w:right w:val="single" w:color="auto" w:sz="4" w:space="0"/>
            </w:tcBorders>
            <w:tcMar>
              <w:top w:w="15" w:type="dxa"/>
              <w:left w:w="15" w:type="dxa"/>
              <w:bottom w:w="0" w:type="dxa"/>
              <w:right w:w="15" w:type="dxa"/>
            </w:tcMar>
          </w:tcPr>
          <w:p>
            <w:pPr>
              <w:spacing w:line="360" w:lineRule="auto"/>
              <w:rPr>
                <w:rFonts w:ascii="宋体" w:hAnsi="宋体" w:cs="仿宋"/>
                <w:color w:val="auto"/>
                <w:sz w:val="24"/>
                <w:highlight w:val="none"/>
              </w:rPr>
            </w:pPr>
            <w:r>
              <w:rPr>
                <w:rFonts w:hint="eastAsia" w:ascii="宋体" w:hAnsi="宋体" w:cs="仿宋"/>
                <w:color w:val="auto"/>
                <w:sz w:val="24"/>
                <w:highlight w:val="none"/>
              </w:rPr>
              <w:t>为保证产品安全性，提供CFDA医疗注册证得3分，提供脑电生理软件著作权得2分，提供追踪定位系统著作权得2分。</w:t>
            </w:r>
          </w:p>
        </w:tc>
        <w:tc>
          <w:tcPr>
            <w:tcW w:w="1173" w:type="dxa"/>
            <w:tcBorders>
              <w:top w:val="single" w:color="auto" w:sz="4" w:space="0"/>
              <w:left w:val="single" w:color="auto" w:sz="4" w:space="0"/>
              <w:right w:val="single" w:color="auto" w:sz="4" w:space="0"/>
            </w:tcBorders>
            <w:vAlign w:val="center"/>
          </w:tcPr>
          <w:p>
            <w:pPr>
              <w:spacing w:line="360" w:lineRule="auto"/>
              <w:ind w:leftChars="-1" w:hanging="2" w:hangingChars="1"/>
              <w:jc w:val="center"/>
              <w:rPr>
                <w:rFonts w:ascii="宋体" w:hAnsi="宋体" w:cs="仿宋"/>
                <w:color w:val="auto"/>
                <w:sz w:val="24"/>
                <w:highlight w:val="none"/>
              </w:rPr>
            </w:pPr>
            <w:r>
              <w:rPr>
                <w:rFonts w:hint="eastAsia" w:ascii="宋体" w:hAnsi="宋体" w:cs="仿宋"/>
                <w:color w:val="auto"/>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5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仿宋"/>
                <w:color w:val="auto"/>
                <w:sz w:val="24"/>
                <w:highlight w:val="none"/>
              </w:rPr>
            </w:pPr>
            <w:r>
              <w:rPr>
                <w:rFonts w:hint="eastAsia" w:ascii="宋体" w:hAnsi="宋体" w:cs="仿宋"/>
                <w:color w:val="auto"/>
                <w:sz w:val="24"/>
                <w:highlight w:val="none"/>
              </w:rPr>
              <w:t>5</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before="156" w:beforeLines="50" w:after="156" w:afterLines="50" w:line="360" w:lineRule="auto"/>
              <w:jc w:val="center"/>
              <w:rPr>
                <w:rFonts w:ascii="宋体" w:hAnsi="宋体" w:cs="仿宋"/>
                <w:color w:val="auto"/>
                <w:sz w:val="24"/>
                <w:highlight w:val="none"/>
              </w:rPr>
            </w:pPr>
            <w:r>
              <w:rPr>
                <w:rFonts w:hint="eastAsia" w:ascii="宋体" w:hAnsi="宋体" w:cs="仿宋"/>
                <w:color w:val="auto"/>
                <w:sz w:val="24"/>
                <w:highlight w:val="none"/>
              </w:rPr>
              <w:t>投标文件</w:t>
            </w:r>
          </w:p>
          <w:p>
            <w:pPr>
              <w:spacing w:before="156" w:beforeLines="50" w:after="156" w:afterLines="50" w:line="360" w:lineRule="auto"/>
              <w:jc w:val="center"/>
              <w:rPr>
                <w:rFonts w:ascii="宋体" w:hAnsi="宋体" w:cs="仿宋"/>
                <w:color w:val="auto"/>
                <w:sz w:val="24"/>
                <w:highlight w:val="none"/>
              </w:rPr>
            </w:pPr>
            <w:r>
              <w:rPr>
                <w:rFonts w:hint="eastAsia" w:ascii="宋体" w:hAnsi="宋体" w:cs="仿宋"/>
                <w:color w:val="auto"/>
                <w:sz w:val="24"/>
                <w:highlight w:val="none"/>
              </w:rPr>
              <w:t>（2分）</w:t>
            </w:r>
          </w:p>
        </w:tc>
        <w:tc>
          <w:tcPr>
            <w:tcW w:w="6402" w:type="dxa"/>
            <w:tcBorders>
              <w:top w:val="single" w:color="auto" w:sz="4" w:space="0"/>
              <w:left w:val="single" w:color="auto" w:sz="4" w:space="0"/>
              <w:right w:val="single" w:color="auto" w:sz="4" w:space="0"/>
            </w:tcBorders>
            <w:tcMar>
              <w:top w:w="15" w:type="dxa"/>
              <w:left w:w="15" w:type="dxa"/>
              <w:bottom w:w="0" w:type="dxa"/>
              <w:right w:w="15" w:type="dxa"/>
            </w:tcMar>
          </w:tcPr>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文件内容完备，格式规范，封装整齐，满足</w:t>
            </w:r>
            <w:r>
              <w:rPr>
                <w:rFonts w:hint="eastAsia" w:ascii="宋体" w:hAnsi="宋体" w:cs="仿宋"/>
                <w:color w:val="auto"/>
                <w:sz w:val="24"/>
                <w:highlight w:val="none"/>
                <w:lang w:val="en-US" w:eastAsia="zh-CN"/>
              </w:rPr>
              <w:t>招标</w:t>
            </w:r>
            <w:r>
              <w:rPr>
                <w:rFonts w:hint="eastAsia" w:ascii="宋体" w:hAnsi="宋体" w:cs="仿宋"/>
                <w:color w:val="auto"/>
                <w:sz w:val="24"/>
                <w:highlight w:val="none"/>
              </w:rPr>
              <w:t>文件要求得</w:t>
            </w:r>
            <w:r>
              <w:rPr>
                <w:rFonts w:hint="eastAsia" w:ascii="宋体" w:hAnsi="宋体" w:cs="仿宋"/>
                <w:color w:val="auto"/>
                <w:sz w:val="24"/>
                <w:highlight w:val="none"/>
                <w:lang w:val="en-US" w:eastAsia="zh-CN"/>
              </w:rPr>
              <w:t>2</w:t>
            </w:r>
            <w:r>
              <w:rPr>
                <w:rFonts w:hint="eastAsia" w:ascii="宋体" w:hAnsi="宋体" w:cs="仿宋"/>
                <w:color w:val="auto"/>
                <w:sz w:val="24"/>
                <w:highlight w:val="none"/>
              </w:rPr>
              <w:t>分。没有目录或目录与内文不对应扣1分；编排混乱、前后矛盾，评审委员会允许且需要通过询标等程序进行澄清的，扣</w:t>
            </w:r>
            <w:r>
              <w:rPr>
                <w:rFonts w:hint="eastAsia" w:ascii="宋体" w:hAnsi="宋体" w:cs="仿宋"/>
                <w:color w:val="auto"/>
                <w:sz w:val="24"/>
                <w:highlight w:val="none"/>
                <w:lang w:val="en-US" w:eastAsia="zh-CN"/>
              </w:rPr>
              <w:t>0.5</w:t>
            </w:r>
            <w:r>
              <w:rPr>
                <w:rFonts w:hint="eastAsia" w:ascii="宋体" w:hAnsi="宋体" w:cs="仿宋"/>
                <w:color w:val="auto"/>
                <w:sz w:val="24"/>
                <w:highlight w:val="none"/>
              </w:rPr>
              <w:t>分；字迹模糊难辨扣</w:t>
            </w:r>
            <w:r>
              <w:rPr>
                <w:rFonts w:hint="eastAsia" w:ascii="宋体" w:hAnsi="宋体" w:cs="仿宋"/>
                <w:color w:val="auto"/>
                <w:sz w:val="24"/>
                <w:highlight w:val="none"/>
                <w:lang w:val="en-US" w:eastAsia="zh-CN"/>
              </w:rPr>
              <w:t>0.5</w:t>
            </w:r>
            <w:r>
              <w:rPr>
                <w:rFonts w:hint="eastAsia" w:ascii="宋体" w:hAnsi="宋体" w:cs="仿宋"/>
                <w:color w:val="auto"/>
                <w:sz w:val="24"/>
                <w:highlight w:val="none"/>
              </w:rPr>
              <w:t>分。</w:t>
            </w:r>
          </w:p>
        </w:tc>
        <w:tc>
          <w:tcPr>
            <w:tcW w:w="1173" w:type="dxa"/>
            <w:tcBorders>
              <w:top w:val="single" w:color="auto" w:sz="4" w:space="0"/>
              <w:left w:val="single" w:color="auto" w:sz="4" w:space="0"/>
              <w:right w:val="single" w:color="auto" w:sz="4" w:space="0"/>
            </w:tcBorders>
            <w:vAlign w:val="center"/>
          </w:tcPr>
          <w:p>
            <w:pPr>
              <w:spacing w:line="360" w:lineRule="auto"/>
              <w:ind w:leftChars="-1" w:hanging="2" w:hangingChars="1"/>
              <w:jc w:val="center"/>
              <w:rPr>
                <w:rFonts w:hint="eastAsia" w:ascii="宋体" w:hAnsi="宋体" w:eastAsia="宋体" w:cs="仿宋"/>
                <w:color w:val="auto"/>
                <w:sz w:val="24"/>
                <w:highlight w:val="none"/>
                <w:lang w:val="en-US" w:eastAsia="zh-CN"/>
              </w:rPr>
            </w:pPr>
            <w:r>
              <w:rPr>
                <w:rFonts w:hint="eastAsia" w:ascii="宋体" w:hAnsi="宋体" w:cs="仿宋"/>
                <w:color w:val="auto"/>
                <w:sz w:val="24"/>
                <w:highlight w:val="none"/>
                <w:lang w:val="en-US" w:eastAsia="zh-CN"/>
              </w:rPr>
              <w:t>0-2</w:t>
            </w:r>
          </w:p>
        </w:tc>
      </w:tr>
    </w:tbl>
    <w:p>
      <w:pPr>
        <w:rPr>
          <w:b/>
          <w:color w:val="auto"/>
          <w:sz w:val="28"/>
          <w:szCs w:val="28"/>
          <w:highlight w:val="none"/>
        </w:rPr>
      </w:pPr>
      <w:r>
        <w:rPr>
          <w:b/>
          <w:color w:val="auto"/>
          <w:sz w:val="28"/>
          <w:szCs w:val="28"/>
          <w:highlight w:val="none"/>
        </w:rPr>
        <w:br w:type="page"/>
      </w:r>
    </w:p>
    <w:p>
      <w:pPr>
        <w:spacing w:line="360" w:lineRule="auto"/>
        <w:rPr>
          <w:b/>
          <w:color w:val="auto"/>
          <w:sz w:val="28"/>
          <w:szCs w:val="28"/>
          <w:highlight w:val="none"/>
        </w:rPr>
      </w:pPr>
      <w:r>
        <w:rPr>
          <w:rFonts w:hint="eastAsia"/>
          <w:b/>
          <w:color w:val="auto"/>
          <w:sz w:val="28"/>
          <w:szCs w:val="28"/>
          <w:highlight w:val="none"/>
        </w:rPr>
        <w:t>附件</w:t>
      </w:r>
      <w:r>
        <w:rPr>
          <w:b/>
          <w:color w:val="auto"/>
          <w:sz w:val="28"/>
          <w:szCs w:val="28"/>
          <w:highlight w:val="none"/>
        </w:rPr>
        <w:t>6</w:t>
      </w:r>
      <w:r>
        <w:rPr>
          <w:rFonts w:hint="eastAsia"/>
          <w:b/>
          <w:color w:val="auto"/>
          <w:sz w:val="28"/>
          <w:szCs w:val="28"/>
          <w:highlight w:val="none"/>
        </w:rPr>
        <w:t>：</w:t>
      </w:r>
    </w:p>
    <w:p>
      <w:pPr>
        <w:adjustRightInd w:val="0"/>
        <w:snapToGrid w:val="0"/>
        <w:spacing w:before="156" w:beforeLines="50" w:after="156" w:afterLines="50" w:line="360" w:lineRule="auto"/>
        <w:jc w:val="center"/>
        <w:outlineLvl w:val="0"/>
        <w:rPr>
          <w:rFonts w:ascii="黑体" w:hAnsi="黑体" w:eastAsia="黑体"/>
          <w:b/>
          <w:bCs/>
          <w:color w:val="auto"/>
          <w:sz w:val="34"/>
          <w:highlight w:val="none"/>
        </w:rPr>
      </w:pPr>
      <w:r>
        <w:rPr>
          <w:rFonts w:hint="eastAsia" w:ascii="黑体" w:hAnsi="黑体" w:eastAsia="黑体"/>
          <w:b/>
          <w:color w:val="auto"/>
          <w:sz w:val="34"/>
          <w:highlight w:val="none"/>
        </w:rPr>
        <w:t>采购合同</w:t>
      </w:r>
    </w:p>
    <w:p>
      <w:pPr>
        <w:pStyle w:val="8"/>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项目名称：</w:t>
      </w:r>
    </w:p>
    <w:p>
      <w:pPr>
        <w:pStyle w:val="8"/>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项目编号：</w:t>
      </w:r>
    </w:p>
    <w:p>
      <w:pPr>
        <w:pStyle w:val="8"/>
        <w:adjustRightInd w:val="0"/>
        <w:snapToGrid w:val="0"/>
        <w:spacing w:before="120" w:after="120" w:line="360" w:lineRule="auto"/>
        <w:ind w:firstLine="658"/>
        <w:rPr>
          <w:rFonts w:hAnsi="宋体"/>
          <w:color w:val="auto"/>
          <w:sz w:val="24"/>
          <w:szCs w:val="24"/>
          <w:highlight w:val="none"/>
          <w:u w:val="single"/>
        </w:rPr>
      </w:pPr>
      <w:r>
        <w:rPr>
          <w:rFonts w:hint="eastAsia" w:hAnsi="宋体"/>
          <w:color w:val="auto"/>
          <w:sz w:val="24"/>
          <w:szCs w:val="24"/>
          <w:highlight w:val="none"/>
        </w:rPr>
        <w:t>甲方：（买方）</w:t>
      </w:r>
      <w:r>
        <w:rPr>
          <w:rFonts w:hAnsi="宋体"/>
          <w:color w:val="auto"/>
          <w:sz w:val="24"/>
          <w:szCs w:val="24"/>
          <w:highlight w:val="none"/>
        </w:rPr>
        <w:t>__________________</w:t>
      </w:r>
    </w:p>
    <w:p>
      <w:pPr>
        <w:pStyle w:val="8"/>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乙方：（卖方）</w:t>
      </w:r>
      <w:r>
        <w:rPr>
          <w:rFonts w:hAnsi="宋体"/>
          <w:color w:val="auto"/>
          <w:sz w:val="24"/>
          <w:szCs w:val="24"/>
          <w:highlight w:val="none"/>
        </w:rPr>
        <w:t>__________________</w:t>
      </w:r>
    </w:p>
    <w:p>
      <w:pPr>
        <w:pStyle w:val="8"/>
        <w:adjustRightInd w:val="0"/>
        <w:snapToGrid w:val="0"/>
        <w:spacing w:before="120" w:after="120" w:line="360" w:lineRule="auto"/>
        <w:ind w:firstLine="658"/>
        <w:rPr>
          <w:rFonts w:hAnsi="宋体"/>
          <w:b/>
          <w:color w:val="auto"/>
          <w:sz w:val="24"/>
          <w:szCs w:val="24"/>
          <w:highlight w:val="none"/>
        </w:rPr>
      </w:pPr>
      <w:r>
        <w:rPr>
          <w:rFonts w:hint="eastAsia" w:hAnsi="宋体"/>
          <w:color w:val="auto"/>
          <w:sz w:val="24"/>
          <w:szCs w:val="24"/>
          <w:highlight w:val="none"/>
        </w:rPr>
        <w:t>甲、乙双方根据甲方项目采购谈判的结果，签署本合同。</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一、货物内容</w:t>
      </w:r>
    </w:p>
    <w:tbl>
      <w:tblPr>
        <w:tblStyle w:val="15"/>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分包号</w:t>
            </w:r>
          </w:p>
        </w:tc>
        <w:tc>
          <w:tcPr>
            <w:tcW w:w="1165"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货物</w:t>
            </w:r>
          </w:p>
          <w:p>
            <w:pPr>
              <w:spacing w:line="360" w:lineRule="auto"/>
              <w:jc w:val="center"/>
              <w:rPr>
                <w:rFonts w:ascii="宋体"/>
                <w:b/>
                <w:color w:val="auto"/>
                <w:sz w:val="24"/>
                <w:highlight w:val="none"/>
              </w:rPr>
            </w:pPr>
            <w:r>
              <w:rPr>
                <w:rFonts w:hint="eastAsia" w:ascii="宋体" w:hAnsi="宋体"/>
                <w:b/>
                <w:color w:val="auto"/>
                <w:sz w:val="24"/>
                <w:highlight w:val="none"/>
              </w:rPr>
              <w:t>名称</w:t>
            </w:r>
          </w:p>
        </w:tc>
        <w:tc>
          <w:tcPr>
            <w:tcW w:w="1115"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型号</w:t>
            </w:r>
            <w:r>
              <w:rPr>
                <w:rFonts w:ascii="宋体" w:hAnsi="宋体"/>
                <w:b/>
                <w:color w:val="auto"/>
                <w:sz w:val="24"/>
                <w:highlight w:val="none"/>
              </w:rPr>
              <w:t>/</w:t>
            </w:r>
          </w:p>
          <w:p>
            <w:pPr>
              <w:spacing w:line="360" w:lineRule="auto"/>
              <w:jc w:val="center"/>
              <w:rPr>
                <w:rFonts w:ascii="宋体"/>
                <w:b/>
                <w:color w:val="auto"/>
                <w:sz w:val="24"/>
                <w:highlight w:val="none"/>
              </w:rPr>
            </w:pPr>
            <w:r>
              <w:rPr>
                <w:rFonts w:hint="eastAsia" w:ascii="宋体" w:hAnsi="宋体"/>
                <w:b/>
                <w:color w:val="auto"/>
                <w:sz w:val="24"/>
                <w:highlight w:val="none"/>
              </w:rPr>
              <w:t>规格</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品牌</w:t>
            </w:r>
            <w:r>
              <w:rPr>
                <w:rFonts w:ascii="宋体" w:hAnsi="宋体"/>
                <w:b/>
                <w:color w:val="auto"/>
                <w:sz w:val="24"/>
                <w:highlight w:val="none"/>
              </w:rPr>
              <w:t>/</w:t>
            </w:r>
            <w:r>
              <w:rPr>
                <w:rFonts w:hint="eastAsia" w:ascii="宋体" w:hAnsi="宋体"/>
                <w:b/>
                <w:color w:val="auto"/>
                <w:sz w:val="24"/>
                <w:highlight w:val="none"/>
              </w:rPr>
              <w:t>生产厂家</w:t>
            </w:r>
            <w:r>
              <w:rPr>
                <w:rFonts w:ascii="宋体" w:hAnsi="宋体"/>
                <w:b/>
                <w:color w:val="auto"/>
                <w:sz w:val="24"/>
                <w:highlight w:val="none"/>
              </w:rPr>
              <w:t>/</w:t>
            </w:r>
            <w:r>
              <w:rPr>
                <w:rFonts w:hint="eastAsia" w:ascii="宋体" w:hAnsi="宋体"/>
                <w:b/>
                <w:color w:val="auto"/>
                <w:sz w:val="24"/>
                <w:highlight w:val="none"/>
              </w:rPr>
              <w:t>国别</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计量</w:t>
            </w:r>
          </w:p>
          <w:p>
            <w:pPr>
              <w:spacing w:line="360" w:lineRule="auto"/>
              <w:jc w:val="center"/>
              <w:rPr>
                <w:rFonts w:ascii="宋体"/>
                <w:b/>
                <w:color w:val="auto"/>
                <w:sz w:val="24"/>
                <w:highlight w:val="none"/>
              </w:rPr>
            </w:pPr>
            <w:r>
              <w:rPr>
                <w:rFonts w:hint="eastAsia" w:ascii="宋体" w:hAnsi="宋体"/>
                <w:b/>
                <w:color w:val="auto"/>
                <w:sz w:val="24"/>
                <w:highlight w:val="none"/>
              </w:rPr>
              <w:t>单位</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数量</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单价</w:t>
            </w:r>
          </w:p>
        </w:tc>
        <w:tc>
          <w:tcPr>
            <w:tcW w:w="116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每项</w:t>
            </w:r>
          </w:p>
          <w:p>
            <w:pPr>
              <w:spacing w:line="360" w:lineRule="auto"/>
              <w:jc w:val="center"/>
              <w:rPr>
                <w:rFonts w:ascii="宋体"/>
                <w:b/>
                <w:color w:val="auto"/>
                <w:sz w:val="24"/>
                <w:highlight w:val="none"/>
              </w:rPr>
            </w:pPr>
            <w:r>
              <w:rPr>
                <w:rFonts w:hint="eastAsia" w:ascii="宋体" w:hAnsi="宋体"/>
                <w:b/>
                <w:color w:val="auto"/>
                <w:sz w:val="24"/>
                <w:highlight w:val="none"/>
              </w:rPr>
              <w:t>总价</w:t>
            </w:r>
          </w:p>
        </w:tc>
        <w:tc>
          <w:tcPr>
            <w:tcW w:w="1171"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color w:val="auto"/>
                <w:sz w:val="24"/>
                <w:highlight w:val="none"/>
              </w:rPr>
            </w:pPr>
            <w:r>
              <w:rPr>
                <w:rFonts w:hint="eastAsia" w:ascii="宋体" w:hAnsi="宋体"/>
                <w:color w:val="auto"/>
                <w:sz w:val="24"/>
                <w:highlight w:val="none"/>
              </w:rPr>
              <w:t>合计总价</w:t>
            </w:r>
          </w:p>
        </w:tc>
        <w:tc>
          <w:tcPr>
            <w:tcW w:w="8088" w:type="dxa"/>
            <w:gridSpan w:val="7"/>
            <w:vAlign w:val="center"/>
          </w:tcPr>
          <w:p>
            <w:pPr>
              <w:spacing w:line="360" w:lineRule="auto"/>
              <w:rPr>
                <w:rFonts w:ascii="宋体"/>
                <w:color w:val="auto"/>
                <w:sz w:val="24"/>
                <w:highlight w:val="none"/>
                <w:u w:val="single"/>
              </w:rPr>
            </w:pPr>
            <w:r>
              <w:rPr>
                <w:rFonts w:hint="eastAsia" w:ascii="宋体" w:hAnsi="宋体"/>
                <w:color w:val="auto"/>
                <w:sz w:val="24"/>
                <w:highlight w:val="none"/>
              </w:rPr>
              <w:t>大写：      小写：      元</w:t>
            </w:r>
          </w:p>
        </w:tc>
      </w:tr>
    </w:tbl>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二、合同金额</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2.1 </w:t>
      </w:r>
      <w:r>
        <w:rPr>
          <w:rFonts w:hint="eastAsia" w:hAnsi="宋体"/>
          <w:color w:val="auto"/>
          <w:sz w:val="24"/>
          <w:szCs w:val="24"/>
          <w:highlight w:val="none"/>
        </w:rPr>
        <w:t>本合同金额为（大写）：</w:t>
      </w:r>
      <w:r>
        <w:rPr>
          <w:rFonts w:hAnsi="宋体"/>
          <w:color w:val="auto"/>
          <w:sz w:val="24"/>
          <w:szCs w:val="24"/>
          <w:highlight w:val="none"/>
        </w:rPr>
        <w:t>________________________</w:t>
      </w:r>
      <w:r>
        <w:rPr>
          <w:rFonts w:hint="eastAsia" w:hAnsi="宋体"/>
          <w:color w:val="auto"/>
          <w:sz w:val="24"/>
          <w:szCs w:val="24"/>
          <w:highlight w:val="none"/>
        </w:rPr>
        <w:t>元人民币。</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三、技术资料</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3.1</w:t>
      </w:r>
      <w:r>
        <w:rPr>
          <w:rFonts w:hint="eastAsia" w:hAnsi="宋体"/>
          <w:color w:val="auto"/>
          <w:sz w:val="24"/>
          <w:szCs w:val="24"/>
          <w:highlight w:val="none"/>
        </w:rPr>
        <w:t>乙方应按采购文件规定的时间向甲方提供使用货物的有关技术资料。</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3.2 </w:t>
      </w:r>
      <w:r>
        <w:rPr>
          <w:rFonts w:hint="eastAsia" w:hAnsi="宋体"/>
          <w:color w:val="auto"/>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8"/>
        <w:adjustRightInd w:val="0"/>
        <w:snapToGrid w:val="0"/>
        <w:spacing w:before="120" w:after="120" w:line="360" w:lineRule="auto"/>
        <w:ind w:left="50" w:firstLine="660"/>
        <w:rPr>
          <w:rFonts w:hAnsi="宋体"/>
          <w:b/>
          <w:color w:val="auto"/>
          <w:sz w:val="24"/>
          <w:szCs w:val="24"/>
          <w:highlight w:val="none"/>
        </w:rPr>
      </w:pPr>
      <w:r>
        <w:rPr>
          <w:rFonts w:hint="eastAsia" w:hAnsi="宋体"/>
          <w:b/>
          <w:color w:val="auto"/>
          <w:sz w:val="24"/>
          <w:szCs w:val="24"/>
          <w:highlight w:val="none"/>
        </w:rPr>
        <w:t>四、知识产权</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4.1</w:t>
      </w:r>
      <w:r>
        <w:rPr>
          <w:rFonts w:hint="eastAsia" w:hAnsi="宋体"/>
          <w:color w:val="auto"/>
          <w:sz w:val="24"/>
          <w:szCs w:val="24"/>
          <w:highlight w:val="none"/>
        </w:rPr>
        <w:t>乙方应保证甲方在使用、接受本合同货物和服务或其任何一部分时不受第三方提出侵犯其专利权、版权、商标权和工业设计权等知识产权的起诉。一旦出现侵权，由乙方负全部责任。</w:t>
      </w:r>
    </w:p>
    <w:p>
      <w:pPr>
        <w:pStyle w:val="8"/>
        <w:adjustRightInd w:val="0"/>
        <w:snapToGrid w:val="0"/>
        <w:spacing w:before="120" w:after="120" w:line="360" w:lineRule="auto"/>
        <w:ind w:firstLine="660"/>
        <w:rPr>
          <w:rFonts w:hAnsi="宋体"/>
          <w:color w:val="auto"/>
          <w:sz w:val="24"/>
          <w:szCs w:val="24"/>
          <w:highlight w:val="none"/>
          <w:u w:val="single"/>
        </w:rPr>
      </w:pPr>
      <w:r>
        <w:rPr>
          <w:rFonts w:hint="eastAsia" w:hAnsi="宋体"/>
          <w:b/>
          <w:color w:val="auto"/>
          <w:sz w:val="24"/>
          <w:szCs w:val="24"/>
          <w:highlight w:val="none"/>
        </w:rPr>
        <w:t>五、产权担保</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5.1 </w:t>
      </w:r>
      <w:r>
        <w:rPr>
          <w:rFonts w:hint="eastAsia" w:hAnsi="宋体"/>
          <w:color w:val="auto"/>
          <w:sz w:val="24"/>
          <w:szCs w:val="24"/>
          <w:highlight w:val="none"/>
        </w:rPr>
        <w:t>乙方保证所交付的货物的所有权完全属于乙方且无任何抵押、查封等产权瑕疵。</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六、履约保证金</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6.1 </w:t>
      </w:r>
      <w:r>
        <w:rPr>
          <w:rFonts w:hint="eastAsia" w:hAnsi="宋体"/>
          <w:color w:val="auto"/>
          <w:sz w:val="24"/>
          <w:szCs w:val="24"/>
          <w:highlight w:val="none"/>
        </w:rPr>
        <w:t>乙方交纳人民币</w:t>
      </w:r>
      <w:r>
        <w:rPr>
          <w:rFonts w:hAnsi="宋体"/>
          <w:color w:val="auto"/>
          <w:sz w:val="24"/>
          <w:szCs w:val="24"/>
          <w:highlight w:val="none"/>
        </w:rPr>
        <w:t>_____</w:t>
      </w:r>
      <w:r>
        <w:rPr>
          <w:rFonts w:hint="eastAsia" w:hAnsi="宋体"/>
          <w:color w:val="auto"/>
          <w:sz w:val="24"/>
          <w:szCs w:val="24"/>
          <w:highlight w:val="none"/>
        </w:rPr>
        <w:t>元作为本合同的履约保证金。</w:t>
      </w:r>
    </w:p>
    <w:p>
      <w:pPr>
        <w:adjustRightInd w:val="0"/>
        <w:snapToGrid w:val="0"/>
        <w:spacing w:before="156" w:beforeLines="50" w:after="156" w:afterLines="50" w:line="360" w:lineRule="auto"/>
        <w:ind w:firstLine="480"/>
        <w:rPr>
          <w:rFonts w:ascii="宋体" w:cs="Courier New"/>
          <w:b/>
          <w:color w:val="auto"/>
          <w:sz w:val="24"/>
          <w:highlight w:val="none"/>
        </w:rPr>
      </w:pPr>
      <w:r>
        <w:rPr>
          <w:rFonts w:hint="eastAsia" w:ascii="宋体" w:hAnsi="宋体" w:cs="Courier New"/>
          <w:b/>
          <w:color w:val="auto"/>
          <w:sz w:val="24"/>
          <w:highlight w:val="none"/>
        </w:rPr>
        <w:t>七</w:t>
      </w:r>
      <w:r>
        <w:rPr>
          <w:rFonts w:ascii="宋体" w:cs="Courier New"/>
          <w:b/>
          <w:color w:val="auto"/>
          <w:sz w:val="24"/>
          <w:highlight w:val="none"/>
        </w:rPr>
        <w:t>.</w:t>
      </w:r>
      <w:r>
        <w:rPr>
          <w:rFonts w:hint="eastAsia" w:ascii="宋体" w:hAnsi="宋体" w:cs="Courier New"/>
          <w:b/>
          <w:color w:val="auto"/>
          <w:sz w:val="24"/>
          <w:highlight w:val="none"/>
        </w:rPr>
        <w:t>转包或分包</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7.1</w:t>
      </w:r>
      <w:r>
        <w:rPr>
          <w:rFonts w:hint="eastAsia" w:hAnsi="宋体"/>
          <w:color w:val="auto"/>
          <w:sz w:val="24"/>
          <w:szCs w:val="24"/>
          <w:highlight w:val="none"/>
        </w:rPr>
        <w:t>本合同范围的货物，应由乙方直接供应，不得转让他人供应；</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7.2</w:t>
      </w:r>
      <w:r>
        <w:rPr>
          <w:rFonts w:hint="eastAsia" w:hAnsi="宋体"/>
          <w:color w:val="auto"/>
          <w:sz w:val="24"/>
          <w:szCs w:val="24"/>
          <w:highlight w:val="none"/>
        </w:rPr>
        <w:t>除非得到甲方的书面同意，乙方不得部分分包给他人供应。</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7.3</w:t>
      </w:r>
      <w:r>
        <w:rPr>
          <w:rFonts w:hint="eastAsia" w:hAnsi="宋体"/>
          <w:color w:val="auto"/>
          <w:sz w:val="24"/>
          <w:szCs w:val="24"/>
          <w:highlight w:val="none"/>
        </w:rPr>
        <w:t>如有转让和未经甲方同意的分包行为，甲方有权给予终止合同。</w:t>
      </w:r>
    </w:p>
    <w:p>
      <w:pPr>
        <w:pStyle w:val="8"/>
        <w:adjustRightInd w:val="0"/>
        <w:snapToGrid w:val="0"/>
        <w:spacing w:before="120" w:after="120" w:line="360" w:lineRule="auto"/>
        <w:ind w:firstLine="660"/>
        <w:rPr>
          <w:rFonts w:hAnsi="宋体"/>
          <w:color w:val="auto"/>
          <w:sz w:val="24"/>
          <w:szCs w:val="24"/>
          <w:highlight w:val="none"/>
        </w:rPr>
      </w:pPr>
      <w:r>
        <w:rPr>
          <w:rFonts w:hint="eastAsia" w:hAnsi="宋体"/>
          <w:b/>
          <w:color w:val="auto"/>
          <w:sz w:val="24"/>
          <w:szCs w:val="24"/>
          <w:highlight w:val="none"/>
        </w:rPr>
        <w:t>八、质保期</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8.1 </w:t>
      </w:r>
      <w:r>
        <w:rPr>
          <w:rFonts w:hint="eastAsia" w:hAnsi="宋体"/>
          <w:color w:val="auto"/>
          <w:sz w:val="24"/>
          <w:szCs w:val="24"/>
          <w:highlight w:val="none"/>
        </w:rPr>
        <w:t>质保期1年。（自交货验收合格之日起计）</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九、交货期、交货方式及交货地点</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9.1 </w:t>
      </w:r>
      <w:r>
        <w:rPr>
          <w:rFonts w:hint="eastAsia" w:hAnsi="宋体"/>
          <w:color w:val="auto"/>
          <w:sz w:val="24"/>
          <w:szCs w:val="24"/>
          <w:highlight w:val="none"/>
        </w:rPr>
        <w:t>交货期：</w:t>
      </w:r>
      <w:r>
        <w:rPr>
          <w:rFonts w:hAnsi="宋体"/>
          <w:color w:val="auto"/>
          <w:sz w:val="24"/>
          <w:szCs w:val="24"/>
          <w:highlight w:val="none"/>
        </w:rPr>
        <w:t>_________</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9.2 </w:t>
      </w:r>
      <w:r>
        <w:rPr>
          <w:rFonts w:hint="eastAsia" w:hAnsi="宋体"/>
          <w:color w:val="auto"/>
          <w:sz w:val="24"/>
          <w:szCs w:val="24"/>
          <w:highlight w:val="none"/>
        </w:rPr>
        <w:t>交货方式：</w:t>
      </w:r>
      <w:r>
        <w:rPr>
          <w:rFonts w:hAnsi="宋体"/>
          <w:color w:val="auto"/>
          <w:sz w:val="24"/>
          <w:szCs w:val="24"/>
          <w:highlight w:val="none"/>
        </w:rPr>
        <w:t>_________</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9.3 </w:t>
      </w:r>
      <w:r>
        <w:rPr>
          <w:rFonts w:hint="eastAsia" w:hAnsi="宋体"/>
          <w:color w:val="auto"/>
          <w:sz w:val="24"/>
          <w:szCs w:val="24"/>
          <w:highlight w:val="none"/>
        </w:rPr>
        <w:t>交货地点：用户单位地点或用户指定地点。</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十、货款支付</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10.1</w:t>
      </w:r>
      <w:r>
        <w:rPr>
          <w:rFonts w:hint="eastAsia" w:hAnsi="宋体"/>
          <w:color w:val="auto"/>
          <w:sz w:val="24"/>
          <w:szCs w:val="24"/>
          <w:highlight w:val="none"/>
        </w:rPr>
        <w:t>付款方式：</w:t>
      </w:r>
      <w:r>
        <w:rPr>
          <w:rFonts w:hAnsi="宋体"/>
          <w:color w:val="auto"/>
          <w:sz w:val="24"/>
          <w:szCs w:val="24"/>
          <w:highlight w:val="none"/>
        </w:rPr>
        <w:t>国外供应货物（进口货物），由外贸公司开具全额发票，外贸合同中采用100%信用证，90%见单即付，10%凭最终用户方签字和盖章的验收报告支付。</w:t>
      </w:r>
    </w:p>
    <w:p>
      <w:pPr>
        <w:ind w:firstLine="482" w:firstLineChars="200"/>
        <w:rPr>
          <w:rFonts w:ascii="宋体"/>
          <w:b/>
          <w:color w:val="auto"/>
          <w:sz w:val="24"/>
          <w:highlight w:val="none"/>
        </w:rPr>
      </w:pPr>
      <w:r>
        <w:rPr>
          <w:rFonts w:hint="eastAsia" w:ascii="宋体" w:hAnsi="宋体"/>
          <w:b/>
          <w:color w:val="auto"/>
          <w:sz w:val="24"/>
          <w:highlight w:val="none"/>
        </w:rPr>
        <w:t>十一、税</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11.1</w:t>
      </w:r>
      <w:r>
        <w:rPr>
          <w:rFonts w:hint="eastAsia" w:hAnsi="宋体"/>
          <w:color w:val="auto"/>
          <w:sz w:val="24"/>
          <w:szCs w:val="24"/>
          <w:highlight w:val="none"/>
        </w:rPr>
        <w:t>发票要求：针对国内供货的货物，乙方开具合同全额“增值税专用发票”。</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11.2</w:t>
      </w:r>
      <w:r>
        <w:rPr>
          <w:rFonts w:hint="eastAsia" w:hAnsi="宋体"/>
          <w:color w:val="auto"/>
          <w:sz w:val="24"/>
          <w:szCs w:val="24"/>
          <w:highlight w:val="none"/>
        </w:rPr>
        <w:t>本合同执行中相关的一切税费均由乙方负担。</w:t>
      </w:r>
    </w:p>
    <w:p>
      <w:pPr>
        <w:pStyle w:val="8"/>
        <w:adjustRightInd w:val="0"/>
        <w:snapToGrid w:val="0"/>
        <w:spacing w:before="120" w:after="120" w:line="360" w:lineRule="auto"/>
        <w:ind w:left="1" w:firstLine="660"/>
        <w:rPr>
          <w:rFonts w:hAnsi="宋体"/>
          <w:color w:val="auto"/>
          <w:sz w:val="24"/>
          <w:szCs w:val="24"/>
          <w:highlight w:val="none"/>
        </w:rPr>
      </w:pPr>
      <w:r>
        <w:rPr>
          <w:rFonts w:hint="eastAsia" w:hAnsi="宋体"/>
          <w:b/>
          <w:color w:val="auto"/>
          <w:sz w:val="24"/>
          <w:szCs w:val="24"/>
          <w:highlight w:val="none"/>
        </w:rPr>
        <w:t>十二、质量保证及售后服务</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12.1 </w:t>
      </w:r>
      <w:r>
        <w:rPr>
          <w:rFonts w:hint="eastAsia" w:hAnsi="宋体"/>
          <w:color w:val="auto"/>
          <w:sz w:val="24"/>
          <w:szCs w:val="24"/>
          <w:highlight w:val="none"/>
        </w:rPr>
        <w:t>乙方应按采购文件规定的货物性能、技术要求、质量标准向甲方提供未经使用的全新产品。</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12.2 </w:t>
      </w:r>
      <w:r>
        <w:rPr>
          <w:rFonts w:hint="eastAsia" w:hAnsi="宋体"/>
          <w:color w:val="auto"/>
          <w:sz w:val="24"/>
          <w:szCs w:val="24"/>
          <w:highlight w:val="none"/>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）更换：由乙方承担所发生的全部费用。</w:t>
      </w:r>
    </w:p>
    <w:p>
      <w:pPr>
        <w:adjustRightInd w:val="0"/>
        <w:snapToGrid w:val="0"/>
        <w:spacing w:line="360" w:lineRule="auto"/>
        <w:ind w:firstLine="360" w:firstLineChars="15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）贬值处理：由甲乙双方合议定价。</w:t>
      </w:r>
    </w:p>
    <w:p>
      <w:pPr>
        <w:adjustRightInd w:val="0"/>
        <w:snapToGrid w:val="0"/>
        <w:spacing w:line="360" w:lineRule="auto"/>
        <w:ind w:firstLine="360" w:firstLineChars="15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）退货处理：乙方应退还甲方支付的合同款，同时应承担该货物的直接费用（运输、保险、检验、货款利息及银行手续费等）。</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12.3 </w:t>
      </w:r>
      <w:r>
        <w:rPr>
          <w:rFonts w:hint="eastAsia" w:hAnsi="宋体"/>
          <w:color w:val="auto"/>
          <w:sz w:val="24"/>
          <w:szCs w:val="24"/>
          <w:highlight w:val="none"/>
        </w:rPr>
        <w:t>如在使用过程中发生质量问题，乙方在接到甲方通知后在小时内到达甲方现场。</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12.4 </w:t>
      </w:r>
      <w:r>
        <w:rPr>
          <w:rFonts w:hint="eastAsia" w:hAnsi="宋体"/>
          <w:color w:val="auto"/>
          <w:sz w:val="24"/>
          <w:szCs w:val="24"/>
          <w:highlight w:val="none"/>
        </w:rPr>
        <w:t>在质保期内，乙方应对货物出现的质量及安全问题负责处理解决并承担一切费用。</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12.5</w:t>
      </w:r>
      <w:r>
        <w:rPr>
          <w:rFonts w:hint="eastAsia" w:hAnsi="宋体"/>
          <w:color w:val="auto"/>
          <w:sz w:val="24"/>
          <w:szCs w:val="24"/>
          <w:highlight w:val="none"/>
        </w:rPr>
        <w:t>上述的货物免费保修期为</w:t>
      </w:r>
      <w:r>
        <w:rPr>
          <w:rFonts w:hAnsi="宋体"/>
          <w:color w:val="auto"/>
          <w:sz w:val="24"/>
          <w:szCs w:val="24"/>
          <w:highlight w:val="none"/>
        </w:rPr>
        <w:t>________</w:t>
      </w:r>
      <w:r>
        <w:rPr>
          <w:rFonts w:hint="eastAsia" w:hAnsi="宋体"/>
          <w:color w:val="auto"/>
          <w:sz w:val="24"/>
          <w:szCs w:val="24"/>
          <w:highlight w:val="none"/>
        </w:rPr>
        <w:t>年，因人为因素出现的故障不在免费保修范围内。超过保修期的机器设备，终生维修，维修时只收部件成本费。</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十三、调试和验收</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13.1 </w:t>
      </w:r>
      <w:r>
        <w:rPr>
          <w:rFonts w:hint="eastAsia" w:hAnsi="宋体"/>
          <w:color w:val="auto"/>
          <w:sz w:val="24"/>
          <w:szCs w:val="24"/>
          <w:highlight w:val="none"/>
        </w:rPr>
        <w:t>甲方对乙方提交的货物依据采购文件上的技术规格要求和国家有关质量标准进行现场初步验收，外观、说明书符合采购文件技术要求的，给予签收，初步验收不合格的不予签收。</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13.2 </w:t>
      </w:r>
      <w:r>
        <w:rPr>
          <w:rFonts w:hint="eastAsia" w:hAnsi="宋体"/>
          <w:color w:val="auto"/>
          <w:sz w:val="24"/>
          <w:szCs w:val="24"/>
          <w:highlight w:val="none"/>
        </w:rPr>
        <w:t>乙方交货前应对产品作出全面检查和对验收文件进行整理，并列出清单，作为甲方收货验收和使用的技术条件依据，检验的结果应随货物交甲方。</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13.3 </w:t>
      </w:r>
      <w:r>
        <w:rPr>
          <w:rFonts w:hint="eastAsia" w:hAnsi="宋体"/>
          <w:color w:val="auto"/>
          <w:sz w:val="24"/>
          <w:szCs w:val="24"/>
          <w:highlight w:val="none"/>
        </w:rPr>
        <w:t>甲方对乙方提供的货物在使用前进行调试时，乙方需负责安装并培训甲方的使用操作人员，并协助甲方一起调试，直到符合技术要求，甲方才做最终验收。</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13.4 </w:t>
      </w:r>
      <w:r>
        <w:rPr>
          <w:rFonts w:hint="eastAsia" w:hAnsi="宋体"/>
          <w:color w:val="auto"/>
          <w:sz w:val="24"/>
          <w:szCs w:val="24"/>
          <w:highlight w:val="none"/>
        </w:rPr>
        <w:t>对技术复杂的货物，甲方可请国家认可的专业检测机构参与初步验收及最终验收，并由其出具质量检测报告。</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13.5 </w:t>
      </w:r>
      <w:r>
        <w:rPr>
          <w:rFonts w:hint="eastAsia" w:hAnsi="宋体"/>
          <w:color w:val="auto"/>
          <w:sz w:val="24"/>
          <w:szCs w:val="24"/>
          <w:highlight w:val="none"/>
        </w:rPr>
        <w:t>验收时乙方必须在现场，验收完毕后作出验收结果报告，验收报告须经甲方最终用户签字和部门盖章。</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十四、货物包装、发运及运输</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14.1 </w:t>
      </w:r>
      <w:r>
        <w:rPr>
          <w:rFonts w:hint="eastAsia" w:hAnsi="宋体"/>
          <w:color w:val="auto"/>
          <w:sz w:val="24"/>
          <w:szCs w:val="24"/>
          <w:highlight w:val="none"/>
        </w:rPr>
        <w:t>乙方应在货物发运前对其进行满足运输距离、防潮、防震、防锈和防破损装卸等要求包装，以保证货物安全运达甲方指定地点。</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14.2 </w:t>
      </w:r>
      <w:r>
        <w:rPr>
          <w:rFonts w:hint="eastAsia" w:hAnsi="宋体"/>
          <w:color w:val="auto"/>
          <w:sz w:val="24"/>
          <w:szCs w:val="24"/>
          <w:highlight w:val="none"/>
        </w:rPr>
        <w:t>使用说明书、质量检验证明书、随配附件和工具以及清单一并附于货物内。</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14.3 </w:t>
      </w:r>
      <w:r>
        <w:rPr>
          <w:rFonts w:hint="eastAsia" w:hAnsi="宋体"/>
          <w:color w:val="auto"/>
          <w:sz w:val="24"/>
          <w:szCs w:val="24"/>
          <w:highlight w:val="none"/>
        </w:rPr>
        <w:t>乙方在货物发运手续办理完毕后</w:t>
      </w:r>
      <w:r>
        <w:rPr>
          <w:rFonts w:hAnsi="宋体"/>
          <w:color w:val="auto"/>
          <w:sz w:val="24"/>
          <w:szCs w:val="24"/>
          <w:highlight w:val="none"/>
        </w:rPr>
        <w:t>24</w:t>
      </w:r>
      <w:r>
        <w:rPr>
          <w:rFonts w:hint="eastAsia" w:hAnsi="宋体"/>
          <w:color w:val="auto"/>
          <w:sz w:val="24"/>
          <w:szCs w:val="24"/>
          <w:highlight w:val="none"/>
        </w:rPr>
        <w:t>小时内或货到甲方</w:t>
      </w:r>
      <w:r>
        <w:rPr>
          <w:rFonts w:hAnsi="宋体"/>
          <w:color w:val="auto"/>
          <w:sz w:val="24"/>
          <w:szCs w:val="24"/>
          <w:highlight w:val="none"/>
        </w:rPr>
        <w:t>48</w:t>
      </w:r>
      <w:r>
        <w:rPr>
          <w:rFonts w:hint="eastAsia" w:hAnsi="宋体"/>
          <w:color w:val="auto"/>
          <w:sz w:val="24"/>
          <w:szCs w:val="24"/>
          <w:highlight w:val="none"/>
        </w:rPr>
        <w:t>小时前通知甲方，以准备接货。</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14.4 </w:t>
      </w:r>
      <w:r>
        <w:rPr>
          <w:rFonts w:hint="eastAsia" w:hAnsi="宋体"/>
          <w:color w:val="auto"/>
          <w:sz w:val="24"/>
          <w:szCs w:val="24"/>
          <w:highlight w:val="none"/>
        </w:rPr>
        <w:t>货物在交付甲方前发生的风险均由乙方负责。</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14.5 </w:t>
      </w:r>
      <w:r>
        <w:rPr>
          <w:rFonts w:hint="eastAsia" w:hAnsi="宋体"/>
          <w:color w:val="auto"/>
          <w:sz w:val="24"/>
          <w:szCs w:val="24"/>
          <w:highlight w:val="none"/>
        </w:rPr>
        <w:t>货物在规定的交付期限内由乙方送达甲方指定的地点视为交付，乙方同时需通知甲方货物已送达。</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十五、违约责任</w:t>
      </w:r>
    </w:p>
    <w:p>
      <w:pPr>
        <w:pStyle w:val="8"/>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15.1</w:t>
      </w:r>
      <w:r>
        <w:rPr>
          <w:rFonts w:hint="eastAsia" w:hAnsi="宋体"/>
          <w:color w:val="auto"/>
          <w:sz w:val="24"/>
          <w:szCs w:val="24"/>
          <w:highlight w:val="none"/>
        </w:rPr>
        <w:t>乙方逾期交付货物的，乙方应按逾期交货总额每日千分之六向甲方支付违约金，由甲方从待付货款中扣除。逾期超过约定日期</w:t>
      </w:r>
      <w:r>
        <w:rPr>
          <w:rFonts w:hAnsi="宋体"/>
          <w:color w:val="auto"/>
          <w:sz w:val="24"/>
          <w:szCs w:val="24"/>
          <w:highlight w:val="none"/>
        </w:rPr>
        <w:t>10</w:t>
      </w:r>
      <w:r>
        <w:rPr>
          <w:rFonts w:hint="eastAsia" w:hAnsi="宋体"/>
          <w:color w:val="auto"/>
          <w:sz w:val="24"/>
          <w:szCs w:val="24"/>
          <w:highlight w:val="none"/>
        </w:rPr>
        <w:t>个工作日不能交货的，甲方可解除本合同。乙方因逾期交货或因其他违约行为导致甲方解除合同的，乙方应向甲方支付合同总值</w:t>
      </w:r>
      <w:r>
        <w:rPr>
          <w:rFonts w:hAnsi="宋体"/>
          <w:color w:val="auto"/>
          <w:sz w:val="24"/>
          <w:szCs w:val="24"/>
          <w:highlight w:val="none"/>
        </w:rPr>
        <w:t>5%</w:t>
      </w:r>
      <w:r>
        <w:rPr>
          <w:rFonts w:hint="eastAsia" w:hAnsi="宋体"/>
          <w:color w:val="auto"/>
          <w:sz w:val="24"/>
          <w:szCs w:val="24"/>
          <w:highlight w:val="none"/>
        </w:rPr>
        <w:t>的违约金，如造成甲方损失超过违约金的，超出部分由乙方继续承担赔偿责任。</w:t>
      </w:r>
    </w:p>
    <w:p>
      <w:pPr>
        <w:pStyle w:val="8"/>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15.2</w:t>
      </w:r>
      <w:r>
        <w:rPr>
          <w:rFonts w:hint="eastAsia" w:hAnsi="宋体"/>
          <w:color w:val="auto"/>
          <w:sz w:val="24"/>
          <w:szCs w:val="24"/>
          <w:highlight w:val="none"/>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十六、廉政条款</w:t>
      </w:r>
    </w:p>
    <w:p>
      <w:pPr>
        <w:pStyle w:val="8"/>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16.1</w:t>
      </w:r>
      <w:r>
        <w:rPr>
          <w:rFonts w:hint="eastAsia" w:hAnsi="宋体"/>
          <w:color w:val="auto"/>
          <w:sz w:val="24"/>
          <w:szCs w:val="24"/>
          <w:highlight w:val="none"/>
        </w:rPr>
        <w:t>乙方必须支持甲方的廉政建设，不得向甲方相关人员提供金钱和物质上的好处，一经发现处以合同金额</w:t>
      </w:r>
      <w:r>
        <w:rPr>
          <w:rFonts w:hAnsi="宋体"/>
          <w:color w:val="auto"/>
          <w:sz w:val="24"/>
          <w:szCs w:val="24"/>
          <w:highlight w:val="none"/>
        </w:rPr>
        <w:t>20%</w:t>
      </w:r>
      <w:r>
        <w:rPr>
          <w:rFonts w:hint="eastAsia" w:hAnsi="宋体"/>
          <w:color w:val="auto"/>
          <w:sz w:val="24"/>
          <w:szCs w:val="24"/>
          <w:highlight w:val="none"/>
        </w:rPr>
        <w:t>的罚款。</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十七、不可抗力事件处理</w:t>
      </w:r>
    </w:p>
    <w:p>
      <w:pPr>
        <w:pStyle w:val="8"/>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 xml:space="preserve">17.1 </w:t>
      </w:r>
      <w:r>
        <w:rPr>
          <w:rFonts w:hint="eastAsia" w:hAnsi="宋体"/>
          <w:color w:val="auto"/>
          <w:sz w:val="24"/>
          <w:szCs w:val="24"/>
          <w:highlight w:val="none"/>
        </w:rPr>
        <w:t>在合同有效期内，任何一方因不可抗力事件导致不能履行合同，则合同履行期可延长，其延长期与不可抗力影响期相同。</w:t>
      </w:r>
    </w:p>
    <w:p>
      <w:pPr>
        <w:pStyle w:val="8"/>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 xml:space="preserve">17.2 </w:t>
      </w:r>
      <w:r>
        <w:rPr>
          <w:rFonts w:hint="eastAsia" w:hAnsi="宋体"/>
          <w:color w:val="auto"/>
          <w:sz w:val="24"/>
          <w:szCs w:val="24"/>
          <w:highlight w:val="none"/>
        </w:rPr>
        <w:t>不可抗力事件发生后，应立即通知对方，并寄送有关权威机构出具的证明。</w:t>
      </w:r>
    </w:p>
    <w:p>
      <w:pPr>
        <w:pStyle w:val="8"/>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 xml:space="preserve">17.3 </w:t>
      </w:r>
      <w:r>
        <w:rPr>
          <w:rFonts w:hint="eastAsia" w:hAnsi="宋体"/>
          <w:color w:val="auto"/>
          <w:sz w:val="24"/>
          <w:szCs w:val="24"/>
          <w:highlight w:val="none"/>
        </w:rPr>
        <w:t>不可抗力事件延续</w:t>
      </w:r>
      <w:r>
        <w:rPr>
          <w:rFonts w:hAnsi="宋体"/>
          <w:color w:val="auto"/>
          <w:sz w:val="24"/>
          <w:szCs w:val="24"/>
          <w:highlight w:val="none"/>
        </w:rPr>
        <w:t>30</w:t>
      </w:r>
      <w:r>
        <w:rPr>
          <w:rFonts w:hint="eastAsia" w:hAnsi="宋体"/>
          <w:color w:val="auto"/>
          <w:sz w:val="24"/>
          <w:szCs w:val="24"/>
          <w:highlight w:val="none"/>
        </w:rPr>
        <w:t>天以上，双方应通过友好协商，确定是否继续履行合同。</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十八、诉讼</w:t>
      </w:r>
    </w:p>
    <w:p>
      <w:pPr>
        <w:pStyle w:val="8"/>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 xml:space="preserve">18.1 </w:t>
      </w:r>
      <w:r>
        <w:rPr>
          <w:rFonts w:hint="eastAsia" w:hAnsi="宋体"/>
          <w:color w:val="auto"/>
          <w:sz w:val="24"/>
          <w:szCs w:val="24"/>
          <w:highlight w:val="none"/>
        </w:rPr>
        <w:t>双方在执行合同中所发生的一切争议，应通过协商解决。如协商不成，可向合同签订地法院起诉，合同签订地在此约定为南京市。</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十九、合同生效及其它</w:t>
      </w:r>
    </w:p>
    <w:p>
      <w:pPr>
        <w:pStyle w:val="8"/>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 xml:space="preserve">19.1 </w:t>
      </w:r>
      <w:r>
        <w:rPr>
          <w:rFonts w:hint="eastAsia" w:hAnsi="宋体"/>
          <w:color w:val="auto"/>
          <w:sz w:val="24"/>
          <w:szCs w:val="24"/>
          <w:highlight w:val="none"/>
        </w:rPr>
        <w:t>合同经双方法定代表人或授权委托代表人签字并加盖单位公章后生效。</w:t>
      </w:r>
    </w:p>
    <w:p>
      <w:pPr>
        <w:pStyle w:val="8"/>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19.2</w:t>
      </w:r>
      <w:r>
        <w:rPr>
          <w:rFonts w:hint="eastAsia" w:hAnsi="宋体"/>
          <w:color w:val="auto"/>
          <w:sz w:val="24"/>
          <w:szCs w:val="24"/>
          <w:highlight w:val="none"/>
        </w:rPr>
        <w:t>本合同未尽事宜，遵照《合同法》有关条文执行。</w:t>
      </w:r>
    </w:p>
    <w:p>
      <w:pPr>
        <w:pStyle w:val="8"/>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 xml:space="preserve">19.3 </w:t>
      </w:r>
      <w:r>
        <w:rPr>
          <w:rFonts w:hint="eastAsia" w:hAnsi="宋体"/>
          <w:color w:val="auto"/>
          <w:sz w:val="24"/>
          <w:szCs w:val="24"/>
          <w:highlight w:val="none"/>
        </w:rPr>
        <w:t>本合同正本一式四份，具有同等法律效力，甲方、乙方各执两份。</w:t>
      </w:r>
    </w:p>
    <w:p>
      <w:pPr>
        <w:pStyle w:val="8"/>
        <w:adjustRightInd w:val="0"/>
        <w:snapToGrid w:val="0"/>
        <w:spacing w:before="120" w:after="120" w:line="360" w:lineRule="auto"/>
        <w:ind w:left="420" w:leftChars="200" w:firstLine="240" w:firstLineChars="100"/>
        <w:rPr>
          <w:rFonts w:hAnsi="宋体"/>
          <w:color w:val="auto"/>
          <w:sz w:val="24"/>
          <w:szCs w:val="24"/>
          <w:highlight w:val="none"/>
        </w:rPr>
      </w:pPr>
      <w:r>
        <w:rPr>
          <w:rFonts w:hint="eastAsia" w:hAnsi="宋体"/>
          <w:color w:val="auto"/>
          <w:sz w:val="24"/>
          <w:szCs w:val="24"/>
          <w:highlight w:val="none"/>
        </w:rPr>
        <w:t>甲方：乙方：</w:t>
      </w:r>
    </w:p>
    <w:p>
      <w:pPr>
        <w:pStyle w:val="8"/>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地址：地址：</w:t>
      </w:r>
    </w:p>
    <w:p>
      <w:pPr>
        <w:pStyle w:val="8"/>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法定代表人或授权代表：</w:t>
      </w:r>
    </w:p>
    <w:p>
      <w:pPr>
        <w:pStyle w:val="8"/>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项目负责人</w:t>
      </w:r>
      <w:r>
        <w:rPr>
          <w:rFonts w:hAnsi="宋体"/>
          <w:color w:val="auto"/>
          <w:sz w:val="24"/>
          <w:szCs w:val="24"/>
          <w:highlight w:val="none"/>
        </w:rPr>
        <w:t xml:space="preserve">:                              </w:t>
      </w:r>
      <w:r>
        <w:rPr>
          <w:rFonts w:hint="eastAsia" w:hAnsi="宋体"/>
          <w:color w:val="auto"/>
          <w:sz w:val="24"/>
          <w:szCs w:val="24"/>
          <w:highlight w:val="none"/>
        </w:rPr>
        <w:t>法定代表人或授权代表：</w:t>
      </w:r>
    </w:p>
    <w:p>
      <w:pPr>
        <w:pStyle w:val="8"/>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项目联系人</w:t>
      </w:r>
      <w:r>
        <w:rPr>
          <w:rFonts w:hAnsi="宋体"/>
          <w:color w:val="auto"/>
          <w:sz w:val="24"/>
          <w:szCs w:val="24"/>
          <w:highlight w:val="none"/>
        </w:rPr>
        <w:t>:</w:t>
      </w:r>
    </w:p>
    <w:p>
      <w:pPr>
        <w:pStyle w:val="8"/>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联系电话：联系电话：</w:t>
      </w:r>
    </w:p>
    <w:p>
      <w:pPr>
        <w:pStyle w:val="8"/>
        <w:adjustRightInd w:val="0"/>
        <w:snapToGrid w:val="0"/>
        <w:spacing w:before="120" w:after="120" w:line="360" w:lineRule="auto"/>
        <w:ind w:firstLine="767"/>
        <w:rPr>
          <w:rFonts w:cs="仿宋"/>
          <w:color w:val="auto"/>
          <w:sz w:val="24"/>
          <w:highlight w:val="none"/>
        </w:rPr>
      </w:pPr>
      <w:r>
        <w:rPr>
          <w:rFonts w:hint="eastAsia"/>
          <w:color w:val="auto"/>
          <w:sz w:val="28"/>
          <w:szCs w:val="28"/>
          <w:highlight w:val="none"/>
        </w:rPr>
        <w:t>签订日期：      年   月   日</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b/>
      </w:rPr>
      <w:fldChar w:fldCharType="begin"/>
    </w:r>
    <w:r>
      <w:rPr>
        <w:b/>
      </w:rPr>
      <w:instrText xml:space="preserve">PAGE  \* Arabic  \* MERGEFORMAT</w:instrText>
    </w:r>
    <w:r>
      <w:rPr>
        <w:b/>
      </w:rPr>
      <w:fldChar w:fldCharType="separate"/>
    </w:r>
    <w:r>
      <w:rPr>
        <w:b/>
        <w:lang w:val="zh-CN"/>
      </w:rPr>
      <w:t>20</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22</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cs="宋体"/>
        <w:b/>
        <w:bCs/>
        <w:kern w:val="0"/>
        <w:sz w:val="15"/>
        <w:szCs w:val="15"/>
      </w:rPr>
    </w:pPr>
    <w:r>
      <w:rPr>
        <w:rFonts w:hint="eastAsia" w:ascii="宋体" w:hAnsi="宋体" w:cs="宋体"/>
        <w:b/>
        <w:bCs/>
        <w:kern w:val="0"/>
        <w:sz w:val="15"/>
        <w:szCs w:val="15"/>
      </w:rPr>
      <w:t>南京信息工程大学财务处20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D92"/>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62D8"/>
    <w:rsid w:val="000E794A"/>
    <w:rsid w:val="000E7B1F"/>
    <w:rsid w:val="000E7E73"/>
    <w:rsid w:val="000F0A5B"/>
    <w:rsid w:val="000F1E4F"/>
    <w:rsid w:val="000F2EDC"/>
    <w:rsid w:val="000F33C3"/>
    <w:rsid w:val="000F7C08"/>
    <w:rsid w:val="001007BA"/>
    <w:rsid w:val="00100F2E"/>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21DE6"/>
    <w:rsid w:val="002228CD"/>
    <w:rsid w:val="002238C0"/>
    <w:rsid w:val="0022420E"/>
    <w:rsid w:val="00225151"/>
    <w:rsid w:val="00226609"/>
    <w:rsid w:val="002270A5"/>
    <w:rsid w:val="002274A2"/>
    <w:rsid w:val="00230145"/>
    <w:rsid w:val="00230940"/>
    <w:rsid w:val="002346F4"/>
    <w:rsid w:val="00235A05"/>
    <w:rsid w:val="00237A59"/>
    <w:rsid w:val="002408A3"/>
    <w:rsid w:val="00240E59"/>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569D"/>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5610"/>
    <w:rsid w:val="00345928"/>
    <w:rsid w:val="00347496"/>
    <w:rsid w:val="00347889"/>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1000"/>
    <w:rsid w:val="0053114F"/>
    <w:rsid w:val="00533F15"/>
    <w:rsid w:val="00537018"/>
    <w:rsid w:val="00540A3F"/>
    <w:rsid w:val="00541B97"/>
    <w:rsid w:val="00544BF1"/>
    <w:rsid w:val="00545F0F"/>
    <w:rsid w:val="00546198"/>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B28"/>
    <w:rsid w:val="006A4D56"/>
    <w:rsid w:val="006A59A2"/>
    <w:rsid w:val="006A5ECF"/>
    <w:rsid w:val="006A669E"/>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6E3B"/>
    <w:rsid w:val="0093715C"/>
    <w:rsid w:val="00942FE6"/>
    <w:rsid w:val="00943762"/>
    <w:rsid w:val="00943D55"/>
    <w:rsid w:val="009441C5"/>
    <w:rsid w:val="00944B21"/>
    <w:rsid w:val="00944F62"/>
    <w:rsid w:val="00945FA3"/>
    <w:rsid w:val="009473FE"/>
    <w:rsid w:val="00951C1B"/>
    <w:rsid w:val="0095244B"/>
    <w:rsid w:val="00952BB4"/>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723F"/>
    <w:rsid w:val="009B2876"/>
    <w:rsid w:val="009B3202"/>
    <w:rsid w:val="009B4732"/>
    <w:rsid w:val="009B5355"/>
    <w:rsid w:val="009B5A13"/>
    <w:rsid w:val="009B5D2C"/>
    <w:rsid w:val="009B5E85"/>
    <w:rsid w:val="009B7C1E"/>
    <w:rsid w:val="009B7FB8"/>
    <w:rsid w:val="009C018C"/>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6220"/>
    <w:rsid w:val="00A46DA5"/>
    <w:rsid w:val="00A512D9"/>
    <w:rsid w:val="00A513FD"/>
    <w:rsid w:val="00A51D42"/>
    <w:rsid w:val="00A54A51"/>
    <w:rsid w:val="00A54C2B"/>
    <w:rsid w:val="00A560A6"/>
    <w:rsid w:val="00A56335"/>
    <w:rsid w:val="00A56B4D"/>
    <w:rsid w:val="00A6110E"/>
    <w:rsid w:val="00A61E93"/>
    <w:rsid w:val="00A6304F"/>
    <w:rsid w:val="00A66067"/>
    <w:rsid w:val="00A669C1"/>
    <w:rsid w:val="00A66F4B"/>
    <w:rsid w:val="00A72112"/>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722B"/>
    <w:rsid w:val="00B972CE"/>
    <w:rsid w:val="00BA0166"/>
    <w:rsid w:val="00BA1570"/>
    <w:rsid w:val="00BA2BDC"/>
    <w:rsid w:val="00BA3F55"/>
    <w:rsid w:val="00BA4270"/>
    <w:rsid w:val="00BA508D"/>
    <w:rsid w:val="00BA524D"/>
    <w:rsid w:val="00BB0F3A"/>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EA9"/>
    <w:rsid w:val="00CA7DF1"/>
    <w:rsid w:val="00CB063E"/>
    <w:rsid w:val="00CB46CA"/>
    <w:rsid w:val="00CB4EC5"/>
    <w:rsid w:val="00CB52A4"/>
    <w:rsid w:val="00CB6349"/>
    <w:rsid w:val="00CB7BA1"/>
    <w:rsid w:val="00CC0C69"/>
    <w:rsid w:val="00CC0DD7"/>
    <w:rsid w:val="00CC4AC7"/>
    <w:rsid w:val="00CC6087"/>
    <w:rsid w:val="00CC65A4"/>
    <w:rsid w:val="00CC7630"/>
    <w:rsid w:val="00CC7C8D"/>
    <w:rsid w:val="00CD0071"/>
    <w:rsid w:val="00CD1EC5"/>
    <w:rsid w:val="00CD2FD4"/>
    <w:rsid w:val="00CD346D"/>
    <w:rsid w:val="00CD4000"/>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507B"/>
    <w:rsid w:val="00DF637A"/>
    <w:rsid w:val="00DF74C6"/>
    <w:rsid w:val="00E00B59"/>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B68"/>
    <w:rsid w:val="00FE5C60"/>
    <w:rsid w:val="00FE7480"/>
    <w:rsid w:val="00FF0C63"/>
    <w:rsid w:val="00FF0EC6"/>
    <w:rsid w:val="00FF1DAB"/>
    <w:rsid w:val="00FF394A"/>
    <w:rsid w:val="00FF3DF8"/>
    <w:rsid w:val="057B4126"/>
    <w:rsid w:val="05B517B2"/>
    <w:rsid w:val="0C4861BD"/>
    <w:rsid w:val="10EB4170"/>
    <w:rsid w:val="10F05838"/>
    <w:rsid w:val="12162C3B"/>
    <w:rsid w:val="130F1D58"/>
    <w:rsid w:val="14896182"/>
    <w:rsid w:val="151B59CC"/>
    <w:rsid w:val="155010AB"/>
    <w:rsid w:val="1584594C"/>
    <w:rsid w:val="1C4A137C"/>
    <w:rsid w:val="1CDA2DD9"/>
    <w:rsid w:val="1E12120F"/>
    <w:rsid w:val="1F956998"/>
    <w:rsid w:val="1FE9745D"/>
    <w:rsid w:val="221A2A37"/>
    <w:rsid w:val="243943F8"/>
    <w:rsid w:val="24E05430"/>
    <w:rsid w:val="27961F1E"/>
    <w:rsid w:val="27AD7C03"/>
    <w:rsid w:val="2A8E656C"/>
    <w:rsid w:val="2CE81BAF"/>
    <w:rsid w:val="2E726843"/>
    <w:rsid w:val="2EC622BA"/>
    <w:rsid w:val="309B1612"/>
    <w:rsid w:val="3122046D"/>
    <w:rsid w:val="3172033E"/>
    <w:rsid w:val="3227588C"/>
    <w:rsid w:val="325F6558"/>
    <w:rsid w:val="351529A9"/>
    <w:rsid w:val="366D672C"/>
    <w:rsid w:val="385D644E"/>
    <w:rsid w:val="38F33167"/>
    <w:rsid w:val="39CE5E1D"/>
    <w:rsid w:val="3C8E6F2D"/>
    <w:rsid w:val="3E641635"/>
    <w:rsid w:val="42643A73"/>
    <w:rsid w:val="42AA1012"/>
    <w:rsid w:val="43FB66E3"/>
    <w:rsid w:val="44DC7F4B"/>
    <w:rsid w:val="45651876"/>
    <w:rsid w:val="46AA377D"/>
    <w:rsid w:val="49A639DA"/>
    <w:rsid w:val="4A497AEA"/>
    <w:rsid w:val="4A4B48E3"/>
    <w:rsid w:val="4B5137BF"/>
    <w:rsid w:val="519E2F1D"/>
    <w:rsid w:val="54B6223B"/>
    <w:rsid w:val="54E15A0F"/>
    <w:rsid w:val="57360F05"/>
    <w:rsid w:val="577D2166"/>
    <w:rsid w:val="5AC859BF"/>
    <w:rsid w:val="5C0F2072"/>
    <w:rsid w:val="5CFC1D50"/>
    <w:rsid w:val="5E6C25B6"/>
    <w:rsid w:val="6233128F"/>
    <w:rsid w:val="62AA7FC4"/>
    <w:rsid w:val="63D7368B"/>
    <w:rsid w:val="69E27B06"/>
    <w:rsid w:val="6AB76CFB"/>
    <w:rsid w:val="6BC1702A"/>
    <w:rsid w:val="6DE86594"/>
    <w:rsid w:val="75BE6EB5"/>
    <w:rsid w:val="7AE40810"/>
    <w:rsid w:val="7B91636E"/>
    <w:rsid w:val="7BBB6C68"/>
    <w:rsid w:val="7C574749"/>
    <w:rsid w:val="7C5C461A"/>
    <w:rsid w:val="7C8E2CF6"/>
    <w:rsid w:val="7CD015B7"/>
    <w:rsid w:val="7E85017C"/>
    <w:rsid w:val="7EEF6C2A"/>
    <w:rsid w:val="7F074C20"/>
    <w:rsid w:val="7F363A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99"/>
    <w:pPr>
      <w:keepNext/>
      <w:keepLines/>
      <w:spacing w:before="340" w:after="330" w:line="578" w:lineRule="auto"/>
      <w:outlineLvl w:val="0"/>
    </w:pPr>
    <w:rPr>
      <w:b/>
      <w:kern w:val="44"/>
      <w:sz w:val="44"/>
      <w:szCs w:val="20"/>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lock Text"/>
    <w:basedOn w:val="1"/>
    <w:unhideWhenUsed/>
    <w:qFormat/>
    <w:locked/>
    <w:uiPriority w:val="99"/>
    <w:pPr>
      <w:spacing w:after="120"/>
      <w:ind w:left="1440" w:leftChars="700" w:right="1440" w:rightChars="700"/>
    </w:pPr>
  </w:style>
  <w:style w:type="paragraph" w:styleId="4">
    <w:name w:val="annotation text"/>
    <w:basedOn w:val="1"/>
    <w:link w:val="21"/>
    <w:qFormat/>
    <w:uiPriority w:val="99"/>
    <w:pPr>
      <w:jc w:val="left"/>
    </w:pPr>
    <w:rPr>
      <w:sz w:val="24"/>
      <w:szCs w:val="20"/>
    </w:rPr>
  </w:style>
  <w:style w:type="paragraph" w:styleId="5">
    <w:name w:val="Body Text"/>
    <w:basedOn w:val="1"/>
    <w:link w:val="40"/>
    <w:unhideWhenUsed/>
    <w:qFormat/>
    <w:locked/>
    <w:uiPriority w:val="99"/>
    <w:pPr>
      <w:spacing w:after="120"/>
    </w:pPr>
  </w:style>
  <w:style w:type="paragraph" w:styleId="6">
    <w:name w:val="Body Text Indent"/>
    <w:basedOn w:val="1"/>
    <w:link w:val="22"/>
    <w:qFormat/>
    <w:uiPriority w:val="99"/>
    <w:pPr>
      <w:ind w:firstLine="575" w:firstLineChars="274"/>
    </w:pPr>
    <w:rPr>
      <w:rFonts w:ascii="等线" w:eastAsia="等线"/>
      <w:sz w:val="22"/>
      <w:szCs w:val="20"/>
    </w:rPr>
  </w:style>
  <w:style w:type="paragraph" w:styleId="7">
    <w:name w:val="index 4"/>
    <w:basedOn w:val="1"/>
    <w:next w:val="1"/>
    <w:qFormat/>
    <w:uiPriority w:val="99"/>
    <w:pPr>
      <w:ind w:left="600" w:leftChars="600"/>
    </w:pPr>
    <w:rPr>
      <w:rFonts w:ascii="Verdana" w:hAnsi="Verdana"/>
    </w:rPr>
  </w:style>
  <w:style w:type="paragraph" w:styleId="8">
    <w:name w:val="Plain Text"/>
    <w:basedOn w:val="1"/>
    <w:link w:val="23"/>
    <w:qFormat/>
    <w:uiPriority w:val="0"/>
    <w:rPr>
      <w:rFonts w:ascii="宋体" w:hAnsi="Courier New"/>
      <w:szCs w:val="20"/>
    </w:rPr>
  </w:style>
  <w:style w:type="paragraph" w:styleId="9">
    <w:name w:val="Date"/>
    <w:basedOn w:val="1"/>
    <w:next w:val="1"/>
    <w:link w:val="24"/>
    <w:qFormat/>
    <w:uiPriority w:val="99"/>
    <w:pPr>
      <w:ind w:left="100" w:leftChars="2500"/>
    </w:pPr>
    <w:rPr>
      <w:sz w:val="24"/>
      <w:szCs w:val="20"/>
    </w:rPr>
  </w:style>
  <w:style w:type="paragraph" w:styleId="10">
    <w:name w:val="Balloon Text"/>
    <w:basedOn w:val="1"/>
    <w:link w:val="25"/>
    <w:semiHidden/>
    <w:qFormat/>
    <w:uiPriority w:val="99"/>
    <w:rPr>
      <w:kern w:val="0"/>
      <w:sz w:val="2"/>
      <w:szCs w:val="20"/>
    </w:rPr>
  </w:style>
  <w:style w:type="paragraph" w:styleId="11">
    <w:name w:val="footer"/>
    <w:basedOn w:val="1"/>
    <w:link w:val="26"/>
    <w:qFormat/>
    <w:uiPriority w:val="99"/>
    <w:pPr>
      <w:tabs>
        <w:tab w:val="center" w:pos="4153"/>
        <w:tab w:val="right" w:pos="8306"/>
      </w:tabs>
      <w:snapToGrid w:val="0"/>
      <w:jc w:val="left"/>
    </w:pPr>
    <w:rPr>
      <w:kern w:val="0"/>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20"/>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4"/>
    <w:next w:val="4"/>
    <w:link w:val="28"/>
    <w:qFormat/>
    <w:uiPriority w:val="99"/>
    <w:rPr>
      <w:b/>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rFonts w:cs="Times New Roman"/>
      <w:color w:val="0563C1"/>
      <w:u w:val="single"/>
    </w:rPr>
  </w:style>
  <w:style w:type="character" w:styleId="19">
    <w:name w:val="annotation reference"/>
    <w:basedOn w:val="17"/>
    <w:qFormat/>
    <w:uiPriority w:val="99"/>
    <w:rPr>
      <w:rFonts w:cs="Times New Roman"/>
      <w:sz w:val="21"/>
    </w:rPr>
  </w:style>
  <w:style w:type="character" w:customStyle="1" w:styleId="20">
    <w:name w:val="标题 1 字符"/>
    <w:link w:val="3"/>
    <w:qFormat/>
    <w:locked/>
    <w:uiPriority w:val="99"/>
    <w:rPr>
      <w:rFonts w:cs="Times New Roman"/>
      <w:b/>
      <w:kern w:val="44"/>
      <w:sz w:val="44"/>
    </w:rPr>
  </w:style>
  <w:style w:type="character" w:customStyle="1" w:styleId="21">
    <w:name w:val="批注文字 字符"/>
    <w:link w:val="4"/>
    <w:qFormat/>
    <w:locked/>
    <w:uiPriority w:val="99"/>
    <w:rPr>
      <w:rFonts w:cs="Times New Roman"/>
      <w:kern w:val="2"/>
      <w:sz w:val="24"/>
    </w:rPr>
  </w:style>
  <w:style w:type="character" w:customStyle="1" w:styleId="22">
    <w:name w:val="正文文本缩进 字符"/>
    <w:link w:val="6"/>
    <w:qFormat/>
    <w:locked/>
    <w:uiPriority w:val="99"/>
    <w:rPr>
      <w:rFonts w:ascii="等线" w:eastAsia="等线" w:cs="Times New Roman"/>
      <w:kern w:val="2"/>
      <w:sz w:val="22"/>
    </w:rPr>
  </w:style>
  <w:style w:type="character" w:customStyle="1" w:styleId="23">
    <w:name w:val="纯文本 字符"/>
    <w:link w:val="8"/>
    <w:qFormat/>
    <w:locked/>
    <w:uiPriority w:val="0"/>
    <w:rPr>
      <w:rFonts w:ascii="宋体" w:hAnsi="Courier New" w:cs="Times New Roman"/>
      <w:kern w:val="2"/>
      <w:sz w:val="21"/>
    </w:rPr>
  </w:style>
  <w:style w:type="character" w:customStyle="1" w:styleId="24">
    <w:name w:val="日期 字符"/>
    <w:link w:val="9"/>
    <w:qFormat/>
    <w:locked/>
    <w:uiPriority w:val="99"/>
    <w:rPr>
      <w:rFonts w:cs="Times New Roman"/>
      <w:kern w:val="2"/>
      <w:sz w:val="24"/>
    </w:rPr>
  </w:style>
  <w:style w:type="character" w:customStyle="1" w:styleId="25">
    <w:name w:val="批注框文本 字符"/>
    <w:link w:val="10"/>
    <w:semiHidden/>
    <w:qFormat/>
    <w:locked/>
    <w:uiPriority w:val="99"/>
    <w:rPr>
      <w:rFonts w:cs="Times New Roman"/>
      <w:sz w:val="2"/>
    </w:rPr>
  </w:style>
  <w:style w:type="character" w:customStyle="1" w:styleId="26">
    <w:name w:val="页脚 字符"/>
    <w:link w:val="11"/>
    <w:semiHidden/>
    <w:qFormat/>
    <w:locked/>
    <w:uiPriority w:val="99"/>
    <w:rPr>
      <w:rFonts w:cs="Times New Roman"/>
      <w:sz w:val="18"/>
      <w:szCs w:val="18"/>
    </w:rPr>
  </w:style>
  <w:style w:type="character" w:customStyle="1" w:styleId="27">
    <w:name w:val="页眉 字符"/>
    <w:link w:val="12"/>
    <w:qFormat/>
    <w:locked/>
    <w:uiPriority w:val="99"/>
    <w:rPr>
      <w:rFonts w:cs="Times New Roman"/>
      <w:kern w:val="2"/>
      <w:sz w:val="18"/>
    </w:rPr>
  </w:style>
  <w:style w:type="character" w:customStyle="1" w:styleId="28">
    <w:name w:val="批注主题 字符"/>
    <w:link w:val="14"/>
    <w:qFormat/>
    <w:locked/>
    <w:uiPriority w:val="99"/>
    <w:rPr>
      <w:rFonts w:cs="Times New Roman"/>
      <w:b/>
      <w:kern w:val="2"/>
      <w:sz w:val="24"/>
    </w:rPr>
  </w:style>
  <w:style w:type="paragraph" w:customStyle="1" w:styleId="29">
    <w:name w:val="Char"/>
    <w:basedOn w:val="1"/>
    <w:qFormat/>
    <w:uiPriority w:val="99"/>
    <w:pPr>
      <w:tabs>
        <w:tab w:val="left" w:pos="360"/>
      </w:tabs>
    </w:pPr>
    <w:rPr>
      <w:sz w:val="24"/>
    </w:rPr>
  </w:style>
  <w:style w:type="character" w:customStyle="1" w:styleId="30">
    <w:name w:val="列表段落 字符"/>
    <w:link w:val="31"/>
    <w:qFormat/>
    <w:locked/>
    <w:uiPriority w:val="0"/>
  </w:style>
  <w:style w:type="paragraph" w:styleId="31">
    <w:name w:val="List Paragraph"/>
    <w:basedOn w:val="1"/>
    <w:link w:val="30"/>
    <w:qFormat/>
    <w:uiPriority w:val="34"/>
    <w:pPr>
      <w:widowControl/>
      <w:ind w:firstLine="420" w:firstLineChars="200"/>
      <w:jc w:val="left"/>
    </w:pPr>
    <w:rPr>
      <w:kern w:val="0"/>
      <w:sz w:val="20"/>
      <w:szCs w:val="20"/>
    </w:rPr>
  </w:style>
  <w:style w:type="table" w:customStyle="1" w:styleId="32">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Placeholder Text"/>
    <w:semiHidden/>
    <w:qFormat/>
    <w:uiPriority w:val="99"/>
    <w:rPr>
      <w:rFonts w:cs="Times New Roman"/>
      <w:color w:val="808080"/>
    </w:rPr>
  </w:style>
  <w:style w:type="paragraph" w:customStyle="1" w:styleId="34">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5">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6">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7">
    <w:name w:val="列出段落2"/>
    <w:basedOn w:val="1"/>
    <w:qFormat/>
    <w:uiPriority w:val="99"/>
    <w:pPr>
      <w:ind w:firstLine="420" w:firstLineChars="200"/>
    </w:pPr>
    <w:rPr>
      <w:rFonts w:ascii="Calibri" w:hAnsi="Calibri"/>
      <w:szCs w:val="22"/>
    </w:rPr>
  </w:style>
  <w:style w:type="character" w:customStyle="1" w:styleId="38">
    <w:name w:val="标题 2 Char Char Char"/>
    <w:qFormat/>
    <w:uiPriority w:val="99"/>
    <w:rPr>
      <w:rFonts w:ascii="Arial" w:hAnsi="Arial" w:eastAsia="黑体"/>
      <w:b/>
      <w:kern w:val="2"/>
      <w:sz w:val="32"/>
      <w:lang w:val="en-US" w:eastAsia="zh-CN"/>
    </w:rPr>
  </w:style>
  <w:style w:type="paragraph" w:customStyle="1" w:styleId="39">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0">
    <w:name w:val="正文文本 字符"/>
    <w:link w:val="5"/>
    <w:qFormat/>
    <w:uiPriority w:val="99"/>
    <w:rPr>
      <w:kern w:val="2"/>
      <w:sz w:val="21"/>
      <w:szCs w:val="24"/>
    </w:rPr>
  </w:style>
  <w:style w:type="paragraph" w:customStyle="1" w:styleId="41">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2">
    <w:name w:val="正文2"/>
    <w:basedOn w:val="1"/>
    <w:qFormat/>
    <w:uiPriority w:val="0"/>
    <w:pPr>
      <w:spacing w:before="156" w:line="360" w:lineRule="auto"/>
      <w:ind w:firstLine="510" w:firstLineChars="200"/>
    </w:pPr>
    <w:rPr>
      <w:sz w:val="24"/>
    </w:rPr>
  </w:style>
  <w:style w:type="paragraph" w:customStyle="1" w:styleId="43">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4">
    <w:name w:val="A9"/>
    <w:qFormat/>
    <w:uiPriority w:val="0"/>
    <w:rPr>
      <w:rFonts w:cs="PSFEIH+StoneSans"/>
      <w:color w:val="262424"/>
      <w:sz w:val="20"/>
      <w:szCs w:val="20"/>
    </w:rPr>
  </w:style>
  <w:style w:type="paragraph" w:customStyle="1" w:styleId="45">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F44240-D74A-45F5-8898-5791E689576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2204</Words>
  <Characters>12567</Characters>
  <Lines>104</Lines>
  <Paragraphs>29</Paragraphs>
  <TotalTime>23</TotalTime>
  <ScaleCrop>false</ScaleCrop>
  <LinksUpToDate>false</LinksUpToDate>
  <CharactersWithSpaces>14742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2020-04-01T01:05:00Z</dcterms:created>
  <dc:creator>微软用户</dc:creator>
  <cp:lastModifiedBy>nxdlu</cp:lastModifiedBy>
  <cp:lastPrinted>2019-11-22T01:53:00Z</cp:lastPrinted>
  <dcterms:modified xsi:type="dcterms:W3CDTF">2020-06-16T06:08:07Z</dcterms:modified>
  <dc:title>淮海工学院A8-10号楼学生宿舍家具招标书</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