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62"/>
        <w:jc w:val="center"/>
        <w:rPr>
          <w:rFonts w:hint="eastAsia"/>
          <w:b/>
          <w:sz w:val="44"/>
          <w:szCs w:val="44"/>
          <w:highlight w:val="none"/>
          <w:lang w:val="en-US" w:eastAsia="zh-CN"/>
        </w:rPr>
      </w:pPr>
      <w:bookmarkStart w:id="0" w:name="OLE_LINK1"/>
      <w:bookmarkStart w:id="1" w:name="OLE_LINK2"/>
      <w:r>
        <w:rPr>
          <w:b/>
          <w:sz w:val="44"/>
          <w:szCs w:val="44"/>
          <w:highlight w:val="none"/>
        </w:rPr>
        <w:t>南京信息工程大</w:t>
      </w:r>
      <w:r>
        <w:rPr>
          <w:rFonts w:hint="eastAsia"/>
          <w:b/>
          <w:sz w:val="44"/>
          <w:szCs w:val="44"/>
          <w:highlight w:val="none"/>
          <w:lang w:val="en-US" w:eastAsia="zh-CN"/>
        </w:rPr>
        <w:t>学</w:t>
      </w:r>
      <w:bookmarkEnd w:id="0"/>
      <w:bookmarkEnd w:id="1"/>
      <w:r>
        <w:rPr>
          <w:rFonts w:hint="eastAsia"/>
          <w:b/>
          <w:sz w:val="44"/>
          <w:szCs w:val="44"/>
          <w:highlight w:val="none"/>
          <w:lang w:val="en-US" w:eastAsia="zh-CN"/>
        </w:rPr>
        <w:t>迎新管理与应用系统采购项目招标文件</w:t>
      </w:r>
    </w:p>
    <w:p>
      <w:pPr>
        <w:ind w:firstLine="862"/>
        <w:jc w:val="center"/>
        <w:rPr>
          <w:b/>
          <w:sz w:val="44"/>
          <w:szCs w:val="44"/>
          <w:highlight w:val="none"/>
        </w:rPr>
      </w:pPr>
    </w:p>
    <w:p>
      <w:pPr>
        <w:adjustRightInd w:val="0"/>
        <w:snapToGrid w:val="0"/>
        <w:spacing w:line="360" w:lineRule="auto"/>
        <w:jc w:val="center"/>
        <w:outlineLvl w:val="0"/>
        <w:rPr>
          <w:rFonts w:asci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rPr>
        <w:t>ZHL20200</w:t>
      </w:r>
      <w:r>
        <w:rPr>
          <w:rFonts w:hint="eastAsia" w:ascii="宋体" w:hAnsi="宋体" w:cs="仿宋"/>
          <w:sz w:val="28"/>
          <w:szCs w:val="28"/>
          <w:highlight w:val="none"/>
          <w:u w:val="single"/>
          <w:lang w:val="en-US" w:eastAsia="zh-CN"/>
        </w:rPr>
        <w:t>17</w:t>
      </w:r>
      <w:r>
        <w:rPr>
          <w:rFonts w:hint="eastAsia" w:ascii="宋体" w:hAnsi="宋体" w:cs="仿宋"/>
          <w:sz w:val="28"/>
          <w:szCs w:val="28"/>
          <w:highlight w:val="none"/>
        </w:rPr>
        <w:t>）</w:t>
      </w:r>
      <w:bookmarkStart w:id="12" w:name="_GoBack"/>
      <w:bookmarkEnd w:id="12"/>
    </w:p>
    <w:p>
      <w:pPr>
        <w:adjustRightInd w:val="0"/>
        <w:snapToGrid w:val="0"/>
        <w:spacing w:line="360" w:lineRule="auto"/>
        <w:jc w:val="center"/>
        <w:outlineLvl w:val="0"/>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20年</w:t>
      </w:r>
      <w:r>
        <w:rPr>
          <w:rFonts w:hint="eastAsia" w:ascii="宋体" w:hAnsi="宋体" w:cs="仿宋"/>
          <w:sz w:val="28"/>
          <w:szCs w:val="28"/>
          <w:highlight w:val="none"/>
          <w:u w:val="single"/>
          <w:lang w:val="en-US" w:eastAsia="zh-CN"/>
        </w:rPr>
        <w:t>5</w:t>
      </w:r>
      <w:r>
        <w:rPr>
          <w:rFonts w:hint="eastAsia" w:ascii="宋体" w:hAnsi="宋体" w:cs="仿宋"/>
          <w:sz w:val="28"/>
          <w:szCs w:val="28"/>
          <w:highlight w:val="none"/>
          <w:u w:val="single"/>
        </w:rPr>
        <w:t>月</w:t>
      </w:r>
      <w:r>
        <w:rPr>
          <w:rFonts w:hint="eastAsia" w:ascii="宋体" w:hAnsi="宋体" w:cs="仿宋"/>
          <w:sz w:val="28"/>
          <w:szCs w:val="28"/>
          <w:highlight w:val="none"/>
          <w:u w:val="single"/>
          <w:lang w:val="en-US" w:eastAsia="zh-CN"/>
        </w:rPr>
        <w:t>22</w:t>
      </w:r>
      <w:r>
        <w:rPr>
          <w:rFonts w:hint="eastAsia" w:ascii="宋体" w:hAnsi="宋体" w:cs="仿宋"/>
          <w:sz w:val="28"/>
          <w:szCs w:val="28"/>
          <w:highlight w:val="none"/>
          <w:u w:val="single"/>
        </w:rPr>
        <w:t>日</w:t>
      </w:r>
      <w:r>
        <w:rPr>
          <w:rFonts w:hint="eastAsia" w:ascii="宋体" w:hAnsi="宋体" w:cs="仿宋"/>
          <w:sz w:val="28"/>
          <w:szCs w:val="28"/>
          <w:highlight w:val="none"/>
          <w:u w:val="single"/>
          <w:lang w:val="en-US" w:eastAsia="zh-CN"/>
        </w:rPr>
        <w:t>10</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r>
        <w:rPr>
          <w:b/>
          <w:sz w:val="28"/>
          <w:szCs w:val="28"/>
          <w:highlight w:val="none"/>
        </w:rPr>
        <w:t xml:space="preserve"> </w:t>
      </w:r>
    </w:p>
    <w:p>
      <w:pPr>
        <w:spacing w:line="360" w:lineRule="auto"/>
        <w:ind w:firstLine="560" w:firstLineChars="200"/>
        <w:rPr>
          <w:sz w:val="28"/>
          <w:szCs w:val="28"/>
          <w:highlight w:val="none"/>
        </w:rPr>
      </w:pPr>
      <w:r>
        <w:rPr>
          <w:kern w:val="0"/>
          <w:sz w:val="28"/>
          <w:szCs w:val="28"/>
          <w:highlight w:val="none"/>
        </w:rPr>
        <w:t>为满足学校</w:t>
      </w:r>
      <w:r>
        <w:rPr>
          <w:rFonts w:hint="eastAsia"/>
          <w:kern w:val="0"/>
          <w:sz w:val="28"/>
          <w:szCs w:val="28"/>
          <w:highlight w:val="none"/>
          <w:lang w:val="en-US" w:eastAsia="zh-CN"/>
        </w:rPr>
        <w:t>迎新</w:t>
      </w:r>
      <w:r>
        <w:rPr>
          <w:sz w:val="28"/>
          <w:szCs w:val="28"/>
          <w:highlight w:val="none"/>
        </w:rPr>
        <w:t>工作需要，受校</w:t>
      </w:r>
      <w:r>
        <w:rPr>
          <w:rFonts w:hint="eastAsia"/>
          <w:sz w:val="28"/>
          <w:szCs w:val="28"/>
          <w:highlight w:val="none"/>
          <w:lang w:val="en-US" w:eastAsia="zh-CN"/>
        </w:rPr>
        <w:t>学生工作处</w:t>
      </w:r>
      <w:r>
        <w:rPr>
          <w:sz w:val="28"/>
          <w:szCs w:val="28"/>
          <w:highlight w:val="none"/>
        </w:rPr>
        <w:t>委托，</w:t>
      </w:r>
      <w:r>
        <w:rPr>
          <w:kern w:val="0"/>
          <w:sz w:val="28"/>
          <w:szCs w:val="28"/>
          <w:highlight w:val="none"/>
        </w:rPr>
        <w:t>就</w:t>
      </w:r>
      <w:r>
        <w:rPr>
          <w:rFonts w:hint="eastAsia"/>
          <w:sz w:val="28"/>
          <w:szCs w:val="28"/>
          <w:highlight w:val="none"/>
          <w:lang w:val="en-US" w:eastAsia="zh-CN"/>
        </w:rPr>
        <w:t>迎新管理与应用系统采购</w:t>
      </w:r>
      <w:r>
        <w:rPr>
          <w:kern w:val="0"/>
          <w:sz w:val="28"/>
          <w:szCs w:val="28"/>
          <w:highlight w:val="none"/>
        </w:rPr>
        <w:t>项目进行</w:t>
      </w:r>
      <w:r>
        <w:rPr>
          <w:sz w:val="28"/>
          <w:szCs w:val="28"/>
          <w:highlight w:val="none"/>
        </w:rPr>
        <w:t>公开招标，欢迎符合条件的供应商报名投标，现将有关情况说明如下：</w:t>
      </w:r>
    </w:p>
    <w:p>
      <w:pPr>
        <w:pStyle w:val="35"/>
        <w:spacing w:line="360" w:lineRule="auto"/>
        <w:ind w:firstLine="0" w:firstLineChars="0"/>
        <w:jc w:val="center"/>
        <w:outlineLvl w:val="0"/>
        <w:rPr>
          <w:rFonts w:eastAsia="黑体"/>
          <w:sz w:val="28"/>
          <w:szCs w:val="28"/>
          <w:highlight w:val="none"/>
        </w:rPr>
      </w:pPr>
      <w:r>
        <w:rPr>
          <w:rFonts w:eastAsia="黑体"/>
          <w:sz w:val="28"/>
          <w:szCs w:val="28"/>
          <w:highlight w:val="none"/>
        </w:rPr>
        <w:t>一、招标项目名称及简要说明</w:t>
      </w:r>
    </w:p>
    <w:p>
      <w:pPr>
        <w:pStyle w:val="35"/>
        <w:spacing w:line="360" w:lineRule="auto"/>
        <w:ind w:firstLine="560"/>
        <w:rPr>
          <w:sz w:val="28"/>
          <w:szCs w:val="28"/>
          <w:highlight w:val="none"/>
        </w:rPr>
      </w:pPr>
      <w:r>
        <w:rPr>
          <w:sz w:val="28"/>
          <w:szCs w:val="28"/>
          <w:highlight w:val="none"/>
        </w:rPr>
        <w:t>1. 项目名称：</w:t>
      </w:r>
      <w:r>
        <w:rPr>
          <w:rFonts w:hint="eastAsia"/>
          <w:sz w:val="28"/>
          <w:szCs w:val="28"/>
          <w:highlight w:val="none"/>
          <w:lang w:val="en-US" w:eastAsia="zh-CN"/>
        </w:rPr>
        <w:t>南京信息工程大学迎新管理与应用系统采购项目</w:t>
      </w:r>
      <w:r>
        <w:rPr>
          <w:rFonts w:hint="eastAsia"/>
          <w:sz w:val="28"/>
          <w:szCs w:val="28"/>
          <w:highlight w:val="none"/>
        </w:rPr>
        <w:t>。</w:t>
      </w:r>
    </w:p>
    <w:p>
      <w:pPr>
        <w:pStyle w:val="35"/>
        <w:spacing w:line="360" w:lineRule="auto"/>
        <w:ind w:firstLine="560"/>
        <w:rPr>
          <w:rFonts w:ascii="宋体" w:cs="仿宋"/>
          <w:sz w:val="28"/>
          <w:szCs w:val="28"/>
          <w:highlight w:val="none"/>
        </w:rPr>
      </w:pPr>
      <w:r>
        <w:rPr>
          <w:rFonts w:ascii="宋体" w:hAnsi="宋体" w:cs="仿宋"/>
          <w:sz w:val="28"/>
          <w:szCs w:val="28"/>
          <w:highlight w:val="none"/>
        </w:rPr>
        <w:t>2</w:t>
      </w:r>
      <w:r>
        <w:rPr>
          <w:rFonts w:ascii="宋体" w:cs="仿宋"/>
          <w:sz w:val="28"/>
          <w:szCs w:val="28"/>
          <w:highlight w:val="none"/>
        </w:rPr>
        <w:t>.</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w:t>
      </w:r>
      <w:r>
        <w:rPr>
          <w:rFonts w:ascii="宋体" w:hAnsi="宋体" w:cs="仿宋"/>
          <w:sz w:val="28"/>
          <w:szCs w:val="28"/>
          <w:highlight w:val="none"/>
        </w:rPr>
        <w:t>20%</w:t>
      </w:r>
      <w:r>
        <w:rPr>
          <w:rFonts w:hint="eastAsia" w:ascii="宋体" w:hAnsi="宋体" w:cs="仿宋"/>
          <w:sz w:val="28"/>
          <w:szCs w:val="28"/>
          <w:highlight w:val="none"/>
        </w:rPr>
        <w:t>的违约金，由此所造成的一切后果和经济损失均由中标人自行负责和承担。</w:t>
      </w:r>
    </w:p>
    <w:p>
      <w:pPr>
        <w:spacing w:line="360" w:lineRule="auto"/>
        <w:ind w:firstLine="549"/>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2"/>
          <w:b/>
          <w:color w:val="auto"/>
          <w:sz w:val="24"/>
          <w:highlight w:val="none"/>
        </w:rPr>
        <w:t>https://bulletin.nuist.edu.cn/779/lis</w:t>
      </w:r>
      <w:r>
        <w:rPr>
          <w:rStyle w:val="22"/>
          <w:color w:val="auto"/>
          <w:sz w:val="24"/>
          <w:highlight w:val="none"/>
        </w:rPr>
        <w:t>t.htm</w:t>
      </w:r>
      <w:r>
        <w:rPr>
          <w:rStyle w:val="22"/>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sz w:val="24"/>
          <w:szCs w:val="28"/>
          <w:highlight w:val="none"/>
        </w:rPr>
        <w:t>zbc.nuist.edu.cn</w:t>
      </w:r>
      <w:r>
        <w:rPr>
          <w:rFonts w:ascii="宋体" w:hAnsi="宋体"/>
          <w:sz w:val="24"/>
          <w:szCs w:val="28"/>
          <w:highlight w:val="non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49"/>
        <w:jc w:val="left"/>
        <w:rPr>
          <w:rFonts w:asci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招标文件由我校采购人、项目归口管理部门和财务处联合起草；经学校相关职能部门会审通过形成正式招标文件。同时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份纸质的正式招标文件，由财务处负责人和招标科工作人员同时签字并加盖财务处骑缝章后，分别交财务处、项目归口管理部门（或采购人）、审计处各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49"/>
        <w:jc w:val="left"/>
        <w:rPr>
          <w:rFonts w:ascii="宋体" w:hAnsi="宋体"/>
          <w:sz w:val="28"/>
          <w:szCs w:val="28"/>
          <w:highlight w:val="none"/>
        </w:rPr>
      </w:pPr>
      <w:r>
        <w:rPr>
          <w:rFonts w:ascii="宋体" w:hAnsi="宋体"/>
          <w:sz w:val="28"/>
          <w:szCs w:val="28"/>
          <w:highlight w:val="none"/>
        </w:rPr>
        <w:t>5.</w:t>
      </w:r>
      <w:r>
        <w:rPr>
          <w:rFonts w:hint="eastAsia" w:ascii="宋体" w:hAnsi="宋体"/>
          <w:sz w:val="28"/>
          <w:szCs w:val="28"/>
          <w:highlight w:val="none"/>
        </w:rPr>
        <w:t>正式的答疑回复文件也按上述方式处理留存。</w:t>
      </w:r>
    </w:p>
    <w:p>
      <w:pPr>
        <w:pStyle w:val="43"/>
        <w:adjustRightInd w:val="0"/>
        <w:snapToGrid w:val="0"/>
        <w:spacing w:before="156" w:beforeAutospacing="0" w:after="156"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w:t>
      </w:r>
      <w:r>
        <w:rPr>
          <w:rFonts w:cs="Times New Roman"/>
          <w:color w:val="auto"/>
          <w:kern w:val="2"/>
          <w:sz w:val="28"/>
          <w:szCs w:val="28"/>
          <w:highlight w:val="none"/>
        </w:rPr>
        <w:t>0</w:t>
      </w:r>
      <w:r>
        <w:rPr>
          <w:rFonts w:hint="eastAsia" w:cs="Times New Roman"/>
          <w:color w:val="auto"/>
          <w:kern w:val="2"/>
          <w:sz w:val="28"/>
          <w:szCs w:val="28"/>
          <w:highlight w:val="none"/>
        </w:rPr>
        <w:t>天内投标有效。</w:t>
      </w:r>
    </w:p>
    <w:p>
      <w:pPr>
        <w:pStyle w:val="43"/>
        <w:adjustRightInd w:val="0"/>
        <w:snapToGrid w:val="0"/>
        <w:spacing w:before="156" w:beforeAutospacing="0" w:after="156"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招标过程接受学校纪委办监督检查。</w:t>
      </w:r>
    </w:p>
    <w:p>
      <w:pPr>
        <w:spacing w:beforeLines="100" w:afterLines="100" w:line="360" w:lineRule="auto"/>
        <w:jc w:val="center"/>
        <w:rPr>
          <w:rFonts w:ascii="黑体" w:hAnsi="黑体" w:eastAsia="黑体"/>
          <w:sz w:val="28"/>
          <w:szCs w:val="28"/>
          <w:highlight w:val="none"/>
        </w:rPr>
      </w:pPr>
      <w:r>
        <w:rPr>
          <w:rFonts w:hint="eastAsia" w:ascii="黑体" w:hAnsi="黑体" w:eastAsia="黑体"/>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kern w:val="0"/>
          <w:sz w:val="28"/>
          <w:szCs w:val="28"/>
          <w:highlight w:val="none"/>
        </w:rPr>
      </w:pPr>
      <w:r>
        <w:rPr>
          <w:rFonts w:hint="eastAsia" w:ascii="宋体" w:hAnsi="宋体" w:cs="Arial"/>
          <w:sz w:val="28"/>
          <w:szCs w:val="28"/>
          <w:highlight w:val="none"/>
        </w:rPr>
        <w:t>（一）参加政府采购的供应商应当具备政府采购法</w:t>
      </w:r>
      <w:r>
        <w:rPr>
          <w:rFonts w:ascii="宋体" w:hAnsi="宋体" w:cs="Arial"/>
          <w:sz w:val="28"/>
          <w:szCs w:val="28"/>
          <w:highlight w:val="none"/>
        </w:rPr>
        <w:t>第二十二条</w:t>
      </w:r>
      <w:r>
        <w:rPr>
          <w:rFonts w:hint="eastAsia" w:ascii="宋体" w:hAnsi="宋体" w:cs="Arial"/>
          <w:sz w:val="28"/>
          <w:szCs w:val="28"/>
          <w:highlight w:val="none"/>
        </w:rPr>
        <w:t>第一款</w:t>
      </w:r>
      <w:r>
        <w:rPr>
          <w:rFonts w:ascii="宋体" w:hAnsi="宋体" w:cs="Arial"/>
          <w:sz w:val="28"/>
          <w:szCs w:val="28"/>
          <w:highlight w:val="none"/>
        </w:rPr>
        <w:t>规定</w:t>
      </w:r>
      <w:r>
        <w:rPr>
          <w:rFonts w:hint="eastAsia" w:ascii="宋体" w:hAnsi="宋体" w:cs="Arial"/>
          <w:sz w:val="28"/>
          <w:szCs w:val="28"/>
          <w:highlight w:val="none"/>
        </w:rPr>
        <w:t>的条件，并依照政府采购法实施条例第十七条规定提供下列材料：</w:t>
      </w:r>
    </w:p>
    <w:p>
      <w:pPr>
        <w:adjustRightInd w:val="0"/>
        <w:snapToGrid w:val="0"/>
        <w:spacing w:line="360" w:lineRule="auto"/>
        <w:ind w:firstLine="560" w:firstLineChars="200"/>
        <w:rPr>
          <w:rFonts w:ascii="宋体" w:hAnsi="宋体"/>
          <w:sz w:val="28"/>
          <w:szCs w:val="28"/>
          <w:highlight w:val="none"/>
        </w:rPr>
      </w:pPr>
      <w:r>
        <w:rPr>
          <w:rFonts w:hint="eastAsia" w:ascii="宋体" w:hAnsi="宋体" w:cs="Arial"/>
          <w:sz w:val="28"/>
          <w:szCs w:val="28"/>
          <w:highlight w:val="none"/>
        </w:rPr>
        <w:t>1.具有独立承担民事责任的能力</w:t>
      </w:r>
      <w:r>
        <w:rPr>
          <w:rFonts w:hint="eastAsia" w:ascii="宋体" w:hAnsi="宋体"/>
          <w:sz w:val="28"/>
          <w:szCs w:val="28"/>
          <w:highlight w:val="none"/>
        </w:rPr>
        <w:t>：须为独立法人企业，需提供企业法人营业执照；</w:t>
      </w:r>
    </w:p>
    <w:p>
      <w:pPr>
        <w:adjustRightInd w:val="0"/>
        <w:snapToGrid w:val="0"/>
        <w:spacing w:line="360" w:lineRule="auto"/>
        <w:ind w:firstLine="560" w:firstLineChars="200"/>
        <w:rPr>
          <w:rFonts w:ascii="宋体" w:hAnsi="宋体"/>
          <w:sz w:val="28"/>
          <w:szCs w:val="28"/>
          <w:highlight w:val="none"/>
        </w:rPr>
      </w:pPr>
      <w:r>
        <w:rPr>
          <w:rFonts w:hint="eastAsia" w:ascii="宋体" w:hAnsi="宋体" w:cs="宋体"/>
          <w:kern w:val="0"/>
          <w:sz w:val="28"/>
          <w:szCs w:val="28"/>
          <w:highlight w:val="none"/>
        </w:rPr>
        <w:t>2.具有良好的商业信誉和健全的财务会计制度</w:t>
      </w:r>
      <w:r>
        <w:rPr>
          <w:rFonts w:hint="eastAsia" w:ascii="宋体" w:hAnsi="宋体"/>
          <w:sz w:val="28"/>
          <w:szCs w:val="28"/>
          <w:highlight w:val="none"/>
        </w:rPr>
        <w:t>：需提供参加本次投标活动前近六个月内（2019年9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sz w:val="28"/>
          <w:szCs w:val="28"/>
          <w:highlight w:val="none"/>
        </w:rPr>
      </w:pPr>
      <w:r>
        <w:rPr>
          <w:rFonts w:hint="eastAsia" w:ascii="宋体" w:hAnsi="宋体" w:cs="宋体"/>
          <w:kern w:val="0"/>
          <w:sz w:val="28"/>
          <w:szCs w:val="28"/>
          <w:highlight w:val="none"/>
        </w:rPr>
        <w:t>4.有依法缴纳税收和社会保障资金的良好记录</w:t>
      </w:r>
      <w:r>
        <w:rPr>
          <w:rFonts w:hint="eastAsia" w:ascii="宋体" w:hAnsi="宋体"/>
          <w:sz w:val="28"/>
          <w:szCs w:val="28"/>
          <w:highlight w:val="none"/>
        </w:rPr>
        <w:t>：提供参加本次投标活动前近六个月内（2019年9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sz w:val="28"/>
          <w:szCs w:val="28"/>
          <w:highlight w:val="none"/>
        </w:rPr>
      </w:pPr>
      <w:r>
        <w:rPr>
          <w:rFonts w:hint="eastAsia" w:ascii="宋体" w:hAnsi="宋体" w:cs="宋体"/>
          <w:kern w:val="0"/>
          <w:sz w:val="28"/>
          <w:szCs w:val="28"/>
          <w:highlight w:val="none"/>
        </w:rPr>
        <w:t>5.参加政府采购活动前三年内，在经营活动中没有重大违法记录</w:t>
      </w:r>
      <w:r>
        <w:rPr>
          <w:rFonts w:hint="eastAsia" w:ascii="宋体" w:hAnsi="宋体"/>
          <w:sz w:val="28"/>
          <w:szCs w:val="28"/>
          <w:highlight w:val="none"/>
        </w:rPr>
        <w:t>：需提供参加本次投标活动前3年内在经营活动中没有重大违法记录的书面声明；</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6.法律、行政法规规定的其他条件：无。</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（二）采购人根据采购项目的特殊要求规定的特定条件，并提供符合特殊要求的证明材料或情况说明</w:t>
      </w:r>
      <w:r>
        <w:rPr>
          <w:rFonts w:hint="eastAsia" w:ascii="宋体" w:hAnsi="宋体"/>
          <w:b/>
          <w:sz w:val="28"/>
          <w:szCs w:val="28"/>
          <w:highlight w:val="none"/>
        </w:rPr>
        <w:t>（提供加盖投标人公章的承诺书）</w:t>
      </w:r>
      <w:r>
        <w:rPr>
          <w:rFonts w:hint="eastAsia" w:ascii="宋体" w:hAnsi="宋体" w:cs="宋体"/>
          <w:kern w:val="0"/>
          <w:sz w:val="28"/>
          <w:szCs w:val="28"/>
          <w:highlight w:val="none"/>
        </w:rPr>
        <w:t xml:space="preserve">：： </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（1）为招标人不具有独立法人资格的附属机构（单位）；</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（2）与招标人存在利害关系可能影响招标公正性的；</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（3）单位负责人为同一人或者存在控股、管理关系的不同单位；</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（三）</w:t>
      </w:r>
      <w:r>
        <w:rPr>
          <w:rFonts w:hint="eastAsia" w:ascii="宋体" w:hAnsi="宋体" w:cs="宋体"/>
          <w:bCs/>
          <w:kern w:val="0"/>
          <w:sz w:val="28"/>
          <w:szCs w:val="28"/>
          <w:highlight w:val="non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kern w:val="0"/>
          <w:sz w:val="28"/>
          <w:szCs w:val="28"/>
          <w:highlight w:val="none"/>
        </w:rPr>
      </w:pPr>
      <w:r>
        <w:rPr>
          <w:rFonts w:hint="eastAsia" w:ascii="宋体" w:hAnsi="宋体" w:cs="宋体"/>
          <w:sz w:val="28"/>
          <w:szCs w:val="28"/>
          <w:highlight w:val="none"/>
        </w:rPr>
        <w:t>供应商被“信用中国”网站（www.creditchina.gov.cn）、“中国政府采购网"(www.ccgp.gov.cn)列入失信被执行人、重大税收违法案件当事人名单、政府采购严重违法失信行为记录名单。</w:t>
      </w:r>
      <w:r>
        <w:rPr>
          <w:rFonts w:hint="eastAsia" w:ascii="宋体" w:hAnsi="宋体" w:cs="宋体"/>
          <w:b/>
          <w:sz w:val="28"/>
          <w:szCs w:val="28"/>
          <w:highlight w:val="none"/>
        </w:rPr>
        <w:t>（提供投标单位本项目报名截止后在上述两个网站查询截图，并加盖单位公章）</w:t>
      </w:r>
    </w:p>
    <w:p>
      <w:pPr>
        <w:spacing w:line="360" w:lineRule="auto"/>
        <w:ind w:firstLine="548" w:firstLineChars="196"/>
        <w:rPr>
          <w:rFonts w:ascii="宋体" w:cs="宋体"/>
          <w:sz w:val="28"/>
          <w:szCs w:val="28"/>
        </w:rPr>
      </w:pPr>
      <w:r>
        <w:rPr>
          <w:rFonts w:hint="eastAsia" w:ascii="宋体" w:hAnsi="宋体" w:cs="宋体"/>
          <w:sz w:val="28"/>
          <w:szCs w:val="28"/>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Pr>
          <w:rFonts w:hint="eastAsia" w:ascii="宋体" w:hAnsi="宋体" w:cs="宋体"/>
          <w:sz w:val="28"/>
          <w:szCs w:val="28"/>
          <w:highlight w:val="none"/>
          <w:lang w:val="en-US" w:eastAsia="zh-CN"/>
        </w:rPr>
        <w:t>30个工作日</w:t>
      </w:r>
      <w:r>
        <w:rPr>
          <w:rFonts w:hint="eastAsia" w:ascii="宋体" w:hAnsi="宋体" w:cs="宋体"/>
          <w:sz w:val="28"/>
          <w:szCs w:val="28"/>
          <w:highlight w:val="none"/>
        </w:rPr>
        <w:t>内完成设备运输（含上、下力）、安装调试等，所有费用由供方承担，安装调试完毕后需方用户负责试用并签收。</w:t>
      </w:r>
    </w:p>
    <w:p>
      <w:pPr>
        <w:pStyle w:val="43"/>
        <w:adjustRightInd w:val="0"/>
        <w:snapToGrid w:val="0"/>
        <w:spacing w:before="156" w:beforeAutospacing="0" w:after="156" w:afterAutospacing="0" w:line="360" w:lineRule="auto"/>
        <w:ind w:firstLine="560" w:firstLineChars="200"/>
        <w:rPr>
          <w:rFonts w:hint="eastAsia"/>
          <w:color w:val="auto"/>
          <w:sz w:val="28"/>
          <w:szCs w:val="28"/>
          <w:highlight w:val="none"/>
        </w:rPr>
      </w:pPr>
      <w:r>
        <w:rPr>
          <w:rFonts w:hint="eastAsia"/>
          <w:color w:val="auto"/>
          <w:sz w:val="28"/>
          <w:szCs w:val="28"/>
          <w:highlight w:val="none"/>
        </w:rPr>
        <w:t>六、</w:t>
      </w:r>
      <w:r>
        <w:rPr>
          <w:rFonts w:hint="eastAsia" w:cs="Times New Roman"/>
          <w:color w:val="auto"/>
          <w:kern w:val="2"/>
          <w:sz w:val="28"/>
          <w:szCs w:val="28"/>
          <w:highlight w:val="none"/>
        </w:rPr>
        <w:t>本项目预算价为</w:t>
      </w:r>
      <w:r>
        <w:rPr>
          <w:rFonts w:hint="eastAsia" w:cs="Times New Roman"/>
          <w:color w:val="auto"/>
          <w:kern w:val="2"/>
          <w:sz w:val="28"/>
          <w:szCs w:val="28"/>
          <w:highlight w:val="none"/>
          <w:lang w:val="en-US" w:eastAsia="zh-CN"/>
        </w:rPr>
        <w:t>40</w:t>
      </w:r>
      <w:r>
        <w:rPr>
          <w:rFonts w:hint="eastAsia" w:cs="Times New Roman"/>
          <w:color w:val="auto"/>
          <w:kern w:val="2"/>
          <w:sz w:val="28"/>
          <w:szCs w:val="28"/>
          <w:highlight w:val="none"/>
        </w:rPr>
        <w:t>万元，</w:t>
      </w:r>
      <w:r>
        <w:rPr>
          <w:rFonts w:hint="eastAsia"/>
          <w:color w:val="auto"/>
          <w:sz w:val="28"/>
          <w:szCs w:val="28"/>
          <w:highlight w:val="none"/>
        </w:rPr>
        <w:t>本项目只接受人民币报价。</w:t>
      </w:r>
    </w:p>
    <w:p>
      <w:pPr>
        <w:pStyle w:val="43"/>
        <w:adjustRightInd w:val="0"/>
        <w:snapToGrid w:val="0"/>
        <w:spacing w:before="156" w:beforeAutospacing="0" w:after="156" w:afterAutospacing="0" w:line="360" w:lineRule="auto"/>
        <w:ind w:firstLine="560" w:firstLineChars="200"/>
        <w:rPr>
          <w:rFonts w:hint="eastAsia"/>
          <w:color w:val="auto"/>
          <w:sz w:val="28"/>
          <w:szCs w:val="28"/>
          <w:highlight w:val="none"/>
        </w:rPr>
      </w:pPr>
      <w:r>
        <w:rPr>
          <w:rFonts w:hint="eastAsia" w:ascii="宋体" w:hAnsi="宋体" w:cs="宋体"/>
          <w:sz w:val="28"/>
          <w:szCs w:val="28"/>
          <w:highlight w:val="none"/>
        </w:rPr>
        <w:t>七、进口货物的外贸代理公司由投标人（中标人）自行选择，代理费由投标人与所选外贸公司协商确定并含在报价中。我校协助办理入关、免税等相关证明材料手续。</w:t>
      </w:r>
    </w:p>
    <w:p>
      <w:pPr>
        <w:spacing w:beforeLines="100" w:afterLines="100" w:line="360" w:lineRule="auto"/>
        <w:ind w:firstLine="548" w:firstLineChars="196"/>
        <w:jc w:val="center"/>
        <w:outlineLvl w:val="0"/>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投标人根据我校招标公告向我校财务处招标科提出报名后，从我处取得正式招标文件（纸质或电子版），并按招标文件的要求认真编制投标文件。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用档案袋密封，档案袋封面标明“正本”或“副本”字样，并注明招标编号、投标项目名称、投标人名称及投标人代表姓名、手机号码（务必留手机号码，不得留座机号码，以便我处收到标书后及时发短信告知）。</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的参数必须满足，否则视为无效标书；所有软件、设备原厂质保三年，中标后在签订合同前必须提供原厂质保书，否则视为无效标书。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Lines="100"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lang w:val="en-US" w:eastAsia="zh-CN"/>
        </w:rPr>
        <w:t>4</w:t>
      </w:r>
      <w:r>
        <w:rPr>
          <w:rFonts w:ascii="宋体" w:hAnsi="宋体" w:cs="宋体"/>
          <w:sz w:val="28"/>
          <w:szCs w:val="28"/>
          <w:highlight w:val="none"/>
        </w:rPr>
        <w:t>.</w:t>
      </w:r>
      <w:r>
        <w:rPr>
          <w:rFonts w:hint="eastAsia" w:ascii="宋体" w:hAnsi="宋体" w:cs="宋体"/>
          <w:sz w:val="28"/>
          <w:szCs w:val="28"/>
          <w:highlight w:val="none"/>
        </w:rPr>
        <w:t>财务处工作人员在投标人的见证下唱标。投标人或投标人代表在唱标结果上签名确认。如投标人均未参加唱标，则由财务处工作人员和评标专家组组长、采购人代表共同签名确认。重要项目另请纪委办代表签字。</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lang w:val="en-US" w:eastAsia="zh-CN"/>
        </w:rPr>
        <w:t>5</w:t>
      </w:r>
      <w:r>
        <w:rPr>
          <w:rFonts w:ascii="宋体" w:hAnsi="宋体" w:cs="宋体"/>
          <w:sz w:val="28"/>
          <w:szCs w:val="28"/>
          <w:highlight w:val="none"/>
        </w:rPr>
        <w:t>.</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w:t>
      </w:r>
      <w:r>
        <w:rPr>
          <w:rFonts w:ascii="宋体" w:hAnsi="宋体" w:cs="宋体"/>
          <w:sz w:val="28"/>
          <w:szCs w:val="28"/>
          <w:highlight w:val="none"/>
        </w:rPr>
        <w:t xml:space="preserve">  </w:t>
      </w:r>
      <w:r>
        <w:rPr>
          <w:rFonts w:hint="eastAsia" w:ascii="宋体" w:hAnsi="宋体" w:cs="宋体"/>
          <w:sz w:val="28"/>
          <w:szCs w:val="28"/>
          <w:highlight w:val="none"/>
        </w:rPr>
        <w:t>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lang w:val="en-US" w:eastAsia="zh-CN"/>
        </w:rPr>
        <w:t>6</w:t>
      </w:r>
      <w:r>
        <w:rPr>
          <w:rFonts w:ascii="宋体" w:hAnsi="宋体" w:cs="宋体"/>
          <w:sz w:val="28"/>
          <w:szCs w:val="28"/>
          <w:highlight w:val="none"/>
        </w:rPr>
        <w:t>.</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lang w:val="en-US" w:eastAsia="zh-CN"/>
        </w:rPr>
        <w:t>7</w:t>
      </w:r>
      <w:r>
        <w:rPr>
          <w:rFonts w:ascii="宋体" w:hAnsi="宋体" w:cs="宋体"/>
          <w:sz w:val="28"/>
          <w:szCs w:val="28"/>
          <w:highlight w:val="none"/>
        </w:rPr>
        <w:t>.</w:t>
      </w:r>
      <w:r>
        <w:rPr>
          <w:rFonts w:hint="eastAsia" w:ascii="宋体" w:hAnsi="宋体" w:cs="宋体"/>
          <w:sz w:val="28"/>
          <w:szCs w:val="28"/>
          <w:highlight w:val="none"/>
        </w:rPr>
        <w:t>财务处根据评标专家组综合排序，在学校网站和财务处招标科网站对拟中标单位进行公示。公示结束，无异议，确定中标单位。</w:t>
      </w:r>
    </w:p>
    <w:p>
      <w:pPr>
        <w:spacing w:beforeLines="100" w:afterLines="100" w:line="360" w:lineRule="auto"/>
        <w:ind w:firstLine="548" w:firstLineChars="196"/>
        <w:jc w:val="center"/>
        <w:outlineLvl w:val="0"/>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“ZHL20200</w:t>
      </w:r>
      <w:r>
        <w:rPr>
          <w:rFonts w:hint="eastAsia" w:ascii="宋体" w:hAnsi="宋体" w:cs="宋体"/>
          <w:b/>
          <w:sz w:val="28"/>
          <w:szCs w:val="28"/>
          <w:highlight w:val="none"/>
          <w:lang w:val="en-US" w:eastAsia="zh-CN"/>
        </w:rPr>
        <w:t>1</w:t>
      </w:r>
      <w:r>
        <w:rPr>
          <w:rFonts w:hint="eastAsia" w:ascii="宋体" w:hAnsi="宋体" w:cs="宋体"/>
          <w:b/>
          <w:sz w:val="28"/>
          <w:szCs w:val="28"/>
          <w:highlight w:val="none"/>
        </w:rPr>
        <w:t>7资料费”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Lines="10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本着“质量第一、价格合理、服务优异、保障有力”的原则，由采购人、项目归口管理部门和财务处从报价得分、技术得分、服务、业绩、信誉得分五个方面提出评标办法（见附件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Lines="100" w:afterLines="100" w:line="360" w:lineRule="auto"/>
        <w:ind w:firstLine="548" w:firstLineChars="196"/>
        <w:jc w:val="center"/>
        <w:outlineLvl w:val="0"/>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个工作日内，中标单位须前来我处领取的《中标通知书》（一式二份）。</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 xml:space="preserve"> 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 xml:space="preserve"> 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内供应货物，中标单位所供设备（或软件、服务）进场安装调试或服务工作完毕，经验收、检测合格后，提供全额税务发票，凭最终签字和盖章的验收合格报告，支付至合同价的95%，余5%作质保金，质保期满后并经有关单位确认无质量问题后，一次性支付完毕。具体内容以最终签署的合同约定为准。</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）我处不接收现金或支付宝等方式交费。各投标人务必通过单位银行基本账户提前将资料费汇至我校以下账号：户名：南京信息工程大学；账号：</w:t>
      </w:r>
      <w:r>
        <w:rPr>
          <w:rFonts w:ascii="宋体" w:hAnsi="宋体" w:cs="宋体"/>
          <w:sz w:val="28"/>
          <w:szCs w:val="28"/>
          <w:highlight w:val="none"/>
        </w:rPr>
        <w:t>10115401040000228</w:t>
      </w:r>
      <w:r>
        <w:rPr>
          <w:rFonts w:hint="eastAsia" w:ascii="宋体" w:hAnsi="宋体" w:cs="宋体"/>
          <w:sz w:val="28"/>
          <w:szCs w:val="28"/>
          <w:highlight w:val="none"/>
        </w:rPr>
        <w:t>；开户银行：中国农业银行南京盘城支行。请各投标人务必在转账留言栏备注填写</w:t>
      </w:r>
      <w:r>
        <w:rPr>
          <w:rFonts w:hint="eastAsia" w:ascii="宋体" w:hAnsi="宋体" w:cs="宋体"/>
          <w:b/>
          <w:sz w:val="28"/>
          <w:szCs w:val="28"/>
          <w:highlight w:val="none"/>
        </w:rPr>
        <w:t>“ZHL20200</w:t>
      </w:r>
      <w:r>
        <w:rPr>
          <w:rFonts w:hint="eastAsia" w:ascii="宋体" w:hAnsi="宋体" w:cs="宋体"/>
          <w:b/>
          <w:sz w:val="28"/>
          <w:szCs w:val="28"/>
          <w:highlight w:val="none"/>
          <w:lang w:val="en-US" w:eastAsia="zh-CN"/>
        </w:rPr>
        <w:t>1</w:t>
      </w:r>
      <w:r>
        <w:rPr>
          <w:rFonts w:hint="eastAsia" w:ascii="宋体" w:hAnsi="宋体" w:cs="宋体"/>
          <w:b/>
          <w:sz w:val="28"/>
          <w:szCs w:val="28"/>
          <w:highlight w:val="none"/>
        </w:rPr>
        <w:t>7资料费”</w:t>
      </w:r>
      <w:r>
        <w:rPr>
          <w:rFonts w:hint="eastAsia" w:ascii="宋体" w:hAnsi="宋体" w:cs="宋体"/>
          <w:sz w:val="28"/>
          <w:szCs w:val="28"/>
          <w:highlight w:val="none"/>
        </w:rPr>
        <w:t>字样，并尽量将投标单位的纳税识别号一并备注在转账留言栏中</w:t>
      </w:r>
      <w:r>
        <w:rPr>
          <w:rFonts w:hint="eastAsia" w:ascii="宋体" w:hAnsi="宋体" w:cs="宋体"/>
          <w:sz w:val="28"/>
          <w:szCs w:val="28"/>
          <w:highlight w:val="none"/>
          <w:lang w:eastAsia="zh-CN"/>
        </w:rPr>
        <w:t>，</w:t>
      </w:r>
      <w:r>
        <w:rPr>
          <w:rFonts w:hint="eastAsia" w:ascii="宋体" w:hAnsi="宋体" w:cs="宋体"/>
          <w:sz w:val="28"/>
          <w:szCs w:val="28"/>
          <w:highlight w:val="none"/>
        </w:rPr>
        <w:t>以便</w:t>
      </w:r>
      <w:r>
        <w:rPr>
          <w:rFonts w:hint="eastAsia" w:ascii="宋体" w:hAnsi="宋体" w:cs="宋体"/>
          <w:sz w:val="28"/>
          <w:szCs w:val="28"/>
          <w:highlight w:val="none"/>
          <w:lang w:val="en-US" w:eastAsia="zh-CN"/>
        </w:rPr>
        <w:t>开</w:t>
      </w:r>
      <w:r>
        <w:rPr>
          <w:rFonts w:hint="eastAsia" w:ascii="宋体" w:hAnsi="宋体" w:cs="宋体"/>
          <w:sz w:val="28"/>
          <w:szCs w:val="28"/>
          <w:highlight w:val="none"/>
        </w:rPr>
        <w:t>票和对账</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请各单位在报名时将</w:t>
      </w:r>
      <w:r>
        <w:rPr>
          <w:rFonts w:hint="eastAsia" w:ascii="宋体" w:hAnsi="宋体" w:cs="宋体"/>
          <w:sz w:val="28"/>
          <w:szCs w:val="28"/>
          <w:highlight w:val="none"/>
        </w:rPr>
        <w:t>转账回单复印件务必放入《投标文件》中（无此证明，一律作为无效标处理）。</w:t>
      </w:r>
    </w:p>
    <w:p>
      <w:pPr>
        <w:spacing w:line="360" w:lineRule="auto"/>
        <w:ind w:firstLine="548" w:firstLineChars="196"/>
        <w:rPr>
          <w:rFonts w:hint="eastAsia" w:ascii="宋体" w:hAnsi="宋体" w:cs="宋体"/>
          <w:b/>
          <w:bCs/>
          <w:sz w:val="28"/>
          <w:szCs w:val="28"/>
          <w:highlight w:val="none"/>
          <w:lang w:val="en-US" w:eastAsia="zh-CN"/>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lang w:val="en-US" w:eastAsia="zh-CN"/>
        </w:rPr>
        <w:t>我校提供电子普通发票，招标科定期到财务处财务科对账（时间约半个月）。请投标单位在邮件报名时提供单位纳税人识别号，并确保联系人手机号及邮箱状态正常，以便接收电子发票信息。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履约保证金（或投标保证金）：</w:t>
      </w:r>
      <w:r>
        <w:rPr>
          <w:rFonts w:ascii="宋体" w:hAnsi="宋体" w:cs="宋体"/>
          <w:sz w:val="28"/>
          <w:szCs w:val="28"/>
          <w:highlight w:val="none"/>
          <w:u w:val="single"/>
        </w:rPr>
        <w:t>5000</w:t>
      </w:r>
      <w:r>
        <w:rPr>
          <w:rFonts w:hint="eastAsia" w:ascii="宋体" w:hAnsi="宋体" w:cs="宋体"/>
          <w:sz w:val="28"/>
          <w:szCs w:val="28"/>
          <w:highlight w:val="none"/>
          <w:u w:val="single"/>
        </w:rPr>
        <w:t>元</w:t>
      </w:r>
      <w:r>
        <w:rPr>
          <w:rFonts w:hint="eastAsia" w:ascii="宋体" w:hAnsi="宋体" w:cs="宋体"/>
          <w:sz w:val="28"/>
          <w:szCs w:val="28"/>
          <w:highlight w:val="none"/>
        </w:rPr>
        <w:t>整。</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招标科领取中标通知书后再与采购单位签订供货和服务合同。</w:t>
      </w:r>
      <w:r>
        <w:rPr>
          <w:rFonts w:ascii="宋体" w:hAnsi="宋体" w:cs="宋体"/>
          <w:sz w:val="28"/>
          <w:szCs w:val="28"/>
          <w:highlight w:val="none"/>
        </w:rPr>
        <w:t>5000</w:t>
      </w:r>
      <w:r>
        <w:rPr>
          <w:rFonts w:hint="eastAsia" w:ascii="宋体" w:hAnsi="宋体" w:cs="宋体"/>
          <w:sz w:val="28"/>
          <w:szCs w:val="28"/>
          <w:highlight w:val="none"/>
        </w:rPr>
        <w:t>元履约保证金交款账号同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）履约保证金交退咨询：财务处财务科（体育馆北面，南气宾馆东侧的大学生创业中心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号楼二楼财务大厅）。</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）如中标单位有下列情况之一，不予退还履约保证金，我处将其列入招投标诚信“黑名单”，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年内不得到我处从事任何投标活动。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hint="eastAsia" w:ascii="宋体" w:eastAsia="宋体" w:cs="宋体"/>
          <w:sz w:val="28"/>
          <w:szCs w:val="28"/>
          <w:highlight w:val="none"/>
          <w:lang w:eastAsia="zh-CN"/>
        </w:rPr>
      </w:pPr>
      <w:r>
        <w:rPr>
          <w:rFonts w:ascii="宋体" w:hAnsi="宋体" w:cs="宋体"/>
          <w:sz w:val="28"/>
          <w:szCs w:val="28"/>
          <w:highlight w:val="none"/>
        </w:rPr>
        <w:t>7.</w:t>
      </w:r>
      <w:r>
        <w:rPr>
          <w:rFonts w:hint="eastAsia" w:ascii="宋体" w:hAnsi="宋体" w:cs="宋体"/>
          <w:sz w:val="28"/>
          <w:szCs w:val="28"/>
          <w:highlight w:val="none"/>
        </w:rPr>
        <w:t>质保：参照附件4服务要求</w:t>
      </w:r>
      <w:r>
        <w:rPr>
          <w:rFonts w:hint="eastAsia" w:ascii="宋体" w:hAnsi="宋体" w:cs="宋体"/>
          <w:sz w:val="28"/>
          <w:szCs w:val="28"/>
          <w:highlight w:val="none"/>
          <w:lang w:eastAsia="zh-CN"/>
        </w:rPr>
        <w:t>。</w:t>
      </w:r>
    </w:p>
    <w:p>
      <w:pPr>
        <w:spacing w:beforeLines="100" w:afterLines="100" w:line="360" w:lineRule="auto"/>
        <w:jc w:val="center"/>
        <w:outlineLvl w:val="0"/>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答疑时间</w:t>
      </w:r>
    </w:p>
    <w:p>
      <w:pPr>
        <w:spacing w:line="360" w:lineRule="auto"/>
        <w:rPr>
          <w:rFonts w:ascii="宋体"/>
          <w:sz w:val="28"/>
          <w:szCs w:val="28"/>
          <w:highlight w:val="none"/>
        </w:rPr>
      </w:pPr>
      <w:r>
        <w:rPr>
          <w:rFonts w:ascii="宋体" w:hAnsi="宋体"/>
          <w:sz w:val="28"/>
          <w:szCs w:val="28"/>
          <w:highlight w:val="none"/>
        </w:rPr>
        <w:t xml:space="preserve">   </w:t>
      </w: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sz w:val="28"/>
          <w:szCs w:val="28"/>
          <w:highlight w:val="none"/>
          <w:u w:val="single"/>
        </w:rPr>
        <w:t>20</w:t>
      </w:r>
      <w:r>
        <w:rPr>
          <w:rFonts w:hint="eastAsia" w:ascii="宋体" w:hAnsi="宋体"/>
          <w:sz w:val="28"/>
          <w:szCs w:val="28"/>
          <w:highlight w:val="none"/>
          <w:u w:val="single"/>
        </w:rPr>
        <w:t>20年</w:t>
      </w:r>
      <w:r>
        <w:rPr>
          <w:rFonts w:hint="eastAsia" w:ascii="宋体" w:hAnsi="宋体"/>
          <w:sz w:val="28"/>
          <w:szCs w:val="28"/>
          <w:highlight w:val="none"/>
          <w:u w:val="single"/>
          <w:lang w:val="en-US" w:eastAsia="zh-CN"/>
        </w:rPr>
        <w:t>5</w:t>
      </w:r>
      <w:r>
        <w:rPr>
          <w:rFonts w:hint="eastAsia" w:ascii="宋体" w:hAnsi="宋体"/>
          <w:sz w:val="28"/>
          <w:szCs w:val="28"/>
          <w:highlight w:val="none"/>
          <w:u w:val="single"/>
        </w:rPr>
        <w:t>月</w:t>
      </w:r>
      <w:r>
        <w:rPr>
          <w:rFonts w:hint="eastAsia" w:ascii="宋体" w:hAnsi="宋体"/>
          <w:sz w:val="28"/>
          <w:szCs w:val="28"/>
          <w:highlight w:val="none"/>
          <w:u w:val="single"/>
          <w:lang w:val="en-US" w:eastAsia="zh-CN"/>
        </w:rPr>
        <w:t>2</w:t>
      </w:r>
      <w:r>
        <w:rPr>
          <w:rFonts w:hint="eastAsia" w:ascii="宋体" w:hAnsi="宋体"/>
          <w:sz w:val="28"/>
          <w:szCs w:val="28"/>
          <w:highlight w:val="none"/>
          <w:u w:val="single"/>
        </w:rPr>
        <w:t>8日</w:t>
      </w:r>
      <w:r>
        <w:rPr>
          <w:rFonts w:ascii="宋体" w:hAnsi="宋体"/>
          <w:sz w:val="28"/>
          <w:szCs w:val="28"/>
          <w:highlight w:val="none"/>
          <w:u w:val="single"/>
        </w:rPr>
        <w:t>11</w:t>
      </w:r>
      <w:r>
        <w:rPr>
          <w:rFonts w:hint="eastAsia" w:ascii="宋体" w:hAnsi="宋体"/>
          <w:sz w:val="28"/>
          <w:szCs w:val="28"/>
          <w:highlight w:val="none"/>
          <w:u w:val="single"/>
        </w:rPr>
        <w:t>：</w:t>
      </w:r>
      <w:r>
        <w:rPr>
          <w:rFonts w:ascii="宋体" w:hAnsi="宋体"/>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（因财务处招标科人手少，为减少所提问题的文字二次输入工作量，质疑函请勿以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r>
        <w:rPr>
          <w:rFonts w:hint="eastAsia" w:ascii="宋体"/>
          <w:sz w:val="28"/>
          <w:szCs w:val="28"/>
          <w:highlight w:val="none"/>
        </w:rPr>
        <w:t>。</w:t>
      </w:r>
    </w:p>
    <w:p>
      <w:pPr>
        <w:spacing w:line="360" w:lineRule="auto"/>
        <w:rPr>
          <w:rFonts w:ascii="宋体"/>
          <w:sz w:val="28"/>
          <w:szCs w:val="28"/>
          <w:highlight w:val="none"/>
        </w:rPr>
      </w:pPr>
      <w:r>
        <w:rPr>
          <w:rFonts w:ascii="宋体" w:hAnsi="宋体"/>
          <w:sz w:val="28"/>
          <w:szCs w:val="28"/>
          <w:highlight w:val="none"/>
        </w:rPr>
        <w:t xml:space="preserve">   </w:t>
      </w: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）我校项目归口管理部门将通过财务处招标科向各投标人统一进行书面（或电子版）答疑回复。</w:t>
      </w:r>
    </w:p>
    <w:p>
      <w:pPr>
        <w:spacing w:line="360" w:lineRule="auto"/>
        <w:ind w:firstLine="549"/>
        <w:rPr>
          <w:rFonts w:hint="eastAsia" w:ascii="宋体" w:hAnsi="宋体"/>
          <w:sz w:val="28"/>
          <w:szCs w:val="28"/>
          <w:highlight w:val="none"/>
        </w:rPr>
      </w:pPr>
      <w:r>
        <w:rPr>
          <w:rFonts w:ascii="宋体" w:hAnsi="宋体"/>
          <w:sz w:val="28"/>
          <w:szCs w:val="28"/>
          <w:highlight w:val="none"/>
        </w:rPr>
        <w:t>4.</w:t>
      </w:r>
      <w:r>
        <w:rPr>
          <w:rFonts w:hint="eastAsia" w:ascii="宋体" w:hAnsi="宋体"/>
          <w:sz w:val="28"/>
          <w:szCs w:val="28"/>
          <w:highlight w:val="none"/>
        </w:rPr>
        <w:t>投标文件送达</w:t>
      </w:r>
    </w:p>
    <w:p>
      <w:pPr>
        <w:spacing w:line="360" w:lineRule="auto"/>
        <w:ind w:firstLine="280" w:firstLineChars="1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，邮寄材料务必于投标截止时间前送达我处，请各投标单位自行安排邮寄时间，投标截止时间后，招标人不受理任何投标文件。（友情提醒：疫情期间快递耗时可能比平时长，请各投标单位予以充分考虑）。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（若后期有调整，将会将调整信息发送到各投标单位报名邮箱，请各投标单位在投标前密切关注报名邮箱）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（2）投标截止时间：2020年</w:t>
      </w:r>
      <w:r>
        <w:rPr>
          <w:rFonts w:hint="eastAsia" w:ascii="宋体" w:hAnsi="宋体"/>
          <w:sz w:val="28"/>
          <w:szCs w:val="28"/>
          <w:highlight w:val="none"/>
          <w:lang w:val="en-US" w:eastAsia="zh-CN"/>
        </w:rPr>
        <w:t>6</w:t>
      </w:r>
      <w:r>
        <w:rPr>
          <w:rFonts w:hint="eastAsia" w:ascii="宋体" w:hAnsi="宋体"/>
          <w:sz w:val="28"/>
          <w:szCs w:val="28"/>
          <w:highlight w:val="none"/>
        </w:rPr>
        <w:t>月</w:t>
      </w:r>
      <w:r>
        <w:rPr>
          <w:rFonts w:hint="eastAsia" w:ascii="宋体" w:hAnsi="宋体"/>
          <w:sz w:val="28"/>
          <w:szCs w:val="28"/>
          <w:highlight w:val="none"/>
          <w:lang w:val="en-US" w:eastAsia="zh-CN"/>
        </w:rPr>
        <w:t>11</w:t>
      </w:r>
      <w:r>
        <w:rPr>
          <w:rFonts w:hint="eastAsia" w:ascii="宋体" w:hAnsi="宋体"/>
          <w:sz w:val="28"/>
          <w:szCs w:val="28"/>
          <w:highlight w:val="none"/>
        </w:rPr>
        <w:t>日09：00。</w:t>
      </w:r>
      <w:bookmarkStart w:id="7" w:name="_Hlk32349437"/>
    </w:p>
    <w:bookmarkEnd w:id="7"/>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财务处招标科。联系人：马老师、罗老师、方老师；联系电话：025-58731441。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（1）开标、唱标：2020年</w:t>
      </w:r>
      <w:r>
        <w:rPr>
          <w:rFonts w:hint="eastAsia" w:ascii="宋体" w:hAnsi="宋体"/>
          <w:sz w:val="28"/>
          <w:szCs w:val="28"/>
          <w:highlight w:val="none"/>
          <w:lang w:val="en-US" w:eastAsia="zh-CN"/>
        </w:rPr>
        <w:t>6</w:t>
      </w:r>
      <w:r>
        <w:rPr>
          <w:rFonts w:hint="eastAsia" w:ascii="宋体" w:hAnsi="宋体"/>
          <w:sz w:val="28"/>
          <w:szCs w:val="28"/>
          <w:highlight w:val="none"/>
        </w:rPr>
        <w:t>月</w:t>
      </w:r>
      <w:r>
        <w:rPr>
          <w:rFonts w:hint="eastAsia" w:ascii="宋体" w:hAnsi="宋体"/>
          <w:sz w:val="28"/>
          <w:szCs w:val="28"/>
          <w:highlight w:val="none"/>
          <w:lang w:val="en-US" w:eastAsia="zh-CN"/>
        </w:rPr>
        <w:t>11</w:t>
      </w:r>
      <w:r>
        <w:rPr>
          <w:rFonts w:hint="eastAsia" w:ascii="宋体" w:hAnsi="宋体"/>
          <w:sz w:val="28"/>
          <w:szCs w:val="28"/>
          <w:highlight w:val="none"/>
        </w:rPr>
        <w:t>日09：00；(不安排公开开标、唱标，由财务处招标科工作人员在我校纪委办监督见证下进行，开标、唱标工作全程视频监控并录像)。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 xml:space="preserve"> </w:t>
      </w:r>
      <w:r>
        <w:rPr>
          <w:rFonts w:hint="eastAsia" w:ascii="宋体" w:hAnsi="宋体"/>
          <w:sz w:val="28"/>
          <w:szCs w:val="28"/>
          <w:highlight w:val="none"/>
        </w:rPr>
        <w:t>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）财务处招标科（招投标管理业务单位）：联系电话：</w:t>
      </w:r>
      <w:r>
        <w:rPr>
          <w:rFonts w:ascii="宋体" w:hAnsi="宋体"/>
          <w:sz w:val="28"/>
          <w:szCs w:val="28"/>
          <w:highlight w:val="none"/>
        </w:rPr>
        <w:t>025-58731441</w:t>
      </w:r>
      <w:r>
        <w:rPr>
          <w:rFonts w:hint="eastAsia" w:ascii="宋体" w:hAnsi="宋体"/>
          <w:sz w:val="28"/>
          <w:szCs w:val="28"/>
          <w:highlight w:val="none"/>
        </w:rPr>
        <w:t>，联系人：马老师、罗老师、方老师；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（2）用户单位联系电话：</w:t>
      </w:r>
      <w:r>
        <w:rPr>
          <w:rFonts w:hint="eastAsia" w:ascii="宋体" w:hAnsi="宋体"/>
          <w:sz w:val="28"/>
          <w:szCs w:val="28"/>
          <w:highlight w:val="none"/>
          <w:lang w:val="en-US" w:eastAsia="zh-CN"/>
        </w:rPr>
        <w:t>19850062886</w:t>
      </w:r>
      <w:r>
        <w:rPr>
          <w:rFonts w:hint="eastAsia" w:ascii="宋体" w:hAnsi="宋体"/>
          <w:sz w:val="28"/>
          <w:szCs w:val="28"/>
          <w:highlight w:val="none"/>
        </w:rPr>
        <w:t>，联系人：</w:t>
      </w:r>
      <w:r>
        <w:rPr>
          <w:rFonts w:hint="eastAsia" w:ascii="宋体" w:hAnsi="宋体"/>
          <w:sz w:val="28"/>
          <w:szCs w:val="28"/>
          <w:highlight w:val="none"/>
          <w:lang w:val="en-US" w:eastAsia="zh-CN"/>
        </w:rPr>
        <w:t>冯</w:t>
      </w:r>
      <w:r>
        <w:rPr>
          <w:rFonts w:hint="eastAsia" w:ascii="宋体" w:hAnsi="宋体"/>
          <w:sz w:val="28"/>
          <w:szCs w:val="28"/>
          <w:highlight w:val="none"/>
        </w:rPr>
        <w:t>老师。</w:t>
      </w:r>
    </w:p>
    <w:p>
      <w:pPr>
        <w:pStyle w:val="8"/>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r>
        <w:rPr>
          <w:rFonts w:hint="eastAsia" w:ascii="宋体" w:hAnsi="宋体"/>
          <w:b/>
          <w:sz w:val="28"/>
          <w:szCs w:val="28"/>
          <w:highlight w:val="none"/>
        </w:rPr>
        <w:t>南京信息工程大学财务处</w:t>
      </w:r>
    </w:p>
    <w:p>
      <w:pPr>
        <w:pStyle w:val="12"/>
        <w:spacing w:line="360" w:lineRule="auto"/>
        <w:ind w:left="99" w:leftChars="47" w:firstLine="4919" w:firstLineChars="1750"/>
        <w:rPr>
          <w:rStyle w:val="42"/>
          <w:rFonts w:ascii="宋体" w:hAnsi="Times New Roman" w:eastAsia="宋体"/>
          <w:sz w:val="28"/>
          <w:szCs w:val="28"/>
          <w:highlight w:val="none"/>
        </w:rPr>
      </w:pPr>
      <w:r>
        <w:rPr>
          <w:rStyle w:val="42"/>
          <w:rFonts w:ascii="宋体" w:hAnsi="宋体" w:eastAsia="宋体"/>
          <w:sz w:val="28"/>
          <w:szCs w:val="28"/>
          <w:highlight w:val="none"/>
        </w:rPr>
        <w:t>20</w:t>
      </w:r>
      <w:r>
        <w:rPr>
          <w:rStyle w:val="42"/>
          <w:rFonts w:hint="eastAsia" w:ascii="宋体" w:hAnsi="宋体" w:eastAsia="宋体"/>
          <w:sz w:val="28"/>
          <w:szCs w:val="28"/>
          <w:highlight w:val="none"/>
        </w:rPr>
        <w:t>20年0</w:t>
      </w:r>
      <w:r>
        <w:rPr>
          <w:rStyle w:val="42"/>
          <w:rFonts w:hint="eastAsia" w:ascii="宋体" w:hAnsi="宋体"/>
          <w:sz w:val="28"/>
          <w:szCs w:val="28"/>
          <w:highlight w:val="none"/>
          <w:lang w:val="en-US"/>
        </w:rPr>
        <w:t>5</w:t>
      </w:r>
      <w:r>
        <w:rPr>
          <w:rStyle w:val="42"/>
          <w:rFonts w:hint="eastAsia" w:ascii="宋体" w:hAnsi="宋体" w:eastAsia="宋体"/>
          <w:sz w:val="28"/>
          <w:szCs w:val="28"/>
          <w:highlight w:val="none"/>
        </w:rPr>
        <w:t>月</w:t>
      </w:r>
      <w:r>
        <w:rPr>
          <w:rStyle w:val="42"/>
          <w:rFonts w:hint="eastAsia" w:ascii="宋体" w:hAnsi="宋体"/>
          <w:sz w:val="28"/>
          <w:szCs w:val="28"/>
          <w:highlight w:val="none"/>
          <w:lang w:val="en-US"/>
        </w:rPr>
        <w:t>22</w:t>
      </w:r>
      <w:r>
        <w:rPr>
          <w:rStyle w:val="42"/>
          <w:rFonts w:hint="eastAsia" w:ascii="宋体" w:hAnsi="宋体" w:eastAsia="宋体"/>
          <w:sz w:val="28"/>
          <w:szCs w:val="28"/>
          <w:highlight w:val="none"/>
        </w:rPr>
        <w:t>日</w:t>
      </w:r>
    </w:p>
    <w:p>
      <w:pPr>
        <w:adjustRightInd w:val="0"/>
        <w:snapToGrid w:val="0"/>
        <w:spacing w:line="360" w:lineRule="auto"/>
        <w:rPr>
          <w:rFonts w:ascii="宋体" w:hAnsi="宋体"/>
          <w:sz w:val="28"/>
          <w:szCs w:val="28"/>
          <w:highlight w:val="none"/>
        </w:rPr>
      </w:pPr>
    </w:p>
    <w:bookmarkEnd w:id="6"/>
    <w:p>
      <w:pPr>
        <w:pStyle w:val="12"/>
        <w:spacing w:line="360" w:lineRule="auto"/>
        <w:ind w:left="99" w:leftChars="47" w:firstLine="4919" w:firstLineChars="1750"/>
        <w:rPr>
          <w:rFonts w:hAnsi="宋体"/>
          <w:b/>
          <w:sz w:val="28"/>
          <w:szCs w:val="28"/>
          <w:highlight w:val="none"/>
        </w:rPr>
      </w:pPr>
      <w:bookmarkStart w:id="8" w:name="_Toc462564147"/>
      <w:r>
        <w:rPr>
          <w:rFonts w:hAnsi="宋体"/>
          <w:b/>
          <w:sz w:val="28"/>
          <w:szCs w:val="28"/>
          <w:highlight w:val="none"/>
        </w:rPr>
        <w:br w:type="page"/>
      </w:r>
    </w:p>
    <w:p>
      <w:pPr>
        <w:adjustRightInd w:val="0"/>
        <w:snapToGrid w:val="0"/>
        <w:spacing w:line="360" w:lineRule="auto"/>
        <w:jc w:val="both"/>
        <w:rPr>
          <w:rFonts w:ascii="宋体" w:hAnsi="宋体" w:cs="仿宋"/>
          <w:b/>
          <w:bCs/>
          <w:sz w:val="28"/>
          <w:szCs w:val="28"/>
          <w:highlight w:val="none"/>
        </w:rPr>
      </w:pPr>
      <w:r>
        <w:rPr>
          <w:rFonts w:hint="eastAsia" w:ascii="宋体" w:hAnsi="宋体" w:cs="仿宋"/>
          <w:b/>
          <w:bCs/>
          <w:sz w:val="28"/>
          <w:szCs w:val="28"/>
          <w:highlight w:val="none"/>
        </w:rPr>
        <w:t>附件1：</w:t>
      </w:r>
      <w:r>
        <w:rPr>
          <w:rFonts w:hint="eastAsia" w:ascii="黑体" w:hAnsi="黑体" w:eastAsia="黑体"/>
          <w:sz w:val="28"/>
          <w:szCs w:val="28"/>
          <w:highlight w:val="none"/>
        </w:rPr>
        <w:t xml:space="preserve"> </w:t>
      </w:r>
      <w:r>
        <w:rPr>
          <w:rFonts w:hint="eastAsia" w:ascii="宋体" w:hAnsi="宋体" w:cs="仿宋"/>
          <w:b/>
          <w:bCs/>
          <w:sz w:val="28"/>
          <w:szCs w:val="28"/>
          <w:highlight w:val="none"/>
        </w:rPr>
        <w:t>项目需求</w:t>
      </w:r>
    </w:p>
    <w:p>
      <w:pPr>
        <w:adjustRightInd w:val="0"/>
        <w:snapToGrid w:val="0"/>
        <w:spacing w:line="360" w:lineRule="auto"/>
        <w:ind w:firstLine="560" w:firstLineChars="200"/>
        <w:rPr>
          <w:rFonts w:hint="eastAsia" w:ascii="黑体" w:hAnsi="黑体" w:eastAsia="黑体"/>
          <w:sz w:val="28"/>
          <w:szCs w:val="28"/>
          <w:highlight w:val="none"/>
        </w:rPr>
      </w:pPr>
      <w:r>
        <w:rPr>
          <w:rFonts w:hint="eastAsia" w:ascii="黑体" w:hAnsi="黑体" w:eastAsia="黑体"/>
          <w:sz w:val="28"/>
          <w:szCs w:val="28"/>
          <w:highlight w:val="none"/>
        </w:rPr>
        <w:t>一、背景、现状</w:t>
      </w:r>
    </w:p>
    <w:p>
      <w:pPr>
        <w:adjustRightInd w:val="0"/>
        <w:snapToGrid w:val="0"/>
        <w:spacing w:line="360" w:lineRule="auto"/>
        <w:ind w:firstLine="482" w:firstLineChars="200"/>
        <w:rPr>
          <w:rFonts w:ascii="宋体" w:hAnsi="宋体" w:eastAsia="宋体"/>
          <w:b/>
          <w:bCs/>
          <w:sz w:val="24"/>
          <w:szCs w:val="24"/>
          <w:highlight w:val="none"/>
        </w:rPr>
      </w:pPr>
      <w:r>
        <w:rPr>
          <w:rFonts w:hint="eastAsia" w:ascii="宋体" w:hAnsi="宋体" w:eastAsia="宋体"/>
          <w:b/>
          <w:bCs/>
          <w:sz w:val="24"/>
          <w:szCs w:val="24"/>
          <w:highlight w:val="none"/>
        </w:rPr>
        <w:t>（一）背景</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国内高校信息化建设已经历了近二十年的时间，大部分学校的学工处、人事处、教务处、财务处等核心部门都建设了与其管理要求匹配的业务系统，已经完成了以“人、事、物”为管理核心的各种业务系统建设。这些业务管理系统在学校的日常运营和校务管理中发挥了重要作用，在提高了学校事务处理的规范性与效率的同时，积累了大量的业务过程数据和结果数据。</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随着现代高校教育行业的发展和大量互联网服务类应用的普及，信息化校园建设的内涵从最初的管理信息化逐步向服务信息化转型，在转型的过程中，对高校学生工作提出了新的挑战。高校学生工作，越来越需要本着服务学生的理念，强化学生工作的服务职能，创新工作模式、丰富工作内容，更好地为高校人才培养服务，推进高校学生工作全面、协调和可持续发展。</w:t>
      </w:r>
    </w:p>
    <w:p>
      <w:pPr>
        <w:adjustRightInd w:val="0"/>
        <w:snapToGrid w:val="0"/>
        <w:spacing w:line="360" w:lineRule="auto"/>
        <w:ind w:firstLine="482" w:firstLineChars="200"/>
        <w:rPr>
          <w:rFonts w:ascii="宋体" w:hAnsi="宋体" w:eastAsia="宋体"/>
          <w:b/>
          <w:bCs/>
          <w:sz w:val="24"/>
          <w:szCs w:val="24"/>
          <w:highlight w:val="none"/>
        </w:rPr>
      </w:pPr>
      <w:r>
        <w:rPr>
          <w:rFonts w:hint="eastAsia" w:ascii="宋体" w:hAnsi="宋体" w:eastAsia="宋体"/>
          <w:b/>
          <w:bCs/>
          <w:sz w:val="24"/>
          <w:szCs w:val="24"/>
          <w:highlight w:val="none"/>
        </w:rPr>
        <w:t>（二）现状</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近年来，南京信息工程大学信息化建设在各单位的大力支持下已形成了良好的网络基础环境，并且建设实施了数字化校园基础平台，积累了大量的数字资源以及丰富的自动化业务处理工具。在学生工作方面，目前学校内已经建设了学生管理以及缴费管理等涉及到学生在校期间相关的服务项目，但是目前相关模块更多的是从围绕学工部门内部管理需要开展建设，仅仅为了满足基本的业务流转，没有从校级层面全局进行考量，实现跨部门的业务的协同办理，从而客观上导致了各级管理部门之间信息认知的不一致性。同样的，也是正是由于这种信息认知的不一致，导致了信息的及时性与准确性没有办法保证，从而加大相关的管理人员获取第一手信息资料的难度。而随着时代的不断发展，新技术、新能力的不断出现，也需要我们将原有被动式服务向主动式服务转变，将新技术、新能力与学生工作深度融合，基于校级智能分析平台真正的将学校多年沉淀的业务数据利用起来，促进学校业务的良性发展。</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这其中，迎新服务的问题最为突出，信息传递的不及时，也导致了相关管理部门没有办法及时的掌握第一手的资料，信息孤岛情况严重。主要问题如下：</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1.数据管理难，难以维护。</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2.数据统计不准确，工作量大。</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3.虽然各个部门有部分业务系统，但使用效果不够好，信息不对称，信息孤单严重。</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4.随着科学技术的不断深入，师生对移动端依赖越来越突出，网络管理需求十分突出，迎新服务方式需要更加便捷、更加直观的展现形式。</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5.服务流程需要优化。部分服务项目流程清晰，但是办理起来较为复杂，没有充分发挥信息化技术的优势，影响用户对学校工作的满意程度。</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6.迎新服务过程需要评价监督。在服务项目中，当学生申请服务后，不知道服务流程到哪里了？办理过程及结果他们是否满意？目前，我们的服务缺少必要监督与评价体系，所以在综合服务平台中应当增加服务评价监督机制。</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7.迎新服务内容需要优化整合。要体现“以服务为导向”的建设理念，必须尽量实现服务各核心要素的信息化，使信息技术充分融入到服务申请、在线办理、服务评价、服务监督、业务指南、咨询互动、消息推送、统计报表等服务要素中。目前，学校各类服务项目大多比较分散，没有把服务项目作为基本单元，将各相关服务要素整合在一起，学生、教师等用户在申请服务时难以快速定位，造成使用上的不便。</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迎新工作管理是高校的重点工作，迎新的管理信息化是学校管理现代化的重要部分。迎新管理信息化建设是一个既具有现实性，又带有超前性、开拓性的课题，对提高管理效率和管理质量，实现对学生和社会的优质服务，具有十分重要的意义。</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次项目将围绕“迎新”进行我校下一步的信息化建设，通过信息化的先进手段提升学校在迎新业务方面的管理效率和服务水平，为包括校内管理人员、学生群体及各类其他人员提供统一的业务办理、流程审批、信息查询的综合性迎新服务。</w:t>
      </w:r>
    </w:p>
    <w:p>
      <w:pPr>
        <w:adjustRightInd w:val="0"/>
        <w:snapToGrid w:val="0"/>
        <w:spacing w:line="360" w:lineRule="auto"/>
        <w:ind w:firstLine="560" w:firstLineChars="200"/>
        <w:rPr>
          <w:rFonts w:hint="eastAsia" w:ascii="黑体" w:hAnsi="黑体" w:eastAsia="黑体"/>
          <w:sz w:val="28"/>
          <w:szCs w:val="28"/>
          <w:highlight w:val="none"/>
        </w:rPr>
      </w:pPr>
      <w:r>
        <w:rPr>
          <w:rFonts w:hint="eastAsia" w:ascii="黑体" w:hAnsi="黑体" w:eastAsia="黑体"/>
          <w:sz w:val="28"/>
          <w:szCs w:val="28"/>
          <w:highlight w:val="none"/>
        </w:rPr>
        <w:t>二、建设目标</w:t>
      </w:r>
    </w:p>
    <w:p>
      <w:pPr>
        <w:adjustRightInd w:val="0"/>
        <w:snapToGrid w:val="0"/>
        <w:spacing w:line="360" w:lineRule="auto"/>
        <w:ind w:firstLine="482" w:firstLineChars="200"/>
        <w:rPr>
          <w:rFonts w:ascii="宋体" w:hAnsi="宋体" w:eastAsia="宋体"/>
          <w:b/>
          <w:bCs/>
          <w:sz w:val="24"/>
          <w:szCs w:val="24"/>
          <w:highlight w:val="none"/>
        </w:rPr>
      </w:pPr>
      <w:r>
        <w:rPr>
          <w:rFonts w:hint="eastAsia" w:ascii="宋体" w:hAnsi="宋体" w:eastAsia="宋体"/>
          <w:b/>
          <w:bCs/>
          <w:sz w:val="24"/>
          <w:szCs w:val="24"/>
          <w:highlight w:val="none"/>
        </w:rPr>
        <w:t>（一）</w:t>
      </w:r>
      <w:r>
        <w:rPr>
          <w:rFonts w:ascii="宋体" w:hAnsi="宋体" w:eastAsia="宋体"/>
          <w:b/>
          <w:bCs/>
          <w:sz w:val="24"/>
          <w:szCs w:val="24"/>
          <w:highlight w:val="none"/>
        </w:rPr>
        <w:t>业务目标</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结合学校实际，为我校解决每年的新生报到入校的问题：学生迎新主要解决学生从入校前信息采集到预订商品、军训服装、登记到站等迎新事宜，实现预报到提前在网上完成，从而解决之前迎新现场学生排队办理手续拥挤的问题。</w:t>
      </w:r>
    </w:p>
    <w:p>
      <w:pPr>
        <w:adjustRightInd w:val="0"/>
        <w:snapToGrid w:val="0"/>
        <w:spacing w:line="360" w:lineRule="auto"/>
        <w:rPr>
          <w:rFonts w:ascii="宋体" w:hAnsi="宋体" w:eastAsia="宋体"/>
          <w:sz w:val="24"/>
          <w:szCs w:val="24"/>
          <w:highlight w:val="none"/>
        </w:rPr>
      </w:pPr>
      <w:r>
        <w:rPr>
          <w:rFonts w:hint="eastAsia" w:ascii="宋体" w:hAnsi="宋体" w:eastAsia="宋体"/>
          <w:sz w:val="24"/>
          <w:szCs w:val="24"/>
          <w:highlight w:val="none"/>
        </w:rPr>
        <w:t>通过学生迎新系统的建设，实现提高迎新工作效率、节省人力物力的目的。</w:t>
      </w:r>
    </w:p>
    <w:p>
      <w:pPr>
        <w:adjustRightInd w:val="0"/>
        <w:snapToGrid w:val="0"/>
        <w:spacing w:line="360" w:lineRule="auto"/>
        <w:ind w:firstLine="482" w:firstLineChars="200"/>
        <w:rPr>
          <w:rFonts w:ascii="宋体" w:hAnsi="宋体" w:eastAsia="宋体"/>
          <w:b/>
          <w:bCs/>
          <w:sz w:val="24"/>
          <w:szCs w:val="24"/>
          <w:highlight w:val="none"/>
        </w:rPr>
      </w:pPr>
      <w:r>
        <w:rPr>
          <w:rFonts w:hint="eastAsia" w:ascii="宋体" w:hAnsi="宋体" w:eastAsia="宋体"/>
          <w:b/>
          <w:bCs/>
          <w:sz w:val="24"/>
          <w:szCs w:val="24"/>
          <w:highlight w:val="none"/>
        </w:rPr>
        <w:t>（二）</w:t>
      </w:r>
      <w:r>
        <w:rPr>
          <w:rFonts w:ascii="宋体" w:hAnsi="宋体" w:eastAsia="宋体"/>
          <w:b/>
          <w:bCs/>
          <w:sz w:val="24"/>
          <w:szCs w:val="24"/>
          <w:highlight w:val="none"/>
        </w:rPr>
        <w:t>技术目标</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系统的技术目标：</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1.充分发挥计算机网络化管理的优势，支持各项迎新工作的数字化，促进学</w:t>
      </w:r>
      <w:r>
        <w:rPr>
          <w:rFonts w:hint="eastAsia" w:ascii="宋体" w:hAnsi="宋体" w:eastAsia="宋体"/>
          <w:sz w:val="24"/>
          <w:szCs w:val="24"/>
          <w:highlight w:val="none"/>
        </w:rPr>
        <w:t>工</w:t>
      </w:r>
      <w:r>
        <w:rPr>
          <w:rFonts w:ascii="宋体" w:hAnsi="宋体" w:eastAsia="宋体"/>
          <w:sz w:val="24"/>
          <w:szCs w:val="24"/>
          <w:highlight w:val="none"/>
        </w:rPr>
        <w:t>处、</w:t>
      </w:r>
      <w:r>
        <w:rPr>
          <w:rFonts w:hint="eastAsia" w:ascii="宋体" w:hAnsi="宋体" w:eastAsia="宋体"/>
          <w:sz w:val="24"/>
          <w:szCs w:val="24"/>
          <w:highlight w:val="none"/>
        </w:rPr>
        <w:t>研究生工作部等有关</w:t>
      </w:r>
      <w:r>
        <w:rPr>
          <w:rFonts w:ascii="宋体" w:hAnsi="宋体" w:eastAsia="宋体"/>
          <w:sz w:val="24"/>
          <w:szCs w:val="24"/>
          <w:highlight w:val="none"/>
        </w:rPr>
        <w:t>职能部门和院系学生管理人员的协同办公，提高学生管理工作效率；</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2.为学生、各部门管理人员提供人性化、全方位、多层次的服务；</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3.提供完善的查询统计、报表制作功能，辅助领导决策；</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4.整合并规范学生管理业务，实现全校学生管理模式规范；</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5.提供丰富、全面的在线帮助，为师生用户应用系统提供便利；</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6.与数字化校园无缝集成，并提供灵活的数据接口，实现与学校原有各业务系统间的数据流转。</w:t>
      </w:r>
    </w:p>
    <w:p>
      <w:pPr>
        <w:adjustRightInd w:val="0"/>
        <w:snapToGrid w:val="0"/>
        <w:spacing w:line="360" w:lineRule="auto"/>
        <w:ind w:firstLine="560" w:firstLineChars="200"/>
        <w:rPr>
          <w:rFonts w:ascii="黑体" w:hAnsi="黑体" w:eastAsia="黑体"/>
          <w:sz w:val="28"/>
          <w:szCs w:val="28"/>
          <w:highlight w:val="none"/>
        </w:rPr>
      </w:pPr>
      <w:r>
        <w:rPr>
          <w:rFonts w:hint="eastAsia" w:ascii="黑体" w:hAnsi="黑体" w:eastAsia="黑体"/>
          <w:sz w:val="28"/>
          <w:szCs w:val="28"/>
          <w:highlight w:val="none"/>
        </w:rPr>
        <w:t>三、总体技术要求</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本次应用软件应基于</w:t>
      </w:r>
      <w:r>
        <w:rPr>
          <w:rFonts w:ascii="宋体" w:hAnsi="宋体" w:eastAsia="宋体"/>
          <w:sz w:val="24"/>
          <w:szCs w:val="24"/>
          <w:highlight w:val="none"/>
        </w:rPr>
        <w:t>J2EE平台，采用B/S结构，主体代码采用Java编程语言和服务器端Java技术开发，可运行于Unix\Linux\Windows等高安全性操作系统。开发技术应采用J2EE标准，组件化技术及在数据交换上对XML的支持，使系统功能最优化，同时将整体系统内部在技术上的互相依赖性减至最低。</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具体要求如下：</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1.平台及应用系统软件必须遵循J2EE的技术路线，采用Java编程语言和服务器端Java技术进行开发，业务应用系统应基于oracle或其他主流数据库系统。</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采用面向对象的组件技术，着重于开发构成应用程序“业务对象”的可重复使用的组件，利用这些组件顺利地建立分布式应用程序。并通过业务组件库实现行业知识的积累。组件采用面向对象的思想构建，组件之间可以继承，组件之间从物理和逻辑上都是隔离的。</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3.应用程序开发与运行结构要基于统一的技术开发平台的三层架构，即Web服务器、应用支撑服务器和数据库服务器。</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4.能完成跨业务部门的业务流程和相对应的细颗粒度的分级授权体系。</w:t>
      </w:r>
    </w:p>
    <w:p>
      <w:pPr>
        <w:adjustRightInd w:val="0"/>
        <w:snapToGrid w:val="0"/>
        <w:spacing w:line="360" w:lineRule="auto"/>
        <w:ind w:firstLine="480" w:firstLineChars="200"/>
        <w:rPr>
          <w:rFonts w:hint="eastAsia" w:ascii="宋体" w:hAnsi="宋体" w:eastAsia="宋体"/>
          <w:b/>
          <w:bCs/>
          <w:sz w:val="24"/>
          <w:szCs w:val="24"/>
          <w:highlight w:val="none"/>
        </w:rPr>
      </w:pPr>
      <w:r>
        <w:rPr>
          <w:rFonts w:ascii="宋体" w:hAnsi="宋体" w:eastAsia="宋体"/>
          <w:sz w:val="24"/>
          <w:szCs w:val="24"/>
          <w:highlight w:val="none"/>
        </w:rPr>
        <w:t>5.各应用系统要充分利用现有先进技术手段，采用相同的体系结构和运行平台，基于多层架构和组件技术进行构建，整体架构基于Spring的MVC结构，分为显示层、控制层、服务层、持久化层。组件的执行是以模型进行驱动，每层都有相应的模型配置，引擎解析这些模型，自动实现各层的功能，做到系统结构层次清晰。所有应用逻辑、流程、数据等</w:t>
      </w:r>
      <w:r>
        <w:rPr>
          <w:rFonts w:hint="eastAsia" w:ascii="宋体" w:hAnsi="宋体" w:eastAsia="宋体"/>
          <w:b w:val="0"/>
          <w:bCs w:val="0"/>
          <w:sz w:val="24"/>
          <w:szCs w:val="24"/>
          <w:highlight w:val="none"/>
        </w:rPr>
        <w:t>都应当能够根据实际业务要求的颗粒度进行封装。</w:t>
      </w:r>
    </w:p>
    <w:p>
      <w:pPr>
        <w:adjustRightInd w:val="0"/>
        <w:snapToGrid w:val="0"/>
        <w:spacing w:line="360" w:lineRule="auto"/>
        <w:ind w:firstLine="560" w:firstLineChars="200"/>
        <w:rPr>
          <w:rFonts w:hint="eastAsia" w:ascii="黑体" w:hAnsi="黑体" w:eastAsia="黑体"/>
          <w:sz w:val="28"/>
          <w:szCs w:val="28"/>
          <w:highlight w:val="none"/>
        </w:rPr>
      </w:pPr>
      <w:r>
        <w:rPr>
          <w:rFonts w:hint="eastAsia" w:ascii="黑体" w:hAnsi="黑体" w:eastAsia="黑体"/>
          <w:sz w:val="28"/>
          <w:szCs w:val="28"/>
          <w:highlight w:val="none"/>
        </w:rPr>
        <w:t>四、安全性要求</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1.认证授权：保证用户的合法性和用户使用信息资源的权力，避免内部敏感信息泄漏和服务所提供的信息资源被非法访问，造成严重的安全事件。</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2.信息保密：充分利用密码技术，对于需要保密的信息，采用密码技术进行加解密处理，防止信息的非授权泄漏，确保涉密信息在产生、存储、传递和处理过程中的保密。</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3.数据完整性：建立数据完整性检验机制，保证收发双方数据的一致性，防止信息被非授权修改。</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4.审计：记录应用日志，对事件进行分析，并能提供预警信息。</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5.数据备份：利用数据库的备份功能将建设的平台和系统数据备份到指定的服务器或存储系统上。</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6.要求投标方需从物理安全、网络安全、系统安全、应用软件安全、数据备份安全等几个方面提出配套的安全体系完善方案，以便防范安全风险。</w:t>
      </w:r>
    </w:p>
    <w:p>
      <w:pPr>
        <w:adjustRightInd w:val="0"/>
        <w:snapToGrid w:val="0"/>
        <w:spacing w:line="360" w:lineRule="auto"/>
        <w:ind w:firstLine="560" w:firstLineChars="200"/>
        <w:rPr>
          <w:rFonts w:ascii="黑体" w:hAnsi="黑体" w:eastAsia="黑体"/>
          <w:sz w:val="28"/>
          <w:szCs w:val="28"/>
          <w:highlight w:val="none"/>
        </w:rPr>
      </w:pPr>
      <w:r>
        <w:rPr>
          <w:rFonts w:hint="eastAsia" w:ascii="黑体" w:hAnsi="黑体" w:eastAsia="黑体"/>
          <w:sz w:val="28"/>
          <w:szCs w:val="28"/>
          <w:highlight w:val="none"/>
        </w:rPr>
        <w:t>五、建设内容</w:t>
      </w:r>
    </w:p>
    <w:p>
      <w:pPr>
        <w:adjustRightInd w:val="0"/>
        <w:snapToGrid w:val="0"/>
        <w:spacing w:line="360" w:lineRule="auto"/>
        <w:ind w:firstLine="482" w:firstLineChars="200"/>
        <w:rPr>
          <w:rFonts w:ascii="宋体" w:hAnsi="宋体" w:eastAsia="宋体"/>
          <w:b/>
          <w:bCs/>
          <w:sz w:val="24"/>
          <w:szCs w:val="24"/>
          <w:highlight w:val="none"/>
        </w:rPr>
      </w:pPr>
      <w:r>
        <w:rPr>
          <w:rFonts w:ascii="宋体" w:hAnsi="宋体" w:eastAsia="宋体"/>
          <w:b/>
          <w:bCs/>
          <w:sz w:val="24"/>
          <w:szCs w:val="24"/>
          <w:highlight w:val="none"/>
        </w:rPr>
        <w:t>5.1迎新管理</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解决学校对新生的报到批次的安排、学生基础数据、宿舍信息、财务数据进行统一管理，并且可设置各个院系在迎新整个过程中，对各自负责办理环节的使用权限控制等工作。学校管理员设置迎新的批次、现场报到流程及查询统计类别、设置采集信息字段、给院系负责人授权等工作。院系负责人参与现场迎新工作，可及时查询负责院系的学生报到情况。迎新办理人员参与现场迎新工作，可及时查询负责范围内的学生报到情况。</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提供新生预报到服务，新生在家时即可通过配置的服务在线填报个人基本信息，提前办理部分迎新报到事项。</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新生报到服务的配置要足够完善和灵活，必须提供必办项</w:t>
      </w:r>
      <w:r>
        <w:rPr>
          <w:rFonts w:ascii="宋体" w:hAnsi="宋体" w:eastAsia="宋体"/>
          <w:sz w:val="24"/>
          <w:szCs w:val="24"/>
          <w:highlight w:val="none"/>
        </w:rPr>
        <w:t>/可办项的设置，以及可为每项服务设置可办理时间段</w:t>
      </w:r>
      <w:r>
        <w:rPr>
          <w:rFonts w:hint="eastAsia" w:ascii="宋体" w:hAnsi="宋体" w:eastAsia="宋体"/>
          <w:sz w:val="24"/>
          <w:szCs w:val="24"/>
          <w:highlight w:val="none"/>
        </w:rPr>
        <w:t>。</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投标方在新生报到服务中必须默认提供信息采集、财务缴费、到站登记、结伴同行、绿色通道申请、生活用品购买、军训服装尺码预定、电子报到单等服务应用，且后期可根据我校需求进行增加。</w:t>
      </w:r>
    </w:p>
    <w:p>
      <w:pPr>
        <w:adjustRightInd w:val="0"/>
        <w:snapToGrid w:val="0"/>
        <w:spacing w:line="360" w:lineRule="auto"/>
        <w:ind w:firstLine="482" w:firstLineChars="200"/>
        <w:rPr>
          <w:rFonts w:ascii="楷体" w:hAnsi="楷体" w:eastAsia="楷体"/>
          <w:b/>
          <w:bCs/>
          <w:sz w:val="24"/>
          <w:szCs w:val="24"/>
          <w:highlight w:val="none"/>
        </w:rPr>
      </w:pPr>
      <w:r>
        <w:rPr>
          <w:rFonts w:ascii="楷体" w:hAnsi="楷体" w:eastAsia="楷体"/>
          <w:b/>
          <w:bCs/>
          <w:sz w:val="24"/>
          <w:szCs w:val="24"/>
          <w:highlight w:val="none"/>
        </w:rPr>
        <w:t>5.1.1迎新类别管理</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1.支持管理人员自定义迎新类别；</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迎新类别管理中提供新生在线服务与到校现场办理流程的配置，要足够完善和灵活，必须提供必办项/可办项的设置，以及可为每项现场办理流程配置详细办理信息，包括办理地点、时间、联系电话、办理说明等；</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3.提供各环节办理人员授权功能，有相关环节办理权限的人员才能够使用迎新现场办理功能。</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4.需支持不同层级管理人员，授权后按照管理范围查看新生报到进度及环节办理情况。</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5.支持校内迎新导航定位设置。</w:t>
      </w:r>
    </w:p>
    <w:p>
      <w:pPr>
        <w:adjustRightInd w:val="0"/>
        <w:snapToGrid w:val="0"/>
        <w:spacing w:line="360" w:lineRule="auto"/>
        <w:ind w:firstLine="482" w:firstLineChars="200"/>
        <w:rPr>
          <w:rFonts w:ascii="楷体" w:hAnsi="楷体" w:eastAsia="楷体"/>
          <w:b/>
          <w:bCs/>
          <w:sz w:val="24"/>
          <w:szCs w:val="24"/>
          <w:highlight w:val="none"/>
        </w:rPr>
      </w:pPr>
      <w:r>
        <w:rPr>
          <w:rFonts w:ascii="楷体" w:hAnsi="楷体" w:eastAsia="楷体"/>
          <w:b/>
          <w:bCs/>
          <w:sz w:val="24"/>
          <w:szCs w:val="24"/>
          <w:highlight w:val="none"/>
        </w:rPr>
        <w:t>5.1.2迎新批次管理</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1.投标方必须提供单独的迎新批次管理功能，与我校每年的迎新工作开展相对应；</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在迎新批次管理中，必须能够直接引用配置好的迎新类别，实现新生报到服务、到校现场办理流程、人员授权的自动加载；</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3.提供学生信息导入</w:t>
      </w:r>
      <w:r>
        <w:rPr>
          <w:rFonts w:hint="eastAsia" w:ascii="宋体" w:hAnsi="宋体" w:eastAsia="宋体"/>
          <w:sz w:val="24"/>
          <w:szCs w:val="24"/>
          <w:highlight w:val="none"/>
        </w:rPr>
        <w:t>、修改</w:t>
      </w:r>
      <w:r>
        <w:rPr>
          <w:rFonts w:ascii="宋体" w:hAnsi="宋体" w:eastAsia="宋体"/>
          <w:sz w:val="24"/>
          <w:szCs w:val="24"/>
          <w:highlight w:val="none"/>
        </w:rPr>
        <w:t>功能，可批量导入</w:t>
      </w:r>
      <w:r>
        <w:rPr>
          <w:rFonts w:hint="eastAsia" w:ascii="宋体" w:hAnsi="宋体" w:eastAsia="宋体"/>
          <w:sz w:val="24"/>
          <w:szCs w:val="24"/>
          <w:highlight w:val="none"/>
        </w:rPr>
        <w:t>或个别修改</w:t>
      </w:r>
      <w:r>
        <w:rPr>
          <w:rFonts w:ascii="宋体" w:hAnsi="宋体" w:eastAsia="宋体"/>
          <w:sz w:val="24"/>
          <w:szCs w:val="24"/>
          <w:highlight w:val="none"/>
        </w:rPr>
        <w:t>新生名单、入住数据、辅导员数据等信息。数据初始化完成后即可开启迎新批次。</w:t>
      </w:r>
    </w:p>
    <w:p>
      <w:pPr>
        <w:adjustRightInd w:val="0"/>
        <w:snapToGrid w:val="0"/>
        <w:spacing w:line="360" w:lineRule="auto"/>
        <w:ind w:firstLine="482" w:firstLineChars="200"/>
        <w:rPr>
          <w:rFonts w:ascii="楷体" w:hAnsi="楷体" w:eastAsia="楷体"/>
          <w:b/>
          <w:bCs/>
          <w:sz w:val="24"/>
          <w:szCs w:val="24"/>
          <w:highlight w:val="none"/>
        </w:rPr>
      </w:pPr>
      <w:r>
        <w:rPr>
          <w:rFonts w:ascii="楷体" w:hAnsi="楷体" w:eastAsia="楷体"/>
          <w:b/>
          <w:bCs/>
          <w:sz w:val="24"/>
          <w:szCs w:val="24"/>
          <w:highlight w:val="none"/>
        </w:rPr>
        <w:t>5.1.3现场办理</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1.需支持</w:t>
      </w:r>
      <w:r>
        <w:rPr>
          <w:rFonts w:hint="eastAsia" w:ascii="宋体" w:hAnsi="宋体" w:eastAsia="宋体"/>
          <w:sz w:val="24"/>
          <w:szCs w:val="24"/>
          <w:highlight w:val="none"/>
        </w:rPr>
        <w:t>人脸识别，需支持</w:t>
      </w:r>
      <w:r>
        <w:rPr>
          <w:rFonts w:ascii="宋体" w:hAnsi="宋体" w:eastAsia="宋体"/>
          <w:sz w:val="24"/>
          <w:szCs w:val="24"/>
          <w:highlight w:val="none"/>
        </w:rPr>
        <w:t>与外部扫码或读卡设备的集成，方便快速识别学生身份；</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2.提供各环节办理情况实时监控功能；</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3.各环节办理人员仅能对其权限范围内的环节进行办理；</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4.可进行撤销操作。</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5.</w:t>
      </w:r>
      <w:r>
        <w:rPr>
          <w:rFonts w:ascii="宋体" w:hAnsi="宋体" w:eastAsia="宋体"/>
          <w:color w:val="FF0000"/>
          <w:sz w:val="24"/>
          <w:szCs w:val="24"/>
          <w:highlight w:val="none"/>
        </w:rPr>
        <w:t xml:space="preserve"> </w:t>
      </w:r>
      <w:r>
        <w:rPr>
          <w:rFonts w:ascii="宋体" w:hAnsi="宋体" w:eastAsia="宋体"/>
          <w:sz w:val="24"/>
          <w:szCs w:val="24"/>
          <w:highlight w:val="none"/>
        </w:rPr>
        <w:t>能够快速检索设备集成（扫码枪</w:t>
      </w:r>
      <w:r>
        <w:rPr>
          <w:rFonts w:hint="eastAsia" w:ascii="宋体" w:hAnsi="宋体" w:eastAsia="宋体"/>
          <w:sz w:val="24"/>
          <w:szCs w:val="24"/>
          <w:highlight w:val="none"/>
        </w:rPr>
        <w:t>等</w:t>
      </w:r>
      <w:r>
        <w:rPr>
          <w:rFonts w:ascii="宋体" w:hAnsi="宋体" w:eastAsia="宋体"/>
          <w:sz w:val="24"/>
          <w:szCs w:val="24"/>
          <w:highlight w:val="none"/>
        </w:rPr>
        <w:t>）、环节办理实时监控、办理人员仅对权限范围内的环节进行办理、撤销操作、离线办理。</w:t>
      </w:r>
    </w:p>
    <w:p>
      <w:pPr>
        <w:adjustRightInd w:val="0"/>
        <w:snapToGrid w:val="0"/>
        <w:spacing w:line="360" w:lineRule="auto"/>
        <w:ind w:firstLine="482" w:firstLineChars="200"/>
        <w:rPr>
          <w:rFonts w:ascii="楷体" w:hAnsi="楷体" w:eastAsia="楷体"/>
          <w:b/>
          <w:bCs/>
          <w:sz w:val="24"/>
          <w:szCs w:val="24"/>
          <w:highlight w:val="none"/>
        </w:rPr>
      </w:pPr>
      <w:r>
        <w:rPr>
          <w:rFonts w:ascii="楷体" w:hAnsi="楷体" w:eastAsia="楷体"/>
          <w:b/>
          <w:bCs/>
          <w:sz w:val="24"/>
          <w:szCs w:val="24"/>
          <w:highlight w:val="none"/>
        </w:rPr>
        <w:t>5.1.4离线办理</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需支持在网络连接出现问题的情况下，通过excel模板的方式进行临时性的现场报到信息登记，并在后期直接通过excel方式导入到系统中。</w:t>
      </w:r>
    </w:p>
    <w:p>
      <w:pPr>
        <w:adjustRightInd w:val="0"/>
        <w:snapToGrid w:val="0"/>
        <w:spacing w:line="360" w:lineRule="auto"/>
        <w:ind w:firstLine="482" w:firstLineChars="200"/>
        <w:rPr>
          <w:rFonts w:ascii="楷体" w:hAnsi="楷体" w:eastAsia="楷体"/>
          <w:b/>
          <w:bCs/>
          <w:sz w:val="24"/>
          <w:szCs w:val="24"/>
          <w:highlight w:val="none"/>
        </w:rPr>
      </w:pPr>
      <w:r>
        <w:rPr>
          <w:rFonts w:ascii="楷体" w:hAnsi="楷体" w:eastAsia="楷体"/>
          <w:b/>
          <w:bCs/>
          <w:sz w:val="24"/>
          <w:szCs w:val="24"/>
          <w:highlight w:val="none"/>
        </w:rPr>
        <w:t>5.1.5迎新统计</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1.必须提供报到情况和办理情况的统计分析；</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2.提供多维度的组合查询，默认提供院系、专业、生源地、民族、各环节等维度的统计；</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3.以统计图表进行直观展现，需支持数据钻取查看详情</w:t>
      </w:r>
      <w:r>
        <w:rPr>
          <w:rFonts w:hint="eastAsia" w:ascii="宋体" w:hAnsi="宋体" w:eastAsia="宋体"/>
          <w:sz w:val="24"/>
          <w:szCs w:val="24"/>
          <w:highlight w:val="none"/>
        </w:rPr>
        <w:t>；</w:t>
      </w:r>
      <w:r>
        <w:rPr>
          <w:rFonts w:ascii="宋体" w:hAnsi="宋体" w:eastAsia="宋体"/>
          <w:sz w:val="24"/>
          <w:szCs w:val="24"/>
          <w:highlight w:val="none"/>
        </w:rPr>
        <w:t>支持在线导出统计详情数据。</w:t>
      </w:r>
    </w:p>
    <w:p>
      <w:pPr>
        <w:adjustRightInd w:val="0"/>
        <w:snapToGrid w:val="0"/>
        <w:spacing w:line="360" w:lineRule="auto"/>
        <w:ind w:firstLine="482" w:firstLineChars="200"/>
        <w:rPr>
          <w:rFonts w:ascii="楷体" w:hAnsi="楷体" w:eastAsia="楷体"/>
          <w:b/>
          <w:bCs/>
          <w:sz w:val="24"/>
          <w:szCs w:val="24"/>
          <w:highlight w:val="none"/>
        </w:rPr>
      </w:pPr>
      <w:r>
        <w:rPr>
          <w:rFonts w:ascii="楷体" w:hAnsi="楷体" w:eastAsia="楷体"/>
          <w:b/>
          <w:bCs/>
          <w:sz w:val="24"/>
          <w:szCs w:val="24"/>
          <w:highlight w:val="none"/>
        </w:rPr>
        <w:t>5.1.6人员授权</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color w:val="FF0000"/>
          <w:sz w:val="24"/>
          <w:szCs w:val="24"/>
          <w:highlight w:val="none"/>
        </w:rPr>
        <w:t>▲</w:t>
      </w:r>
      <w:r>
        <w:rPr>
          <w:rFonts w:hint="eastAsia" w:ascii="宋体" w:hAnsi="宋体" w:eastAsia="宋体"/>
          <w:sz w:val="24"/>
          <w:szCs w:val="24"/>
          <w:highlight w:val="none"/>
        </w:rPr>
        <w:t>需支持对各职能部门、各院系负责人、辅导员、班主任、志愿者等迎新工作管理人员和工作人员进行授权，授权可精细授权到某个授权类别或某个授权环节，同时支持对各层级管理人员或工作人员进行批量授权。</w:t>
      </w:r>
    </w:p>
    <w:p>
      <w:pPr>
        <w:adjustRightInd w:val="0"/>
        <w:snapToGrid w:val="0"/>
        <w:spacing w:line="360" w:lineRule="auto"/>
        <w:ind w:firstLine="482" w:firstLineChars="200"/>
        <w:rPr>
          <w:rFonts w:ascii="宋体" w:hAnsi="宋体" w:eastAsia="宋体"/>
          <w:b/>
          <w:bCs/>
          <w:sz w:val="24"/>
          <w:szCs w:val="24"/>
          <w:highlight w:val="none"/>
        </w:rPr>
      </w:pPr>
      <w:r>
        <w:rPr>
          <w:rFonts w:ascii="宋体" w:hAnsi="宋体" w:eastAsia="宋体"/>
          <w:b/>
          <w:bCs/>
          <w:sz w:val="24"/>
          <w:szCs w:val="24"/>
          <w:highlight w:val="none"/>
        </w:rPr>
        <w:t>5.2绿色通道管理</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1.需支持绿色通道申请审核流程的自定义；</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2.需支持设置申请的时间段；</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3.能够根据具体的财务项设置缓缴总金额；</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4.支持申请表格打印模板的配置</w:t>
      </w:r>
      <w:r>
        <w:rPr>
          <w:rFonts w:hint="eastAsia" w:ascii="宋体" w:hAnsi="宋体" w:eastAsia="宋体"/>
          <w:sz w:val="24"/>
          <w:szCs w:val="24"/>
          <w:highlight w:val="none"/>
        </w:rPr>
        <w:t>；</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5.支持资助物资发放情况查询。</w:t>
      </w:r>
    </w:p>
    <w:p>
      <w:pPr>
        <w:adjustRightInd w:val="0"/>
        <w:snapToGrid w:val="0"/>
        <w:spacing w:line="360" w:lineRule="auto"/>
        <w:ind w:firstLine="480" w:firstLineChars="200"/>
        <w:rPr>
          <w:rFonts w:ascii="宋体" w:hAnsi="宋体" w:eastAsia="宋体"/>
          <w:sz w:val="24"/>
          <w:szCs w:val="24"/>
          <w:highlight w:val="none"/>
        </w:rPr>
      </w:pPr>
    </w:p>
    <w:p>
      <w:pPr>
        <w:adjustRightInd w:val="0"/>
        <w:snapToGrid w:val="0"/>
        <w:spacing w:line="360" w:lineRule="auto"/>
        <w:ind w:firstLine="482" w:firstLineChars="200"/>
        <w:rPr>
          <w:rFonts w:ascii="宋体" w:hAnsi="宋体" w:eastAsia="宋体"/>
          <w:b/>
          <w:bCs/>
          <w:sz w:val="24"/>
          <w:szCs w:val="24"/>
          <w:highlight w:val="none"/>
        </w:rPr>
      </w:pPr>
      <w:r>
        <w:rPr>
          <w:rFonts w:ascii="宋体" w:hAnsi="宋体" w:eastAsia="宋体"/>
          <w:b/>
          <w:bCs/>
          <w:sz w:val="24"/>
          <w:szCs w:val="24"/>
          <w:highlight w:val="none"/>
        </w:rPr>
        <w:t>5.3到校登记管理</w:t>
      </w:r>
    </w:p>
    <w:p>
      <w:pPr>
        <w:adjustRightInd w:val="0"/>
        <w:snapToGrid w:val="0"/>
        <w:spacing w:line="360" w:lineRule="auto"/>
        <w:ind w:firstLine="482" w:firstLineChars="200"/>
        <w:rPr>
          <w:rFonts w:ascii="楷体" w:hAnsi="楷体" w:eastAsia="楷体"/>
          <w:b/>
          <w:bCs/>
          <w:sz w:val="24"/>
          <w:szCs w:val="24"/>
          <w:highlight w:val="none"/>
        </w:rPr>
      </w:pPr>
      <w:r>
        <w:rPr>
          <w:rFonts w:ascii="楷体" w:hAnsi="楷体" w:eastAsia="楷体"/>
          <w:b/>
          <w:bCs/>
          <w:sz w:val="24"/>
          <w:szCs w:val="24"/>
          <w:highlight w:val="none"/>
        </w:rPr>
        <w:t>5.3.1站点设置</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学校管理人员可通过在线的方式设置学生到校的时间和站点信息，需方便新生快速了解到校路线。</w:t>
      </w:r>
    </w:p>
    <w:p>
      <w:pPr>
        <w:adjustRightInd w:val="0"/>
        <w:snapToGrid w:val="0"/>
        <w:spacing w:line="360" w:lineRule="auto"/>
        <w:ind w:firstLine="482" w:firstLineChars="200"/>
        <w:rPr>
          <w:rFonts w:ascii="楷体" w:hAnsi="楷体" w:eastAsia="楷体"/>
          <w:b/>
          <w:bCs/>
          <w:sz w:val="24"/>
          <w:szCs w:val="24"/>
          <w:highlight w:val="none"/>
        </w:rPr>
      </w:pPr>
      <w:r>
        <w:rPr>
          <w:rFonts w:ascii="楷体" w:hAnsi="楷体" w:eastAsia="楷体"/>
          <w:b/>
          <w:bCs/>
          <w:sz w:val="24"/>
          <w:szCs w:val="24"/>
          <w:highlight w:val="none"/>
        </w:rPr>
        <w:t>5.3.2到校登记查询</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1.需支持站点的信息的设置，提供在线编辑建议路线、图片上传功能；</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2.新生提前在线登记后，应用需支持登记结果统计及查看；</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3.能自定义统计时段及统计站点，提供以折线图和柱状图的方式清晰展示到站人数的趋势和详情，方便安排接站。</w:t>
      </w:r>
    </w:p>
    <w:p>
      <w:pPr>
        <w:adjustRightInd w:val="0"/>
        <w:snapToGrid w:val="0"/>
        <w:spacing w:line="360" w:lineRule="auto"/>
        <w:ind w:firstLine="482" w:firstLineChars="200"/>
        <w:rPr>
          <w:rFonts w:ascii="宋体" w:hAnsi="宋体" w:eastAsia="宋体"/>
          <w:b/>
          <w:bCs/>
          <w:sz w:val="24"/>
          <w:szCs w:val="24"/>
          <w:highlight w:val="none"/>
        </w:rPr>
      </w:pPr>
      <w:r>
        <w:rPr>
          <w:rFonts w:ascii="宋体" w:hAnsi="宋体" w:eastAsia="宋体"/>
          <w:b/>
          <w:bCs/>
          <w:sz w:val="24"/>
          <w:szCs w:val="24"/>
          <w:highlight w:val="none"/>
        </w:rPr>
        <w:t>5.4财务缴费管理</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1.必须支持为每种迎新类别进行应缴费用的设置。可设置学费、宿舍费及其他费用等财务缴费项，同时可为每个财务缴费项提供设置是否可缓缴、是否必缴功能；</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2.对应的管理人员能够在线查看和管理缴费情况，应用需提供缴费比例统计功能。</w:t>
      </w:r>
    </w:p>
    <w:p>
      <w:pPr>
        <w:adjustRightInd w:val="0"/>
        <w:snapToGrid w:val="0"/>
        <w:spacing w:line="360" w:lineRule="auto"/>
        <w:ind w:firstLine="482" w:firstLineChars="200"/>
        <w:rPr>
          <w:rFonts w:ascii="宋体" w:hAnsi="宋体" w:eastAsia="宋体"/>
          <w:b/>
          <w:bCs/>
          <w:sz w:val="24"/>
          <w:szCs w:val="24"/>
          <w:highlight w:val="none"/>
        </w:rPr>
      </w:pPr>
      <w:r>
        <w:rPr>
          <w:rFonts w:ascii="宋体" w:hAnsi="宋体" w:eastAsia="宋体"/>
          <w:b/>
          <w:bCs/>
          <w:sz w:val="24"/>
          <w:szCs w:val="24"/>
          <w:highlight w:val="none"/>
        </w:rPr>
        <w:t>5.5军训服装预定</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1.提供军训服装信息在线维护功能，需支持在线设置规格、尺码表上传、图片上传；</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2.能够在线查看学生的预定详情及结果导出，方便提前备置。</w:t>
      </w:r>
    </w:p>
    <w:p>
      <w:pPr>
        <w:adjustRightInd w:val="0"/>
        <w:snapToGrid w:val="0"/>
        <w:spacing w:line="360" w:lineRule="auto"/>
        <w:ind w:firstLine="482" w:firstLineChars="200"/>
        <w:rPr>
          <w:rFonts w:ascii="宋体" w:hAnsi="宋体" w:eastAsia="宋体"/>
          <w:b/>
          <w:bCs/>
          <w:sz w:val="24"/>
          <w:szCs w:val="24"/>
          <w:highlight w:val="none"/>
        </w:rPr>
      </w:pPr>
      <w:r>
        <w:rPr>
          <w:rFonts w:ascii="宋体" w:hAnsi="宋体" w:eastAsia="宋体"/>
          <w:b/>
          <w:bCs/>
          <w:sz w:val="24"/>
          <w:szCs w:val="24"/>
          <w:highlight w:val="none"/>
        </w:rPr>
        <w:t>5.6商品预定</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1.提供商品信息在线维护功能，需支持商品类别的自定义，提供名称、价格、规格项、描述的编辑功能，同时能够在线上传商品真实图片；</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2.能够在线查看学生的预定详情及结果导出，方便提前备置。</w:t>
      </w:r>
    </w:p>
    <w:p>
      <w:pPr>
        <w:adjustRightInd w:val="0"/>
        <w:snapToGrid w:val="0"/>
        <w:spacing w:line="360" w:lineRule="auto"/>
        <w:ind w:firstLine="482" w:firstLineChars="200"/>
        <w:rPr>
          <w:rFonts w:ascii="宋体" w:hAnsi="宋体" w:eastAsia="宋体"/>
          <w:b/>
          <w:bCs/>
          <w:sz w:val="24"/>
          <w:szCs w:val="24"/>
          <w:highlight w:val="none"/>
        </w:rPr>
      </w:pPr>
      <w:r>
        <w:rPr>
          <w:rFonts w:ascii="宋体" w:hAnsi="宋体" w:eastAsia="宋体"/>
          <w:b/>
          <w:bCs/>
          <w:sz w:val="24"/>
          <w:szCs w:val="24"/>
          <w:highlight w:val="none"/>
        </w:rPr>
        <w:t>5.7新生入学前教育</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提供新生入学教育管理相关功能，满足学校希望新生快速熟悉了解学校校史校规或其他相关内容的需求。</w:t>
      </w:r>
    </w:p>
    <w:p>
      <w:pPr>
        <w:adjustRightInd w:val="0"/>
        <w:snapToGrid w:val="0"/>
        <w:spacing w:line="360" w:lineRule="auto"/>
        <w:ind w:firstLine="360" w:firstLineChars="150"/>
        <w:rPr>
          <w:rFonts w:ascii="宋体" w:hAnsi="宋体" w:eastAsia="宋体"/>
          <w:sz w:val="24"/>
          <w:szCs w:val="24"/>
          <w:highlight w:val="none"/>
        </w:rPr>
      </w:pPr>
      <w:r>
        <w:rPr>
          <w:rFonts w:hint="eastAsia" w:ascii="宋体" w:hAnsi="宋体" w:eastAsia="宋体"/>
          <w:sz w:val="24"/>
          <w:szCs w:val="24"/>
          <w:highlight w:val="none"/>
        </w:rPr>
        <w:t>入学教育功能：可设置入学教育相关多个题库，题库中题型包含单选、多选、填空、问答。题目可设置答案及对应分值。可设置试卷及格线，测试时长以及重复答题规则，试卷生成可指定具体题目也可输入题型数量随机生成。</w:t>
      </w:r>
    </w:p>
    <w:p>
      <w:pPr>
        <w:adjustRightInd w:val="0"/>
        <w:snapToGrid w:val="0"/>
        <w:spacing w:line="360" w:lineRule="auto"/>
        <w:ind w:firstLine="482" w:firstLineChars="200"/>
        <w:rPr>
          <w:rFonts w:ascii="楷体" w:hAnsi="楷体" w:eastAsia="楷体"/>
          <w:b/>
          <w:bCs/>
          <w:sz w:val="24"/>
          <w:szCs w:val="24"/>
          <w:highlight w:val="none"/>
        </w:rPr>
      </w:pPr>
      <w:r>
        <w:rPr>
          <w:rFonts w:ascii="楷体" w:hAnsi="楷体" w:eastAsia="楷体"/>
          <w:b/>
          <w:bCs/>
          <w:sz w:val="24"/>
          <w:szCs w:val="24"/>
          <w:highlight w:val="none"/>
        </w:rPr>
        <w:t>5.7.1题库管理</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管理人员可设置入学教育相关多个题库，题库中题型包含单选、多选、问答题。题目可设置答案及题型对应分值或题目分值。</w:t>
      </w:r>
    </w:p>
    <w:p>
      <w:pPr>
        <w:adjustRightInd w:val="0"/>
        <w:snapToGrid w:val="0"/>
        <w:spacing w:line="360" w:lineRule="auto"/>
        <w:ind w:firstLine="482" w:firstLineChars="200"/>
        <w:rPr>
          <w:rFonts w:ascii="楷体" w:hAnsi="楷体" w:eastAsia="楷体"/>
          <w:b/>
          <w:bCs/>
          <w:sz w:val="24"/>
          <w:szCs w:val="24"/>
          <w:highlight w:val="none"/>
        </w:rPr>
      </w:pPr>
      <w:r>
        <w:rPr>
          <w:rFonts w:ascii="楷体" w:hAnsi="楷体" w:eastAsia="楷体"/>
          <w:b/>
          <w:bCs/>
          <w:sz w:val="24"/>
          <w:szCs w:val="24"/>
          <w:highlight w:val="none"/>
        </w:rPr>
        <w:t>5.7.2试卷生成</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管理人员可设置试卷及格线，测试时长以及重复答题规则。试卷生成可指定具体题目，可设置题型规则随机生成。试卷可指定新生批次。</w:t>
      </w:r>
    </w:p>
    <w:p>
      <w:pPr>
        <w:adjustRightInd w:val="0"/>
        <w:snapToGrid w:val="0"/>
        <w:spacing w:line="360" w:lineRule="auto"/>
        <w:ind w:firstLine="482" w:firstLineChars="200"/>
        <w:rPr>
          <w:rFonts w:ascii="楷体" w:hAnsi="楷体" w:eastAsia="楷体"/>
          <w:b/>
          <w:bCs/>
          <w:sz w:val="24"/>
          <w:szCs w:val="24"/>
          <w:highlight w:val="none"/>
        </w:rPr>
      </w:pPr>
      <w:r>
        <w:rPr>
          <w:rFonts w:ascii="楷体" w:hAnsi="楷体" w:eastAsia="楷体"/>
          <w:b/>
          <w:bCs/>
          <w:sz w:val="24"/>
          <w:szCs w:val="24"/>
          <w:highlight w:val="none"/>
        </w:rPr>
        <w:t>5.7.3答题结果统计</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各级管理人员可查看或导出学生答题结果、是否答题并对答题通过率进行查询统计。</w:t>
      </w:r>
    </w:p>
    <w:p>
      <w:pPr>
        <w:adjustRightInd w:val="0"/>
        <w:snapToGrid w:val="0"/>
        <w:spacing w:line="360" w:lineRule="auto"/>
        <w:ind w:firstLine="482" w:firstLineChars="200"/>
        <w:rPr>
          <w:rFonts w:ascii="宋体" w:hAnsi="宋体" w:eastAsia="宋体"/>
          <w:b/>
          <w:bCs/>
          <w:sz w:val="24"/>
          <w:szCs w:val="24"/>
          <w:highlight w:val="none"/>
        </w:rPr>
      </w:pPr>
      <w:r>
        <w:rPr>
          <w:rFonts w:ascii="宋体" w:hAnsi="宋体" w:eastAsia="宋体"/>
          <w:b/>
          <w:bCs/>
          <w:sz w:val="24"/>
          <w:szCs w:val="24"/>
          <w:highlight w:val="none"/>
        </w:rPr>
        <w:t>5.8一卡通照片采集管理</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提供一卡通照片采集管理功能，满足学校提前收集一卡通照片制卡需求。投标方需满足管理员设置照片上传大小、像素、格式等要求，并提供上传照片样例及上传说明设置功能。</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同时投标方需支持管理员设置批量下载照片的命名规则，支持照片采集情况查询及导出，支持学生照片批量下载。</w:t>
      </w:r>
    </w:p>
    <w:p>
      <w:pPr>
        <w:adjustRightInd w:val="0"/>
        <w:snapToGrid w:val="0"/>
        <w:spacing w:line="360" w:lineRule="auto"/>
        <w:ind w:firstLine="482" w:firstLineChars="200"/>
        <w:rPr>
          <w:rFonts w:ascii="宋体" w:hAnsi="宋体" w:eastAsia="宋体"/>
          <w:b/>
          <w:bCs/>
          <w:sz w:val="24"/>
          <w:szCs w:val="24"/>
          <w:highlight w:val="none"/>
        </w:rPr>
      </w:pPr>
      <w:r>
        <w:rPr>
          <w:rFonts w:ascii="宋体" w:hAnsi="宋体" w:eastAsia="宋体"/>
          <w:b/>
          <w:bCs/>
          <w:sz w:val="24"/>
          <w:szCs w:val="24"/>
          <w:highlight w:val="none"/>
        </w:rPr>
        <w:t>5.9迎新导航</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需支持新生迎新时，提供各个迎新环节办理地点的定位，便于指引新生快速前往办理。</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新生导航：能够在线查看各个迎新环节，及各个环节所在地点及办理状态。同时，通过地图导航，有效的为新生提供引导式的服务，大大提高新生报到效率。</w:t>
      </w:r>
    </w:p>
    <w:p>
      <w:pPr>
        <w:adjustRightInd w:val="0"/>
        <w:snapToGrid w:val="0"/>
        <w:spacing w:line="360" w:lineRule="auto"/>
        <w:ind w:firstLine="482" w:firstLineChars="200"/>
        <w:rPr>
          <w:rFonts w:ascii="宋体" w:hAnsi="宋体" w:eastAsia="宋体"/>
          <w:b/>
          <w:bCs/>
          <w:sz w:val="24"/>
          <w:szCs w:val="24"/>
          <w:highlight w:val="none"/>
        </w:rPr>
      </w:pPr>
      <w:r>
        <w:rPr>
          <w:rFonts w:ascii="宋体" w:hAnsi="宋体" w:eastAsia="宋体"/>
          <w:b/>
          <w:bCs/>
          <w:sz w:val="24"/>
          <w:szCs w:val="24"/>
          <w:highlight w:val="none"/>
        </w:rPr>
        <w:t>5.10实时大屏展示</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投标方需支持大屏集中展示迎新现场的学生报到情况，通过各种维度直观动态播放。</w:t>
      </w:r>
    </w:p>
    <w:p>
      <w:pPr>
        <w:adjustRightInd w:val="0"/>
        <w:snapToGrid w:val="0"/>
        <w:spacing w:line="360" w:lineRule="auto"/>
        <w:ind w:firstLine="482" w:firstLineChars="200"/>
        <w:rPr>
          <w:rFonts w:ascii="宋体" w:hAnsi="宋体" w:eastAsia="宋体"/>
          <w:b/>
          <w:bCs/>
          <w:sz w:val="24"/>
          <w:szCs w:val="24"/>
          <w:highlight w:val="none"/>
        </w:rPr>
      </w:pPr>
      <w:r>
        <w:rPr>
          <w:rFonts w:ascii="宋体" w:hAnsi="宋体" w:eastAsia="宋体"/>
          <w:b/>
          <w:bCs/>
          <w:sz w:val="24"/>
          <w:szCs w:val="24"/>
          <w:highlight w:val="none"/>
        </w:rPr>
        <w:t>5.11移动迎新</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1.新生报到：需支持新生报到的个人信息、二维码、公告、信息采集、到站登记、结伴同行、财务缴费、商品预定、一卡通照片上传、入学教育、军训服装、绿色通道、报到单、自定义服务等功能。</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2.迎新管理：需支持扫码办理、到校统计、报到统计、采集统计等。</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3.移动端支持微信模式。</w:t>
      </w:r>
    </w:p>
    <w:p>
      <w:pPr>
        <w:adjustRightInd w:val="0"/>
        <w:snapToGrid w:val="0"/>
        <w:spacing w:line="360" w:lineRule="auto"/>
        <w:ind w:firstLine="482" w:firstLineChars="200"/>
        <w:rPr>
          <w:rFonts w:ascii="宋体" w:hAnsi="宋体" w:eastAsia="宋体"/>
          <w:b/>
          <w:bCs/>
          <w:sz w:val="24"/>
          <w:szCs w:val="24"/>
          <w:highlight w:val="none"/>
        </w:rPr>
      </w:pPr>
      <w:r>
        <w:rPr>
          <w:rFonts w:ascii="宋体" w:hAnsi="宋体" w:eastAsia="宋体"/>
          <w:b/>
          <w:bCs/>
          <w:sz w:val="24"/>
          <w:szCs w:val="24"/>
          <w:highlight w:val="none"/>
        </w:rPr>
        <w:t>5.12信息化建设规范</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1.业务系统元数据标准要求</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业务系统涉及到的字典表数据公共部分应以《南京信息工程大学信息标准规范》为准，未在该标准中界定的字典，应符合相应国标和行标，个性化部分应符合学校业务发展需要，并协助学校将其制定为校标。</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color w:val="FF0000"/>
          <w:sz w:val="24"/>
          <w:szCs w:val="24"/>
          <w:highlight w:val="none"/>
        </w:rPr>
        <w:t>▲</w:t>
      </w:r>
      <w:r>
        <w:rPr>
          <w:rFonts w:ascii="宋体" w:hAnsi="宋体" w:eastAsia="宋体"/>
          <w:sz w:val="24"/>
          <w:szCs w:val="24"/>
          <w:highlight w:val="none"/>
        </w:rPr>
        <w:t>2.系统对接</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系统须根据网络信息中心要求，与我校统一身份认证系统对接，不允许使用系统自带的登录界面，不允许使用第二套用户账号及密码。根据校方使用需求，对接校园信息门户、企业微信号、消息统一发送平台等平台。</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3.数据共享</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业务系统产生的所有业务数据支持通过</w:t>
      </w:r>
      <w:r>
        <w:rPr>
          <w:rFonts w:ascii="宋体" w:hAnsi="宋体" w:eastAsia="宋体"/>
          <w:sz w:val="24"/>
          <w:szCs w:val="24"/>
          <w:highlight w:val="none"/>
        </w:rPr>
        <w:t>webservice/API接口或数据库方式对接，包括但不限于数据库表、视图、数据库字段说明。对于学校实时数据集成要求，需开放相关实时数据API接口及数据库相关权限。</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4.日志功能</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业务系统须按照等保</w:t>
      </w:r>
      <w:r>
        <w:rPr>
          <w:rFonts w:ascii="宋体" w:hAnsi="宋体" w:eastAsia="宋体"/>
          <w:sz w:val="24"/>
          <w:szCs w:val="24"/>
          <w:highlight w:val="none"/>
        </w:rPr>
        <w:t>3.0要求存储日志，须存储不少于6个月的日志，日志数据与业务数据一并推送校数据中心。</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5.系统安全</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业务系统需要按照等保</w:t>
      </w:r>
      <w:r>
        <w:rPr>
          <w:rFonts w:ascii="宋体" w:hAnsi="宋体" w:eastAsia="宋体"/>
          <w:sz w:val="24"/>
          <w:szCs w:val="24"/>
          <w:highlight w:val="none"/>
        </w:rPr>
        <w:t>3.0和校方相关要求，完成系统安全管控和人员配置。</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6.备案制度</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信息系统上线前需完成新系统上线安全检测，并出具检测报告；并配合网络信息中心按照相关法律和文件要求对信息系统进行定级备案。</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7.业务系统文档要求</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提供系统相关文档，包含但不限于需求说明书、系统详细设计报告、数据库设计说明书、用户手册、系统管理员手册、简明实用手册、系统验收报告、系统试运行报告、系统部署方案、系统应急预案等文档。</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8.其它要求</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质保期内按照校方实际需要能及时免费修改身份认证对接和数据共享要求。</w:t>
      </w:r>
    </w:p>
    <w:p>
      <w:pPr>
        <w:adjustRightInd w:val="0"/>
        <w:snapToGrid w:val="0"/>
        <w:spacing w:line="360" w:lineRule="auto"/>
        <w:ind w:firstLine="482" w:firstLineChars="200"/>
        <w:rPr>
          <w:rFonts w:ascii="宋体" w:hAnsi="宋体" w:eastAsia="宋体"/>
          <w:b/>
          <w:bCs/>
          <w:sz w:val="24"/>
          <w:szCs w:val="24"/>
          <w:highlight w:val="none"/>
        </w:rPr>
      </w:pPr>
      <w:r>
        <w:rPr>
          <w:rFonts w:ascii="宋体" w:hAnsi="宋体" w:eastAsia="宋体"/>
          <w:b/>
          <w:bCs/>
          <w:sz w:val="24"/>
          <w:szCs w:val="24"/>
          <w:highlight w:val="none"/>
        </w:rPr>
        <w:t>5.13其他要求</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color w:val="FF0000"/>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迎新系统支持人脸识别对接</w:t>
      </w:r>
      <w:r>
        <w:rPr>
          <w:rFonts w:hint="eastAsia" w:ascii="宋体" w:hAnsi="宋体" w:eastAsia="宋体"/>
          <w:sz w:val="24"/>
          <w:szCs w:val="24"/>
          <w:highlight w:val="none"/>
        </w:rPr>
        <w:t>。</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新生入学测试，支持题库管理，支持</w:t>
      </w:r>
      <w:r>
        <w:rPr>
          <w:rFonts w:hint="eastAsia" w:ascii="宋体" w:hAnsi="宋体" w:eastAsia="宋体"/>
          <w:sz w:val="24"/>
          <w:szCs w:val="24"/>
          <w:highlight w:val="none"/>
        </w:rPr>
        <w:t>管理员</w:t>
      </w:r>
      <w:r>
        <w:rPr>
          <w:rFonts w:ascii="宋体" w:hAnsi="宋体" w:eastAsia="宋体"/>
          <w:sz w:val="24"/>
          <w:szCs w:val="24"/>
          <w:highlight w:val="none"/>
        </w:rPr>
        <w:t>自行维护题库</w:t>
      </w:r>
      <w:r>
        <w:rPr>
          <w:rFonts w:hint="eastAsia" w:ascii="宋体" w:hAnsi="宋体" w:eastAsia="宋体"/>
          <w:sz w:val="24"/>
          <w:szCs w:val="24"/>
          <w:highlight w:val="none"/>
        </w:rPr>
        <w:t>。</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支持新生照片采集</w:t>
      </w:r>
      <w:r>
        <w:rPr>
          <w:rFonts w:hint="eastAsia" w:ascii="宋体" w:hAnsi="宋体" w:eastAsia="宋体"/>
          <w:sz w:val="24"/>
          <w:szCs w:val="24"/>
          <w:highlight w:val="none"/>
        </w:rPr>
        <w:t>。</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关于各类数据问题，管理员等基础信息对接校方IDS，再由迎新系统进行具体授权；新生基础数据通过数据导入方式，由学工处和研究生</w:t>
      </w:r>
      <w:r>
        <w:rPr>
          <w:rFonts w:hint="eastAsia" w:ascii="宋体" w:hAnsi="宋体" w:eastAsia="宋体"/>
          <w:sz w:val="24"/>
          <w:szCs w:val="24"/>
          <w:highlight w:val="none"/>
        </w:rPr>
        <w:t>工作</w:t>
      </w:r>
      <w:r>
        <w:rPr>
          <w:rFonts w:ascii="宋体" w:hAnsi="宋体" w:eastAsia="宋体"/>
          <w:sz w:val="24"/>
          <w:szCs w:val="24"/>
          <w:highlight w:val="none"/>
        </w:rPr>
        <w:t>部直接导入</w:t>
      </w:r>
      <w:r>
        <w:rPr>
          <w:rFonts w:hint="eastAsia" w:ascii="宋体" w:hAnsi="宋体" w:eastAsia="宋体"/>
          <w:sz w:val="24"/>
          <w:szCs w:val="24"/>
          <w:highlight w:val="none"/>
        </w:rPr>
        <w:t>，或对部分数据进行</w:t>
      </w:r>
      <w:r>
        <w:rPr>
          <w:rFonts w:ascii="宋体" w:hAnsi="宋体" w:eastAsia="宋体"/>
          <w:sz w:val="24"/>
          <w:szCs w:val="24"/>
          <w:highlight w:val="none"/>
        </w:rPr>
        <w:t>修改；财务缴费数据和数据中心对接，获取应缴和已缴费数据；学生宿舍信息通过对接宿舍管理系统获取（和数据中心对接）</w:t>
      </w:r>
      <w:r>
        <w:rPr>
          <w:rFonts w:hint="eastAsia" w:ascii="宋体" w:hAnsi="宋体" w:eastAsia="宋体"/>
          <w:sz w:val="24"/>
          <w:szCs w:val="24"/>
          <w:highlight w:val="none"/>
        </w:rPr>
        <w:t>。</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color w:val="FF0000"/>
          <w:sz w:val="24"/>
          <w:szCs w:val="24"/>
          <w:highlight w:val="none"/>
        </w:rPr>
        <w:t>▲</w:t>
      </w: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关于数据大屏展示，学校要求在同一大屏同时显示本科生和硕博士（不同批次）的报到人数</w:t>
      </w:r>
      <w:r>
        <w:rPr>
          <w:rFonts w:hint="eastAsia" w:ascii="宋体" w:hAnsi="宋体" w:eastAsia="宋体"/>
          <w:sz w:val="24"/>
          <w:szCs w:val="24"/>
          <w:highlight w:val="none"/>
        </w:rPr>
        <w:t>，</w:t>
      </w:r>
      <w:r>
        <w:rPr>
          <w:rFonts w:ascii="宋体" w:hAnsi="宋体" w:eastAsia="宋体"/>
          <w:sz w:val="24"/>
          <w:szCs w:val="24"/>
          <w:highlight w:val="none"/>
        </w:rPr>
        <w:t>不轮播，UI由校方与公司共同确定定制</w:t>
      </w:r>
      <w:r>
        <w:rPr>
          <w:rFonts w:hint="eastAsia" w:ascii="宋体" w:hAnsi="宋体" w:eastAsia="宋体"/>
          <w:sz w:val="24"/>
          <w:szCs w:val="24"/>
          <w:highlight w:val="none"/>
        </w:rPr>
        <w:t>。</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关于消息推送，免费提供“消息推送”服务模块，实现对不同批次、不同学院、全体新生等范围学生提供定向推送</w:t>
      </w:r>
      <w:r>
        <w:rPr>
          <w:rFonts w:hint="eastAsia" w:ascii="宋体" w:hAnsi="宋体" w:eastAsia="宋体"/>
          <w:sz w:val="24"/>
          <w:szCs w:val="24"/>
          <w:highlight w:val="none"/>
        </w:rPr>
        <w:t>。</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w:t>
      </w:r>
      <w:r>
        <w:rPr>
          <w:rFonts w:ascii="宋体" w:hAnsi="宋体" w:eastAsia="宋体"/>
          <w:sz w:val="24"/>
          <w:szCs w:val="24"/>
          <w:highlight w:val="none"/>
        </w:rPr>
        <w:t>移动迎新和微信集成，同时提供APP及网页版系统，供学生自主选择，同时若有需求要与“易班”对接。</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8</w:t>
      </w:r>
      <w:r>
        <w:rPr>
          <w:rFonts w:hint="eastAsia" w:ascii="宋体" w:hAnsi="宋体" w:eastAsia="宋体"/>
          <w:sz w:val="24"/>
          <w:szCs w:val="24"/>
          <w:highlight w:val="none"/>
        </w:rPr>
        <w:t>.</w:t>
      </w:r>
      <w:r>
        <w:rPr>
          <w:rFonts w:ascii="宋体" w:hAnsi="宋体" w:eastAsia="宋体"/>
          <w:sz w:val="24"/>
          <w:szCs w:val="24"/>
          <w:highlight w:val="none"/>
        </w:rPr>
        <w:t>系统可由学工处和研究生</w:t>
      </w:r>
      <w:r>
        <w:rPr>
          <w:rFonts w:hint="eastAsia" w:ascii="宋体" w:hAnsi="宋体" w:eastAsia="宋体"/>
          <w:sz w:val="24"/>
          <w:szCs w:val="24"/>
          <w:highlight w:val="none"/>
        </w:rPr>
        <w:t>工作</w:t>
      </w:r>
      <w:r>
        <w:rPr>
          <w:rFonts w:ascii="宋体" w:hAnsi="宋体" w:eastAsia="宋体"/>
          <w:sz w:val="24"/>
          <w:szCs w:val="24"/>
          <w:highlight w:val="none"/>
        </w:rPr>
        <w:t>部进行权限分配，可以按</w:t>
      </w:r>
      <w:r>
        <w:rPr>
          <w:rFonts w:hint="eastAsia" w:ascii="宋体" w:hAnsi="宋体" w:eastAsia="宋体"/>
          <w:sz w:val="24"/>
          <w:szCs w:val="24"/>
          <w:highlight w:val="none"/>
        </w:rPr>
        <w:t>部门、学院、</w:t>
      </w:r>
      <w:r>
        <w:rPr>
          <w:rFonts w:ascii="宋体" w:hAnsi="宋体" w:eastAsia="宋体"/>
          <w:sz w:val="24"/>
          <w:szCs w:val="24"/>
          <w:highlight w:val="none"/>
        </w:rPr>
        <w:t>学生宿舍楼栋、不同批次、不同校区等维度对迎新工作人员授权（查询统计权限</w:t>
      </w:r>
      <w:r>
        <w:rPr>
          <w:rFonts w:hint="eastAsia" w:ascii="宋体" w:hAnsi="宋体" w:eastAsia="宋体"/>
          <w:sz w:val="24"/>
          <w:szCs w:val="24"/>
          <w:highlight w:val="none"/>
        </w:rPr>
        <w:t>，</w:t>
      </w:r>
      <w:r>
        <w:rPr>
          <w:rFonts w:ascii="宋体" w:hAnsi="宋体" w:eastAsia="宋体"/>
          <w:sz w:val="24"/>
          <w:szCs w:val="24"/>
          <w:highlight w:val="none"/>
        </w:rPr>
        <w:t>宿舍办理授权</w:t>
      </w:r>
      <w:r>
        <w:rPr>
          <w:rFonts w:hint="eastAsia" w:ascii="宋体" w:hAnsi="宋体" w:eastAsia="宋体"/>
          <w:sz w:val="24"/>
          <w:szCs w:val="24"/>
          <w:highlight w:val="none"/>
        </w:rPr>
        <w:t>，</w:t>
      </w:r>
      <w:r>
        <w:rPr>
          <w:rFonts w:ascii="宋体" w:hAnsi="宋体" w:eastAsia="宋体"/>
          <w:sz w:val="24"/>
          <w:szCs w:val="24"/>
          <w:highlight w:val="none"/>
        </w:rPr>
        <w:t>保卫处查询军训服装、到站统计</w:t>
      </w:r>
      <w:r>
        <w:rPr>
          <w:rFonts w:hint="eastAsia" w:ascii="宋体" w:hAnsi="宋体" w:eastAsia="宋体"/>
          <w:sz w:val="24"/>
          <w:szCs w:val="24"/>
          <w:highlight w:val="none"/>
        </w:rPr>
        <w:t>等</w:t>
      </w:r>
      <w:r>
        <w:rPr>
          <w:rFonts w:ascii="宋体" w:hAnsi="宋体" w:eastAsia="宋体"/>
          <w:sz w:val="24"/>
          <w:szCs w:val="24"/>
          <w:highlight w:val="none"/>
        </w:rPr>
        <w:t>）。</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9</w:t>
      </w:r>
      <w:r>
        <w:rPr>
          <w:rFonts w:hint="eastAsia" w:ascii="宋体" w:hAnsi="宋体" w:eastAsia="宋体"/>
          <w:sz w:val="24"/>
          <w:szCs w:val="24"/>
          <w:highlight w:val="none"/>
        </w:rPr>
        <w:t>.</w:t>
      </w:r>
      <w:r>
        <w:rPr>
          <w:rFonts w:ascii="宋体" w:hAnsi="宋体" w:eastAsia="宋体"/>
          <w:sz w:val="24"/>
          <w:szCs w:val="24"/>
          <w:highlight w:val="none"/>
        </w:rPr>
        <w:t>返校的相关信息在迎新信息采集里添加字段做采集。</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支持定制开发，预留1</w:t>
      </w:r>
      <w:r>
        <w:rPr>
          <w:rFonts w:hint="eastAsia" w:ascii="宋体" w:hAnsi="宋体" w:eastAsia="宋体"/>
          <w:sz w:val="24"/>
          <w:szCs w:val="24"/>
          <w:highlight w:val="none"/>
        </w:rPr>
        <w:t>个</w:t>
      </w:r>
      <w:r>
        <w:rPr>
          <w:rFonts w:ascii="宋体" w:hAnsi="宋体" w:eastAsia="宋体"/>
          <w:sz w:val="24"/>
          <w:szCs w:val="24"/>
          <w:highlight w:val="none"/>
        </w:rPr>
        <w:t>月的工作量。</w:t>
      </w:r>
      <w:r>
        <w:rPr>
          <w:rFonts w:hint="eastAsia" w:ascii="宋体" w:hAnsi="宋体" w:eastAsia="宋体"/>
          <w:sz w:val="24"/>
          <w:szCs w:val="24"/>
          <w:highlight w:val="none"/>
        </w:rPr>
        <w:t>同时，</w:t>
      </w:r>
      <w:r>
        <w:rPr>
          <w:rFonts w:ascii="宋体" w:hAnsi="宋体" w:eastAsia="宋体"/>
          <w:sz w:val="24"/>
          <w:szCs w:val="24"/>
          <w:highlight w:val="none"/>
        </w:rPr>
        <w:t>系统预留开发空间，需预留一定的表单量，基本可满足我校个性化发展需求</w:t>
      </w:r>
      <w:r>
        <w:rPr>
          <w:rFonts w:hint="eastAsia" w:ascii="宋体" w:hAnsi="宋体" w:eastAsia="宋体"/>
          <w:sz w:val="24"/>
          <w:szCs w:val="24"/>
          <w:highlight w:val="none"/>
        </w:rPr>
        <w:t>。</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11</w:t>
      </w:r>
      <w:r>
        <w:rPr>
          <w:rFonts w:hint="eastAsia" w:ascii="宋体" w:hAnsi="宋体" w:eastAsia="宋体"/>
          <w:sz w:val="24"/>
          <w:szCs w:val="24"/>
          <w:highlight w:val="none"/>
        </w:rPr>
        <w:t>.</w:t>
      </w:r>
      <w:r>
        <w:rPr>
          <w:rFonts w:ascii="宋体" w:hAnsi="宋体" w:eastAsia="宋体"/>
          <w:sz w:val="24"/>
          <w:szCs w:val="24"/>
          <w:highlight w:val="none"/>
        </w:rPr>
        <w:t>有些字段需支持可选择</w:t>
      </w:r>
      <w:r>
        <w:rPr>
          <w:rFonts w:hint="eastAsia" w:ascii="宋体" w:hAnsi="宋体" w:eastAsia="宋体"/>
          <w:sz w:val="24"/>
          <w:szCs w:val="24"/>
          <w:highlight w:val="none"/>
        </w:rPr>
        <w:t>、可联动，</w:t>
      </w:r>
      <w:r>
        <w:rPr>
          <w:rFonts w:ascii="宋体" w:hAnsi="宋体" w:eastAsia="宋体"/>
          <w:sz w:val="24"/>
          <w:szCs w:val="24"/>
          <w:highlight w:val="none"/>
        </w:rPr>
        <w:t>如家庭住址</w:t>
      </w:r>
      <w:r>
        <w:rPr>
          <w:rFonts w:hint="eastAsia" w:ascii="宋体" w:hAnsi="宋体" w:eastAsia="宋体"/>
          <w:sz w:val="24"/>
          <w:szCs w:val="24"/>
          <w:highlight w:val="none"/>
        </w:rPr>
        <w:t>中</w:t>
      </w:r>
      <w:r>
        <w:rPr>
          <w:rFonts w:ascii="宋体" w:hAnsi="宋体" w:eastAsia="宋体"/>
          <w:sz w:val="24"/>
          <w:szCs w:val="24"/>
          <w:highlight w:val="none"/>
        </w:rPr>
        <w:t>省</w:t>
      </w:r>
      <w:r>
        <w:rPr>
          <w:rFonts w:hint="eastAsia" w:ascii="宋体" w:hAnsi="宋体" w:eastAsia="宋体"/>
          <w:sz w:val="24"/>
          <w:szCs w:val="24"/>
          <w:highlight w:val="none"/>
        </w:rPr>
        <w:t>、</w:t>
      </w:r>
      <w:r>
        <w:rPr>
          <w:rFonts w:ascii="宋体" w:hAnsi="宋体" w:eastAsia="宋体"/>
          <w:sz w:val="24"/>
          <w:szCs w:val="24"/>
          <w:highlight w:val="none"/>
        </w:rPr>
        <w:t>市</w:t>
      </w:r>
      <w:r>
        <w:rPr>
          <w:rFonts w:hint="eastAsia" w:ascii="宋体" w:hAnsi="宋体" w:eastAsia="宋体"/>
          <w:sz w:val="24"/>
          <w:szCs w:val="24"/>
          <w:highlight w:val="none"/>
        </w:rPr>
        <w:t>、</w:t>
      </w:r>
      <w:r>
        <w:rPr>
          <w:rFonts w:ascii="宋体" w:hAnsi="宋体" w:eastAsia="宋体"/>
          <w:sz w:val="24"/>
          <w:szCs w:val="24"/>
          <w:highlight w:val="none"/>
        </w:rPr>
        <w:t>区县</w:t>
      </w:r>
      <w:r>
        <w:rPr>
          <w:rFonts w:hint="eastAsia" w:ascii="宋体" w:hAnsi="宋体" w:eastAsia="宋体"/>
          <w:sz w:val="24"/>
          <w:szCs w:val="24"/>
          <w:highlight w:val="none"/>
        </w:rPr>
        <w:t>、</w:t>
      </w:r>
      <w:r>
        <w:rPr>
          <w:rFonts w:ascii="宋体" w:hAnsi="宋体" w:eastAsia="宋体"/>
          <w:sz w:val="24"/>
          <w:szCs w:val="24"/>
          <w:highlight w:val="none"/>
        </w:rPr>
        <w:t>街道</w:t>
      </w:r>
      <w:r>
        <w:rPr>
          <w:rFonts w:hint="eastAsia" w:ascii="宋体" w:hAnsi="宋体" w:eastAsia="宋体"/>
          <w:sz w:val="24"/>
          <w:szCs w:val="24"/>
          <w:highlight w:val="none"/>
        </w:rPr>
        <w:t>等可用下拉选项并自动关联；如“民族”可</w:t>
      </w:r>
      <w:r>
        <w:rPr>
          <w:rFonts w:ascii="宋体" w:hAnsi="宋体" w:eastAsia="宋体"/>
          <w:sz w:val="24"/>
          <w:szCs w:val="24"/>
          <w:highlight w:val="none"/>
        </w:rPr>
        <w:t>用下拉选项</w:t>
      </w:r>
      <w:r>
        <w:rPr>
          <w:rFonts w:hint="eastAsia" w:ascii="宋体" w:hAnsi="宋体" w:eastAsia="宋体"/>
          <w:sz w:val="24"/>
          <w:szCs w:val="24"/>
          <w:highlight w:val="none"/>
        </w:rPr>
        <w:t>，并在选择“维吾尔族”时同时可要求增填其它信息</w:t>
      </w:r>
      <w:r>
        <w:rPr>
          <w:rFonts w:ascii="宋体" w:hAnsi="宋体" w:eastAsia="宋体"/>
          <w:sz w:val="24"/>
          <w:szCs w:val="24"/>
          <w:highlight w:val="none"/>
        </w:rPr>
        <w:t>等。</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12</w:t>
      </w:r>
      <w:r>
        <w:rPr>
          <w:rFonts w:hint="eastAsia" w:ascii="宋体" w:hAnsi="宋体" w:eastAsia="宋体"/>
          <w:sz w:val="24"/>
          <w:szCs w:val="24"/>
          <w:highlight w:val="none"/>
        </w:rPr>
        <w:t>.生活用品订购，</w:t>
      </w:r>
      <w:r>
        <w:rPr>
          <w:rFonts w:ascii="宋体" w:hAnsi="宋体" w:eastAsia="宋体"/>
          <w:sz w:val="24"/>
          <w:szCs w:val="24"/>
          <w:highlight w:val="none"/>
        </w:rPr>
        <w:t>系统可设置每生订购上限，避免出现重复订购；能够设置订购截止</w:t>
      </w:r>
      <w:r>
        <w:rPr>
          <w:rFonts w:hint="eastAsia" w:ascii="宋体" w:hAnsi="宋体" w:eastAsia="宋体"/>
          <w:sz w:val="24"/>
          <w:szCs w:val="24"/>
          <w:highlight w:val="none"/>
        </w:rPr>
        <w:t>时间</w:t>
      </w:r>
      <w:r>
        <w:rPr>
          <w:rFonts w:ascii="宋体" w:hAnsi="宋体" w:eastAsia="宋体"/>
          <w:sz w:val="24"/>
          <w:szCs w:val="24"/>
          <w:highlight w:val="none"/>
        </w:rPr>
        <w:t>，系统可以自主设置。</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13</w:t>
      </w:r>
      <w:r>
        <w:rPr>
          <w:rFonts w:hint="eastAsia" w:ascii="宋体" w:hAnsi="宋体" w:eastAsia="宋体"/>
          <w:sz w:val="24"/>
          <w:szCs w:val="24"/>
          <w:highlight w:val="none"/>
        </w:rPr>
        <w:t>.</w:t>
      </w:r>
      <w:r>
        <w:rPr>
          <w:rFonts w:ascii="宋体" w:hAnsi="宋体" w:eastAsia="宋体"/>
          <w:sz w:val="24"/>
          <w:szCs w:val="24"/>
          <w:highlight w:val="none"/>
        </w:rPr>
        <w:t>绿色通道在申请信息中，增加必填项：“是否贫困”（下拉选项：是/否），“困难类型”（下拉选项</w:t>
      </w:r>
      <w:r>
        <w:rPr>
          <w:rFonts w:hint="eastAsia" w:ascii="宋体" w:hAnsi="宋体" w:eastAsia="宋体"/>
          <w:sz w:val="24"/>
          <w:szCs w:val="24"/>
          <w:highlight w:val="none"/>
        </w:rPr>
        <w:t>，可多选</w:t>
      </w:r>
      <w:r>
        <w:rPr>
          <w:rFonts w:ascii="宋体" w:hAnsi="宋体" w:eastAsia="宋体"/>
          <w:sz w:val="24"/>
          <w:szCs w:val="24"/>
          <w:highlight w:val="none"/>
        </w:rPr>
        <w:t>：孤儿、残疾学生、残疾人子女、建档立卡家庭、低保家庭、特困救助供养学生、特困职工家庭子女、因公牺牲警察子女、享受国家定期抚恤补助的优抚对象子女、其他）</w:t>
      </w:r>
      <w:r>
        <w:rPr>
          <w:rFonts w:hint="eastAsia" w:ascii="宋体" w:hAnsi="宋体" w:eastAsia="宋体"/>
          <w:sz w:val="24"/>
          <w:szCs w:val="24"/>
          <w:highlight w:val="none"/>
        </w:rPr>
        <w:t>；同时，</w:t>
      </w:r>
      <w:r>
        <w:rPr>
          <w:rFonts w:ascii="宋体" w:hAnsi="宋体" w:eastAsia="宋体"/>
          <w:sz w:val="24"/>
          <w:szCs w:val="24"/>
          <w:highlight w:val="none"/>
        </w:rPr>
        <w:t>“缓缴类别”“缓缴金额”“应缴金额”“申请陈述”</w:t>
      </w:r>
      <w:r>
        <w:rPr>
          <w:rFonts w:hint="eastAsia" w:ascii="宋体" w:hAnsi="宋体" w:eastAsia="宋体"/>
          <w:sz w:val="24"/>
          <w:szCs w:val="24"/>
          <w:highlight w:val="none"/>
        </w:rPr>
        <w:t>等</w:t>
      </w:r>
      <w:r>
        <w:rPr>
          <w:rFonts w:ascii="宋体" w:hAnsi="宋体" w:eastAsia="宋体"/>
          <w:sz w:val="24"/>
          <w:szCs w:val="24"/>
          <w:highlight w:val="none"/>
        </w:rPr>
        <w:t>字段</w:t>
      </w:r>
      <w:r>
        <w:rPr>
          <w:rFonts w:hint="eastAsia" w:ascii="宋体" w:hAnsi="宋体" w:eastAsia="宋体"/>
          <w:sz w:val="24"/>
          <w:szCs w:val="24"/>
          <w:highlight w:val="none"/>
        </w:rPr>
        <w:t>可</w:t>
      </w:r>
      <w:r>
        <w:rPr>
          <w:rFonts w:ascii="宋体" w:hAnsi="宋体" w:eastAsia="宋体"/>
          <w:sz w:val="24"/>
          <w:szCs w:val="24"/>
          <w:highlight w:val="none"/>
        </w:rPr>
        <w:t>设置为必填项。</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14</w:t>
      </w:r>
      <w:r>
        <w:rPr>
          <w:rFonts w:hint="eastAsia" w:ascii="宋体" w:hAnsi="宋体" w:eastAsia="宋体"/>
          <w:sz w:val="24"/>
          <w:szCs w:val="24"/>
          <w:highlight w:val="none"/>
        </w:rPr>
        <w:t>.</w:t>
      </w:r>
      <w:r>
        <w:rPr>
          <w:rFonts w:hint="eastAsia" w:ascii="宋体" w:hAnsi="宋体" w:eastAsia="宋体"/>
          <w:color w:val="FF0000"/>
          <w:sz w:val="24"/>
          <w:szCs w:val="24"/>
          <w:highlight w:val="none"/>
        </w:rPr>
        <w:t>▲</w:t>
      </w:r>
      <w:r>
        <w:rPr>
          <w:rFonts w:hint="eastAsia" w:ascii="宋体" w:hAnsi="宋体" w:eastAsia="宋体"/>
          <w:sz w:val="24"/>
          <w:szCs w:val="24"/>
          <w:highlight w:val="none"/>
        </w:rPr>
        <w:t>可以自定义迎新信息采集模块所采集的字段，可以通过勾选的方式，快速自定义信息采集内容；用户可自行设置联动信息采集项，或服务期内每年提供</w:t>
      </w:r>
      <w:r>
        <w:rPr>
          <w:rFonts w:ascii="宋体" w:hAnsi="宋体" w:eastAsia="宋体"/>
          <w:sz w:val="24"/>
          <w:szCs w:val="24"/>
          <w:highlight w:val="none"/>
        </w:rPr>
        <w:t>20项联动信息采集项的定制。</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15</w:t>
      </w:r>
      <w:r>
        <w:rPr>
          <w:rFonts w:hint="eastAsia" w:ascii="宋体" w:hAnsi="宋体" w:eastAsia="宋体"/>
          <w:sz w:val="24"/>
          <w:szCs w:val="24"/>
          <w:highlight w:val="none"/>
        </w:rPr>
        <w:t>.</w:t>
      </w:r>
      <w:r>
        <w:rPr>
          <w:rFonts w:ascii="宋体" w:hAnsi="宋体" w:eastAsia="宋体"/>
          <w:sz w:val="24"/>
          <w:szCs w:val="24"/>
          <w:highlight w:val="none"/>
        </w:rPr>
        <w:t>关于批次和校区问题，系统可自主设置批次，实现不同的报</w:t>
      </w:r>
      <w:r>
        <w:rPr>
          <w:rFonts w:hint="eastAsia" w:ascii="宋体" w:hAnsi="宋体" w:eastAsia="宋体"/>
          <w:sz w:val="24"/>
          <w:szCs w:val="24"/>
          <w:highlight w:val="none"/>
        </w:rPr>
        <w:t>到</w:t>
      </w:r>
      <w:r>
        <w:rPr>
          <w:rFonts w:ascii="宋体" w:hAnsi="宋体" w:eastAsia="宋体"/>
          <w:sz w:val="24"/>
          <w:szCs w:val="24"/>
          <w:highlight w:val="none"/>
        </w:rPr>
        <w:t>流程；系统支持不同校区同时报到或分批次报到，同时在数据展示大屏UI设计时考虑多批次和多校区的问题。</w:t>
      </w:r>
    </w:p>
    <w:p>
      <w:pPr>
        <w:adjustRightInd w:val="0"/>
        <w:snapToGrid w:val="0"/>
        <w:spacing w:line="360" w:lineRule="auto"/>
        <w:ind w:firstLine="560" w:firstLineChars="200"/>
        <w:rPr>
          <w:rFonts w:ascii="黑体" w:hAnsi="黑体" w:eastAsia="黑体"/>
          <w:sz w:val="28"/>
          <w:szCs w:val="28"/>
          <w:highlight w:val="none"/>
        </w:rPr>
      </w:pPr>
      <w:r>
        <w:rPr>
          <w:rFonts w:hint="eastAsia" w:ascii="黑体" w:hAnsi="黑体" w:eastAsia="黑体"/>
          <w:sz w:val="28"/>
          <w:szCs w:val="28"/>
          <w:highlight w:val="none"/>
        </w:rPr>
        <w:t>六、其他要求</w:t>
      </w:r>
    </w:p>
    <w:p>
      <w:pPr>
        <w:adjustRightInd w:val="0"/>
        <w:snapToGrid w:val="0"/>
        <w:spacing w:line="360" w:lineRule="auto"/>
        <w:ind w:firstLine="482" w:firstLineChars="200"/>
        <w:rPr>
          <w:rFonts w:ascii="宋体" w:hAnsi="宋体" w:eastAsia="宋体"/>
          <w:b/>
          <w:bCs/>
          <w:sz w:val="24"/>
          <w:szCs w:val="24"/>
          <w:highlight w:val="none"/>
        </w:rPr>
      </w:pPr>
      <w:r>
        <w:rPr>
          <w:rFonts w:ascii="宋体" w:hAnsi="宋体" w:eastAsia="宋体"/>
          <w:b/>
          <w:bCs/>
          <w:sz w:val="24"/>
          <w:szCs w:val="24"/>
          <w:highlight w:val="none"/>
        </w:rPr>
        <w:t>6.1实施方案及知识产权承诺</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投标人承诺向学校提供的系统部署实施方案，符合学校实际情况，并能通过相关管理部门的评估，完全符合现场实施要求。</w:t>
      </w:r>
      <w:r>
        <w:rPr>
          <w:rFonts w:ascii="宋体" w:hAnsi="宋体" w:eastAsia="宋体"/>
          <w:sz w:val="24"/>
          <w:szCs w:val="24"/>
          <w:highlight w:val="none"/>
        </w:rPr>
        <w:t>投标人对其提供软件产品和服务的合法性负责，保证其对提供的软件产品拥有合法的使用权，保证采购人人在使用时无需再行获得第三方的许可，无需向第三方支付任何报酬或费用。如因投标人提供的软件产品或服务的知识产权引起与第三方的纠纷，由投标人负责处理，并承担全部法律责任。</w:t>
      </w:r>
    </w:p>
    <w:p>
      <w:pPr>
        <w:adjustRightInd w:val="0"/>
        <w:snapToGrid w:val="0"/>
        <w:spacing w:line="360" w:lineRule="auto"/>
        <w:ind w:firstLine="482" w:firstLineChars="200"/>
        <w:rPr>
          <w:rFonts w:ascii="宋体" w:hAnsi="宋体" w:eastAsia="宋体"/>
          <w:b/>
          <w:bCs/>
          <w:sz w:val="24"/>
          <w:szCs w:val="24"/>
          <w:highlight w:val="none"/>
        </w:rPr>
      </w:pPr>
      <w:r>
        <w:rPr>
          <w:rFonts w:ascii="宋体" w:hAnsi="宋体" w:eastAsia="宋体"/>
          <w:b/>
          <w:bCs/>
          <w:sz w:val="24"/>
          <w:szCs w:val="24"/>
          <w:highlight w:val="none"/>
        </w:rPr>
        <w:t>6.2等保及安全</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应用（系统）正式上线前，须按定级后的等保要求，经安全检测，符合要求后方可上线运行。根据技术发展或业务需要，及时提供相关安全升级服务。</w:t>
      </w:r>
    </w:p>
    <w:p>
      <w:pPr>
        <w:adjustRightInd w:val="0"/>
        <w:snapToGrid w:val="0"/>
        <w:spacing w:line="360" w:lineRule="auto"/>
        <w:ind w:firstLine="482" w:firstLineChars="200"/>
        <w:rPr>
          <w:rFonts w:ascii="宋体" w:hAnsi="宋体" w:eastAsia="宋体"/>
          <w:b/>
          <w:bCs/>
          <w:sz w:val="24"/>
          <w:szCs w:val="24"/>
          <w:highlight w:val="none"/>
        </w:rPr>
      </w:pPr>
      <w:r>
        <w:rPr>
          <w:rFonts w:ascii="宋体" w:hAnsi="宋体" w:eastAsia="宋体"/>
          <w:b/>
          <w:bCs/>
          <w:sz w:val="24"/>
          <w:szCs w:val="24"/>
          <w:highlight w:val="none"/>
        </w:rPr>
        <w:t>6.3人员配置及管理要求以及实施要求</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投标人应按照项目规模合理配置相当数量的专业技术人员组成项目团队，项目团队人员应专业配套齐全并提供人员专业资质资格证书，包括但不限于高级项目证书、项目经理证书等（资格证书复印件须盖章）。项目团队组成人员必须为投标人单位正常聘用的员工，严禁使用挂靠人员，并提供详细明确的人员信息（包括服务人员身份证复印件等）。投标人在本项目中原则上须配置1名经验丰富的项目负责人与用户保持密切沟通和协调项目事宜。</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2.拟投入本项目的技术人员须提供在投标人单位连续缴纳近三个月社会保险的证明，并提供完善的身份信息，一旦中标不得随意更换技术人员。</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3.本项目负责人须提供在投标人单位连续缴纳近三个月的社会保险的缴费证明，并提供完善的身份信息，一旦中标不得更换。</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实施过程管控要求：</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基于本项目为学校信息化建设的重点支撑，投标方的项目实施计划及过程进度管控能力是项目成败的关键，因此需要投标方提供或开发针对项目的详细进度计划管理工具软件或系统，对详细进度计划涉及的功能模块、任务、时间节点、人员进行精细化管理，且支持开放给采购人使用，方便双方项目团队成员以工程项目为基础，对项目实施计划及项目计划任务执行情况进行跟踪及反馈，对项目实施过程中出现的问题及其处理过程进行完整记录，并可对于项目交付物统一管理，项目汇报规范，交付过程项目团队响应和解决及计划完成有效监控，使项目交付过程面向校方全程开放。工程过程管控过程需要提供：</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以学校领导为视角的项目综合看板，可查看本学校内所有项目的当前状态、热门应用的TOP5排名情况、校内所有项目问题及投诉的实时处理进展、以及每一项目的建设周期、干系人、进度任务、问题、投诉、配置库等信息；</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以业务老师为视角的项目信息管理，可查看个人负责和参与的所有项目，以及每一项目的建设周期、干系人、进度任务、问题、投诉、配置库等信息；</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支持对对实施进度及实施任务执行情况追踪，可以新建任务、添加任务执行过程、完成任务已经任务完成确认等，可集中管理该项目下所有产品的实施进度任务，包含里程碑任务、工程任务、客户任务以及个人任务等；</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应支持记录项目实施中的日报、周报、月报等工作过程，在实施人员填写完成后，用户可以直接查看，还可对工作记录进行批注，提高信息透明度；</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对于项目中出现的重大问题，用户可以直接通过平台进行投诉，提交投诉后，投标方公司的专业运营团队进行跟踪处理，受理投诉内容，并及时反馈解决进度及解决方案，直至校方满意并主动关闭投诉为止；</w:t>
      </w:r>
    </w:p>
    <w:p>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以业务人员为视角的项目过程管控工具，可查看个人负责和参与的所有项目，以及每一项目的建设周期、干系人、进度任务、问题、投诉、配置库等信息。</w:t>
      </w:r>
    </w:p>
    <w:p>
      <w:pPr>
        <w:adjustRightInd w:val="0"/>
        <w:snapToGrid w:val="0"/>
        <w:spacing w:line="360" w:lineRule="auto"/>
        <w:ind w:firstLine="480" w:firstLineChars="200"/>
        <w:rPr>
          <w:rFonts w:ascii="宋体" w:hAnsi="宋体" w:eastAsia="宋体"/>
          <w:sz w:val="24"/>
          <w:szCs w:val="24"/>
          <w:highlight w:val="none"/>
        </w:rPr>
      </w:pPr>
    </w:p>
    <w:p>
      <w:pPr>
        <w:widowControl/>
        <w:jc w:val="left"/>
        <w:rPr>
          <w:rFonts w:hAnsi="宋体"/>
          <w:b/>
          <w:sz w:val="28"/>
          <w:szCs w:val="28"/>
          <w:highlight w:val="none"/>
        </w:rPr>
      </w:pPr>
      <w:r>
        <w:rPr>
          <w:rFonts w:hAnsi="宋体"/>
          <w:b/>
          <w:sz w:val="28"/>
          <w:szCs w:val="28"/>
          <w:highlight w:val="none"/>
        </w:rPr>
        <w:br w:type="page"/>
      </w: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ind w:firstLine="470"/>
        <w:rPr>
          <w:rFonts w:ascii="宋体" w:hAnsi="宋体"/>
          <w:b/>
          <w:sz w:val="24"/>
          <w:highlight w:val="none"/>
          <w:lang w:val="zh-CN"/>
        </w:rPr>
      </w:pPr>
      <w:bookmarkStart w:id="9" w:name="_Hlk9862420"/>
    </w:p>
    <w:p>
      <w:pPr>
        <w:autoSpaceDE w:val="0"/>
        <w:autoSpaceDN w:val="0"/>
        <w:adjustRightInd w:val="0"/>
        <w:spacing w:line="360" w:lineRule="exact"/>
        <w:ind w:firstLine="723" w:firstLineChars="200"/>
        <w:jc w:val="center"/>
        <w:outlineLvl w:val="0"/>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ind w:firstLine="470"/>
        <w:outlineLvl w:val="0"/>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w:t>
      </w:r>
      <w:r>
        <w:rPr>
          <w:rFonts w:hint="eastAsia" w:ascii="宋体" w:hAnsi="宋体"/>
          <w:sz w:val="24"/>
          <w:highlight w:val="none"/>
          <w:u w:val="single"/>
          <w:lang w:val="zh-CN"/>
        </w:rPr>
        <w:t xml:space="preserve">                   </w:t>
      </w:r>
      <w:r>
        <w:rPr>
          <w:rFonts w:hint="eastAsia" w:ascii="宋体" w:hAnsi="宋体"/>
          <w:sz w:val="24"/>
          <w:highlight w:val="none"/>
          <w:lang w:val="zh-CN"/>
        </w:rPr>
        <w:t>（项目名称）</w:t>
      </w:r>
      <w:r>
        <w:rPr>
          <w:rFonts w:hint="eastAsia" w:ascii="宋体" w:hAnsi="宋体"/>
          <w:b/>
          <w:sz w:val="24"/>
          <w:highlight w:val="none"/>
          <w:u w:val="single"/>
          <w:lang w:val="zh-CN"/>
        </w:rPr>
        <w:t xml:space="preserve">        </w:t>
      </w:r>
      <w:r>
        <w:rPr>
          <w:rFonts w:hint="eastAsia" w:ascii="宋体" w:hAnsi="宋体"/>
          <w:sz w:val="24"/>
          <w:highlight w:val="none"/>
          <w:lang w:val="zh-CN"/>
        </w:rPr>
        <w:t>（项目编号）投标邀请，正式授权下述签字人</w:t>
      </w:r>
      <w:r>
        <w:rPr>
          <w:rFonts w:hint="eastAsia" w:ascii="宋体" w:hAnsi="宋体"/>
          <w:sz w:val="24"/>
          <w:highlight w:val="none"/>
          <w:u w:val="single"/>
          <w:lang w:val="zh-CN"/>
        </w:rPr>
        <w:t xml:space="preserve">        </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 xml:space="preserve">代表投标人 </w:t>
      </w:r>
      <w:r>
        <w:rPr>
          <w:rFonts w:hint="eastAsia" w:ascii="宋体" w:hAnsi="宋体"/>
          <w:sz w:val="24"/>
          <w:highlight w:val="none"/>
          <w:u w:val="single"/>
          <w:lang w:val="zh-CN"/>
        </w:rPr>
        <w:t xml:space="preserve">        </w:t>
      </w:r>
      <w:r>
        <w:rPr>
          <w:rFonts w:hint="eastAsia" w:ascii="宋体" w:hAnsi="宋体"/>
          <w:sz w:val="24"/>
          <w:highlight w:val="none"/>
          <w:lang w:val="zh-CN"/>
        </w:rPr>
        <w:t>（投标人名称），提交投标文件。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hint="eastAsia" w:ascii="宋体" w:hAnsi="宋体"/>
          <w:sz w:val="24"/>
          <w:highlight w:val="none"/>
          <w:u w:val="single"/>
          <w:lang w:val="zh-CN"/>
        </w:rPr>
        <w:t xml:space="preserve">         </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r>
        <w:rPr>
          <w:rFonts w:hint="eastAsia" w:ascii="宋体" w:hAnsi="宋体"/>
          <w:sz w:val="24"/>
          <w:highlight w:val="none"/>
          <w:u w:val="single"/>
          <w:lang w:val="zh-CN"/>
        </w:rPr>
        <w:t xml:space="preserve">         </w:t>
      </w:r>
      <w:r>
        <w:rPr>
          <w:rFonts w:hint="eastAsia" w:ascii="宋体" w:hAnsi="宋体"/>
          <w:sz w:val="24"/>
          <w:highlight w:val="none"/>
          <w:lang w:val="zh-CN"/>
        </w:rPr>
        <w:t>。</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ind w:firstLine="862"/>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r>
        <w:rPr>
          <w:rFonts w:ascii="宋体" w:hAnsi="宋体"/>
          <w:sz w:val="28"/>
          <w:szCs w:val="28"/>
          <w:highlight w:val="none"/>
        </w:rPr>
        <w:t xml:space="preserve"> </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r>
        <w:rPr>
          <w:rFonts w:ascii="宋体" w:hAnsi="宋体"/>
          <w:sz w:val="28"/>
          <w:szCs w:val="28"/>
          <w:highlight w:val="none"/>
        </w:rPr>
        <w:t xml:space="preserve"> </w:t>
      </w:r>
    </w:p>
    <w:p>
      <w:pPr>
        <w:spacing w:line="360" w:lineRule="auto"/>
        <w:rPr>
          <w:rFonts w:ascii="宋体" w:hAnsi="宋体"/>
          <w:sz w:val="28"/>
          <w:szCs w:val="28"/>
          <w:highlight w:val="none"/>
        </w:rPr>
      </w:pPr>
      <w:r>
        <w:rPr>
          <w:rFonts w:hint="eastAsia" w:ascii="宋体" w:hAnsi="宋体"/>
          <w:sz w:val="28"/>
          <w:szCs w:val="28"/>
          <w:highlight w:val="none"/>
        </w:rPr>
        <w:t>投标报价</w:t>
      </w:r>
      <w:r>
        <w:rPr>
          <w:rFonts w:ascii="宋体" w:hAnsi="宋体"/>
          <w:sz w:val="28"/>
          <w:szCs w:val="28"/>
          <w:highlight w:val="none"/>
        </w:rPr>
        <w:t xml:space="preserve"> </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3266"/>
        <w:gridCol w:w="1508"/>
        <w:gridCol w:w="1702"/>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pct"/>
            <w:noWrap/>
            <w:vAlign w:val="center"/>
          </w:tcPr>
          <w:p>
            <w:pPr>
              <w:rPr>
                <w:highlight w:val="none"/>
              </w:rPr>
            </w:pPr>
            <w:r>
              <w:rPr>
                <w:rFonts w:hint="eastAsia"/>
                <w:highlight w:val="none"/>
              </w:rPr>
              <w:t>序号</w:t>
            </w:r>
          </w:p>
        </w:tc>
        <w:tc>
          <w:tcPr>
            <w:tcW w:w="1696" w:type="pct"/>
            <w:noWrap/>
            <w:vAlign w:val="center"/>
          </w:tcPr>
          <w:p>
            <w:pPr>
              <w:rPr>
                <w:highlight w:val="none"/>
              </w:rPr>
            </w:pPr>
            <w:r>
              <w:rPr>
                <w:rFonts w:hint="eastAsia"/>
                <w:highlight w:val="none"/>
              </w:rPr>
              <w:t>模块名称</w:t>
            </w:r>
          </w:p>
        </w:tc>
        <w:tc>
          <w:tcPr>
            <w:tcW w:w="783" w:type="pct"/>
            <w:noWrap/>
            <w:vAlign w:val="center"/>
          </w:tcPr>
          <w:p>
            <w:pPr>
              <w:rPr>
                <w:highlight w:val="none"/>
              </w:rPr>
            </w:pPr>
            <w:r>
              <w:rPr>
                <w:rFonts w:hint="eastAsia"/>
                <w:highlight w:val="none"/>
              </w:rPr>
              <w:t>单价</w:t>
            </w:r>
          </w:p>
        </w:tc>
        <w:tc>
          <w:tcPr>
            <w:tcW w:w="884" w:type="pct"/>
            <w:noWrap/>
            <w:vAlign w:val="center"/>
          </w:tcPr>
          <w:p>
            <w:pPr>
              <w:rPr>
                <w:highlight w:val="none"/>
              </w:rPr>
            </w:pPr>
            <w:r>
              <w:rPr>
                <w:highlight w:val="none"/>
              </w:rPr>
              <w:t xml:space="preserve">  </w:t>
            </w:r>
            <w:r>
              <w:rPr>
                <w:rFonts w:hint="eastAsia"/>
                <w:highlight w:val="none"/>
              </w:rPr>
              <w:t>数量</w:t>
            </w:r>
          </w:p>
        </w:tc>
        <w:tc>
          <w:tcPr>
            <w:tcW w:w="834" w:type="pct"/>
            <w:noWrap/>
            <w:vAlign w:val="center"/>
          </w:tcPr>
          <w:p>
            <w:pPr>
              <w:rPr>
                <w:highlight w:val="none"/>
              </w:rPr>
            </w:pPr>
            <w:r>
              <w:rPr>
                <w:rFonts w:hint="eastAsia"/>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pct"/>
            <w:noWrap/>
            <w:vAlign w:val="center"/>
          </w:tcPr>
          <w:p>
            <w:pPr>
              <w:ind w:left="480"/>
              <w:rPr>
                <w:highlight w:val="none"/>
              </w:rPr>
            </w:pPr>
            <w:r>
              <w:rPr>
                <w:rFonts w:hint="eastAsia"/>
                <w:highlight w:val="none"/>
              </w:rPr>
              <w:t>1</w:t>
            </w:r>
          </w:p>
        </w:tc>
        <w:tc>
          <w:tcPr>
            <w:tcW w:w="1696" w:type="pct"/>
            <w:noWrap/>
            <w:vAlign w:val="center"/>
          </w:tcPr>
          <w:p>
            <w:pPr>
              <w:rPr>
                <w:highlight w:val="none"/>
              </w:rPr>
            </w:pPr>
          </w:p>
        </w:tc>
        <w:tc>
          <w:tcPr>
            <w:tcW w:w="783" w:type="pct"/>
            <w:noWrap/>
            <w:vAlign w:val="center"/>
          </w:tcPr>
          <w:p>
            <w:pPr>
              <w:rPr>
                <w:highlight w:val="none"/>
              </w:rPr>
            </w:pPr>
          </w:p>
        </w:tc>
        <w:tc>
          <w:tcPr>
            <w:tcW w:w="884" w:type="pct"/>
            <w:noWrap/>
            <w:vAlign w:val="center"/>
          </w:tcPr>
          <w:p>
            <w:pPr>
              <w:rPr>
                <w:highlight w:val="none"/>
              </w:rPr>
            </w:pPr>
          </w:p>
        </w:tc>
        <w:tc>
          <w:tcPr>
            <w:tcW w:w="834" w:type="pct"/>
            <w:noWrap/>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pct"/>
            <w:noWrap/>
            <w:vAlign w:val="center"/>
          </w:tcPr>
          <w:p>
            <w:pPr>
              <w:ind w:left="480"/>
              <w:rPr>
                <w:highlight w:val="none"/>
              </w:rPr>
            </w:pPr>
            <w:r>
              <w:rPr>
                <w:rFonts w:hint="eastAsia"/>
                <w:highlight w:val="none"/>
              </w:rPr>
              <w:t>2</w:t>
            </w:r>
          </w:p>
        </w:tc>
        <w:tc>
          <w:tcPr>
            <w:tcW w:w="1696" w:type="pct"/>
            <w:noWrap/>
            <w:vAlign w:val="center"/>
          </w:tcPr>
          <w:p>
            <w:pPr>
              <w:rPr>
                <w:highlight w:val="none"/>
              </w:rPr>
            </w:pPr>
          </w:p>
        </w:tc>
        <w:tc>
          <w:tcPr>
            <w:tcW w:w="783" w:type="pct"/>
            <w:noWrap/>
            <w:vAlign w:val="center"/>
          </w:tcPr>
          <w:p>
            <w:pPr>
              <w:rPr>
                <w:highlight w:val="none"/>
              </w:rPr>
            </w:pPr>
          </w:p>
        </w:tc>
        <w:tc>
          <w:tcPr>
            <w:tcW w:w="884" w:type="pct"/>
            <w:noWrap/>
            <w:vAlign w:val="center"/>
          </w:tcPr>
          <w:p>
            <w:pPr>
              <w:rPr>
                <w:highlight w:val="none"/>
              </w:rPr>
            </w:pPr>
          </w:p>
        </w:tc>
        <w:tc>
          <w:tcPr>
            <w:tcW w:w="834" w:type="pct"/>
            <w:noWrap/>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pct"/>
            <w:noWrap/>
            <w:vAlign w:val="center"/>
          </w:tcPr>
          <w:p>
            <w:pPr>
              <w:ind w:left="480"/>
              <w:rPr>
                <w:highlight w:val="none"/>
              </w:rPr>
            </w:pPr>
            <w:r>
              <w:rPr>
                <w:rFonts w:hint="eastAsia"/>
                <w:highlight w:val="none"/>
              </w:rPr>
              <w:t>3</w:t>
            </w:r>
          </w:p>
        </w:tc>
        <w:tc>
          <w:tcPr>
            <w:tcW w:w="1696" w:type="pct"/>
            <w:noWrap/>
            <w:vAlign w:val="center"/>
          </w:tcPr>
          <w:p>
            <w:pPr>
              <w:rPr>
                <w:highlight w:val="none"/>
              </w:rPr>
            </w:pPr>
          </w:p>
        </w:tc>
        <w:tc>
          <w:tcPr>
            <w:tcW w:w="783" w:type="pct"/>
            <w:noWrap/>
            <w:vAlign w:val="center"/>
          </w:tcPr>
          <w:p>
            <w:pPr>
              <w:rPr>
                <w:highlight w:val="none"/>
              </w:rPr>
            </w:pPr>
          </w:p>
        </w:tc>
        <w:tc>
          <w:tcPr>
            <w:tcW w:w="884" w:type="pct"/>
            <w:noWrap/>
            <w:vAlign w:val="center"/>
          </w:tcPr>
          <w:p>
            <w:pPr>
              <w:rPr>
                <w:highlight w:val="none"/>
              </w:rPr>
            </w:pPr>
          </w:p>
        </w:tc>
        <w:tc>
          <w:tcPr>
            <w:tcW w:w="834" w:type="pct"/>
            <w:noWrap/>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pct"/>
            <w:noWrap/>
            <w:vAlign w:val="center"/>
          </w:tcPr>
          <w:p>
            <w:pPr>
              <w:ind w:left="480"/>
              <w:rPr>
                <w:highlight w:val="none"/>
              </w:rPr>
            </w:pPr>
            <w:r>
              <w:rPr>
                <w:rFonts w:hint="eastAsia"/>
                <w:highlight w:val="none"/>
              </w:rPr>
              <w:t>4</w:t>
            </w:r>
          </w:p>
        </w:tc>
        <w:tc>
          <w:tcPr>
            <w:tcW w:w="1696" w:type="pct"/>
            <w:noWrap/>
            <w:vAlign w:val="center"/>
          </w:tcPr>
          <w:p>
            <w:pPr>
              <w:rPr>
                <w:highlight w:val="none"/>
              </w:rPr>
            </w:pPr>
          </w:p>
        </w:tc>
        <w:tc>
          <w:tcPr>
            <w:tcW w:w="783" w:type="pct"/>
            <w:noWrap/>
            <w:vAlign w:val="center"/>
          </w:tcPr>
          <w:p>
            <w:pPr>
              <w:rPr>
                <w:highlight w:val="none"/>
              </w:rPr>
            </w:pPr>
          </w:p>
        </w:tc>
        <w:tc>
          <w:tcPr>
            <w:tcW w:w="884" w:type="pct"/>
            <w:noWrap/>
            <w:vAlign w:val="center"/>
          </w:tcPr>
          <w:p>
            <w:pPr>
              <w:rPr>
                <w:highlight w:val="none"/>
              </w:rPr>
            </w:pPr>
          </w:p>
        </w:tc>
        <w:tc>
          <w:tcPr>
            <w:tcW w:w="834" w:type="pct"/>
            <w:noWrap/>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pct"/>
            <w:noWrap/>
            <w:vAlign w:val="center"/>
          </w:tcPr>
          <w:p>
            <w:pPr>
              <w:ind w:left="480"/>
              <w:rPr>
                <w:highlight w:val="none"/>
              </w:rPr>
            </w:pPr>
            <w:r>
              <w:rPr>
                <w:rFonts w:hint="eastAsia"/>
                <w:highlight w:val="none"/>
              </w:rPr>
              <w:t>5</w:t>
            </w:r>
          </w:p>
        </w:tc>
        <w:tc>
          <w:tcPr>
            <w:tcW w:w="1696" w:type="pct"/>
            <w:noWrap/>
            <w:vAlign w:val="center"/>
          </w:tcPr>
          <w:p>
            <w:pPr>
              <w:rPr>
                <w:highlight w:val="none"/>
              </w:rPr>
            </w:pPr>
          </w:p>
        </w:tc>
        <w:tc>
          <w:tcPr>
            <w:tcW w:w="783" w:type="pct"/>
            <w:noWrap/>
            <w:vAlign w:val="center"/>
          </w:tcPr>
          <w:p>
            <w:pPr>
              <w:rPr>
                <w:highlight w:val="none"/>
              </w:rPr>
            </w:pPr>
          </w:p>
        </w:tc>
        <w:tc>
          <w:tcPr>
            <w:tcW w:w="884" w:type="pct"/>
            <w:noWrap/>
            <w:vAlign w:val="center"/>
          </w:tcPr>
          <w:p>
            <w:pPr>
              <w:rPr>
                <w:highlight w:val="none"/>
              </w:rPr>
            </w:pPr>
          </w:p>
        </w:tc>
        <w:tc>
          <w:tcPr>
            <w:tcW w:w="834" w:type="pct"/>
            <w:noWrap/>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pct"/>
            <w:noWrap/>
            <w:vAlign w:val="center"/>
          </w:tcPr>
          <w:p>
            <w:pPr>
              <w:ind w:left="480"/>
              <w:rPr>
                <w:highlight w:val="none"/>
              </w:rPr>
            </w:pPr>
            <w:r>
              <w:rPr>
                <w:rFonts w:hint="eastAsia"/>
                <w:highlight w:val="none"/>
              </w:rPr>
              <w:t>6</w:t>
            </w:r>
          </w:p>
        </w:tc>
        <w:tc>
          <w:tcPr>
            <w:tcW w:w="1696" w:type="pct"/>
            <w:noWrap/>
            <w:vAlign w:val="center"/>
          </w:tcPr>
          <w:p>
            <w:pPr>
              <w:rPr>
                <w:highlight w:val="none"/>
              </w:rPr>
            </w:pPr>
          </w:p>
        </w:tc>
        <w:tc>
          <w:tcPr>
            <w:tcW w:w="783" w:type="pct"/>
            <w:noWrap/>
            <w:vAlign w:val="center"/>
          </w:tcPr>
          <w:p>
            <w:pPr>
              <w:rPr>
                <w:highlight w:val="none"/>
              </w:rPr>
            </w:pPr>
          </w:p>
        </w:tc>
        <w:tc>
          <w:tcPr>
            <w:tcW w:w="884" w:type="pct"/>
            <w:noWrap/>
            <w:vAlign w:val="center"/>
          </w:tcPr>
          <w:p>
            <w:pPr>
              <w:rPr>
                <w:highlight w:val="none"/>
              </w:rPr>
            </w:pPr>
          </w:p>
        </w:tc>
        <w:tc>
          <w:tcPr>
            <w:tcW w:w="834" w:type="pct"/>
            <w:noWrap/>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pct"/>
            <w:noWrap/>
            <w:vAlign w:val="center"/>
          </w:tcPr>
          <w:p>
            <w:pPr>
              <w:ind w:left="480"/>
              <w:rPr>
                <w:highlight w:val="none"/>
              </w:rPr>
            </w:pPr>
            <w:r>
              <w:rPr>
                <w:rFonts w:hint="eastAsia"/>
                <w:highlight w:val="none"/>
              </w:rPr>
              <w:t>7</w:t>
            </w:r>
          </w:p>
        </w:tc>
        <w:tc>
          <w:tcPr>
            <w:tcW w:w="1696" w:type="pct"/>
            <w:noWrap/>
            <w:vAlign w:val="center"/>
          </w:tcPr>
          <w:p>
            <w:pPr>
              <w:rPr>
                <w:highlight w:val="none"/>
              </w:rPr>
            </w:pPr>
          </w:p>
        </w:tc>
        <w:tc>
          <w:tcPr>
            <w:tcW w:w="783" w:type="pct"/>
            <w:noWrap/>
            <w:vAlign w:val="center"/>
          </w:tcPr>
          <w:p>
            <w:pPr>
              <w:rPr>
                <w:highlight w:val="none"/>
              </w:rPr>
            </w:pPr>
          </w:p>
        </w:tc>
        <w:tc>
          <w:tcPr>
            <w:tcW w:w="884" w:type="pct"/>
            <w:noWrap/>
            <w:vAlign w:val="center"/>
          </w:tcPr>
          <w:p>
            <w:pPr>
              <w:rPr>
                <w:highlight w:val="none"/>
              </w:rPr>
            </w:pPr>
          </w:p>
        </w:tc>
        <w:tc>
          <w:tcPr>
            <w:tcW w:w="834" w:type="pct"/>
            <w:noWrap/>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noWrap/>
            <w:vAlign w:val="center"/>
          </w:tcPr>
          <w:p>
            <w:pPr>
              <w:rPr>
                <w:highlight w:val="none"/>
              </w:rPr>
            </w:pPr>
            <w:r>
              <w:rPr>
                <w:rFonts w:hint="eastAsia" w:ascii="宋体" w:hAnsi="宋体"/>
                <w:sz w:val="28"/>
                <w:szCs w:val="28"/>
                <w:highlight w:val="none"/>
              </w:rPr>
              <w:t>合计总价     大写：                 小写：</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ascii="宋体" w:hAnsi="宋体"/>
          <w:sz w:val="28"/>
          <w:szCs w:val="28"/>
          <w:highlight w:val="none"/>
        </w:rPr>
        <w:t xml:space="preserve">                                      </w:t>
      </w: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ascii="宋体" w:hAnsi="宋体"/>
          <w:sz w:val="28"/>
          <w:szCs w:val="28"/>
          <w:highlight w:val="none"/>
        </w:rPr>
        <w:t xml:space="preserve">                                      </w:t>
      </w:r>
      <w:r>
        <w:rPr>
          <w:rFonts w:hint="eastAsia" w:ascii="宋体" w:hAnsi="宋体"/>
          <w:sz w:val="28"/>
          <w:szCs w:val="28"/>
          <w:highlight w:val="none"/>
        </w:rPr>
        <w:t>授权代表签字：</w:t>
      </w:r>
    </w:p>
    <w:p>
      <w:pPr>
        <w:spacing w:line="360" w:lineRule="auto"/>
        <w:rPr>
          <w:rFonts w:ascii="宋体"/>
          <w:sz w:val="28"/>
          <w:szCs w:val="28"/>
          <w:highlight w:val="none"/>
        </w:rPr>
      </w:pPr>
      <w:r>
        <w:rPr>
          <w:rFonts w:ascii="宋体" w:hAnsi="宋体"/>
          <w:sz w:val="28"/>
          <w:szCs w:val="28"/>
          <w:highlight w:val="none"/>
        </w:rPr>
        <w:t xml:space="preserve">                                   </w:t>
      </w: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p>
    <w:p>
      <w:pPr>
        <w:widowControl/>
        <w:jc w:val="left"/>
        <w:rPr>
          <w:b/>
          <w:sz w:val="28"/>
          <w:szCs w:val="28"/>
          <w:highlight w:val="none"/>
        </w:rPr>
      </w:pPr>
      <w:r>
        <w:rPr>
          <w:b/>
          <w:sz w:val="28"/>
          <w:szCs w:val="28"/>
          <w:highlight w:val="none"/>
        </w:rPr>
        <w:br w:type="page"/>
      </w:r>
    </w:p>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bookmarkEnd w:id="8"/>
    <w:bookmarkEnd w:id="9"/>
    <w:p>
      <w:pPr>
        <w:adjustRightInd w:val="0"/>
        <w:snapToGrid w:val="0"/>
        <w:spacing w:line="360" w:lineRule="auto"/>
        <w:ind w:firstLine="482" w:firstLineChars="200"/>
        <w:rPr>
          <w:rFonts w:ascii="宋体" w:hAnsi="宋体" w:eastAsia="宋体"/>
          <w:b/>
          <w:bCs/>
          <w:sz w:val="24"/>
          <w:szCs w:val="24"/>
          <w:highlight w:val="none"/>
        </w:rPr>
      </w:pPr>
      <w:r>
        <w:rPr>
          <w:rFonts w:hint="eastAsia" w:ascii="宋体" w:hAnsi="宋体"/>
          <w:b/>
          <w:bCs/>
          <w:sz w:val="24"/>
          <w:szCs w:val="24"/>
          <w:highlight w:val="none"/>
          <w:lang w:val="en-US" w:eastAsia="zh-CN"/>
        </w:rPr>
        <w:t>1</w:t>
      </w:r>
      <w:r>
        <w:rPr>
          <w:rFonts w:ascii="宋体" w:hAnsi="宋体" w:eastAsia="宋体"/>
          <w:b/>
          <w:bCs/>
          <w:sz w:val="24"/>
          <w:szCs w:val="24"/>
          <w:highlight w:val="none"/>
        </w:rPr>
        <w:t>.交货期及交货地点</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sz w:val="24"/>
          <w:szCs w:val="24"/>
          <w:highlight w:val="none"/>
          <w:lang w:val="en-US" w:eastAsia="zh-CN"/>
        </w:rPr>
        <w:t>1.1</w:t>
      </w:r>
      <w:r>
        <w:rPr>
          <w:rFonts w:ascii="宋体" w:hAnsi="宋体" w:eastAsia="宋体"/>
          <w:sz w:val="24"/>
          <w:szCs w:val="24"/>
          <w:highlight w:val="none"/>
        </w:rPr>
        <w:t>交货期：自合同签订之日起30个工作日内完成项目。</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sz w:val="24"/>
          <w:szCs w:val="24"/>
          <w:highlight w:val="none"/>
          <w:lang w:val="en-US" w:eastAsia="zh-CN"/>
        </w:rPr>
        <w:t>1.</w:t>
      </w:r>
      <w:r>
        <w:rPr>
          <w:rFonts w:ascii="宋体" w:hAnsi="宋体" w:eastAsia="宋体"/>
          <w:sz w:val="24"/>
          <w:szCs w:val="24"/>
          <w:highlight w:val="none"/>
        </w:rPr>
        <w:t>2交货地点：采购人指定地点。</w:t>
      </w:r>
    </w:p>
    <w:p>
      <w:pPr>
        <w:adjustRightInd w:val="0"/>
        <w:snapToGrid w:val="0"/>
        <w:spacing w:line="360" w:lineRule="auto"/>
        <w:ind w:firstLine="482" w:firstLineChars="200"/>
        <w:rPr>
          <w:rFonts w:ascii="宋体" w:hAnsi="宋体" w:eastAsia="宋体"/>
          <w:b/>
          <w:bCs/>
          <w:sz w:val="24"/>
          <w:szCs w:val="24"/>
          <w:highlight w:val="none"/>
        </w:rPr>
      </w:pPr>
      <w:r>
        <w:rPr>
          <w:rFonts w:hint="eastAsia" w:ascii="宋体" w:hAnsi="宋体"/>
          <w:b/>
          <w:bCs/>
          <w:sz w:val="24"/>
          <w:szCs w:val="24"/>
          <w:highlight w:val="none"/>
          <w:lang w:val="en-US" w:eastAsia="zh-CN"/>
        </w:rPr>
        <w:t>2</w:t>
      </w:r>
      <w:r>
        <w:rPr>
          <w:rFonts w:ascii="宋体" w:hAnsi="宋体" w:eastAsia="宋体"/>
          <w:b/>
          <w:bCs/>
          <w:sz w:val="24"/>
          <w:szCs w:val="24"/>
          <w:highlight w:val="none"/>
        </w:rPr>
        <w:t>.质保期要求</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sz w:val="24"/>
          <w:szCs w:val="24"/>
          <w:highlight w:val="none"/>
          <w:lang w:val="en-US" w:eastAsia="zh-CN"/>
        </w:rPr>
        <w:t>2.</w:t>
      </w:r>
      <w:r>
        <w:rPr>
          <w:rFonts w:ascii="宋体" w:hAnsi="宋体" w:eastAsia="宋体"/>
          <w:sz w:val="24"/>
          <w:szCs w:val="24"/>
          <w:highlight w:val="none"/>
        </w:rPr>
        <w:t>1要求提供</w:t>
      </w:r>
      <w:r>
        <w:rPr>
          <w:rFonts w:hint="eastAsia" w:ascii="宋体" w:hAnsi="宋体" w:eastAsia="宋体"/>
          <w:sz w:val="24"/>
          <w:szCs w:val="24"/>
          <w:highlight w:val="none"/>
        </w:rPr>
        <w:t>三</w:t>
      </w:r>
      <w:r>
        <w:rPr>
          <w:rFonts w:ascii="宋体" w:hAnsi="宋体" w:eastAsia="宋体"/>
          <w:sz w:val="24"/>
          <w:szCs w:val="24"/>
          <w:highlight w:val="none"/>
        </w:rPr>
        <w:t>年免费原厂运维服务（含版本升级），自正式验收合格之日开始计算。</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sz w:val="24"/>
          <w:szCs w:val="24"/>
          <w:highlight w:val="none"/>
          <w:lang w:val="en-US" w:eastAsia="zh-CN"/>
        </w:rPr>
        <w:t>2.</w:t>
      </w:r>
      <w:r>
        <w:rPr>
          <w:rFonts w:ascii="宋体" w:hAnsi="宋体" w:eastAsia="宋体"/>
          <w:sz w:val="24"/>
          <w:szCs w:val="24"/>
          <w:highlight w:val="none"/>
        </w:rPr>
        <w:t>2要求提供7×12小时售后服务和技术支持。在保修期内提供免费质保服务；超出保修期后，也应参照合同规定的价格继续提供用户服务。</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sz w:val="24"/>
          <w:szCs w:val="24"/>
          <w:highlight w:val="none"/>
          <w:lang w:val="en-US" w:eastAsia="zh-CN"/>
        </w:rPr>
        <w:t>2.3</w:t>
      </w:r>
      <w:r>
        <w:rPr>
          <w:rFonts w:ascii="宋体" w:hAnsi="宋体" w:eastAsia="宋体"/>
          <w:sz w:val="24"/>
          <w:szCs w:val="24"/>
          <w:highlight w:val="none"/>
        </w:rPr>
        <w:t>免费服务期满后，双方共同协商签订有偿技术支持服务协议，费用不得高于项目总额的8%。</w:t>
      </w:r>
    </w:p>
    <w:p>
      <w:pPr>
        <w:adjustRightInd w:val="0"/>
        <w:snapToGrid w:val="0"/>
        <w:spacing w:line="360" w:lineRule="auto"/>
        <w:ind w:firstLine="482" w:firstLineChars="200"/>
        <w:rPr>
          <w:rFonts w:ascii="宋体" w:hAnsi="宋体" w:eastAsia="宋体"/>
          <w:b/>
          <w:bCs/>
          <w:sz w:val="24"/>
          <w:szCs w:val="24"/>
          <w:highlight w:val="none"/>
        </w:rPr>
      </w:pPr>
      <w:r>
        <w:rPr>
          <w:rFonts w:hint="eastAsia" w:ascii="宋体" w:hAnsi="宋体"/>
          <w:b/>
          <w:bCs/>
          <w:sz w:val="24"/>
          <w:szCs w:val="24"/>
          <w:highlight w:val="none"/>
          <w:lang w:val="en-US" w:eastAsia="zh-CN"/>
        </w:rPr>
        <w:t>3</w:t>
      </w:r>
      <w:r>
        <w:rPr>
          <w:rFonts w:hint="eastAsia" w:ascii="宋体" w:hAnsi="宋体"/>
          <w:b/>
          <w:bCs/>
          <w:sz w:val="24"/>
          <w:szCs w:val="24"/>
          <w:highlight w:val="none"/>
          <w:lang w:eastAsia="zh-CN"/>
        </w:rPr>
        <w:t>.</w:t>
      </w:r>
      <w:r>
        <w:rPr>
          <w:rFonts w:ascii="宋体" w:hAnsi="宋体" w:eastAsia="宋体"/>
          <w:b/>
          <w:bCs/>
          <w:sz w:val="24"/>
          <w:szCs w:val="24"/>
          <w:highlight w:val="none"/>
        </w:rPr>
        <w:t>验收</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对照供货清单逐一验收，安装调试结束，能正常使用。</w:t>
      </w:r>
    </w:p>
    <w:p>
      <w:pPr>
        <w:adjustRightInd w:val="0"/>
        <w:snapToGrid w:val="0"/>
        <w:spacing w:line="360" w:lineRule="auto"/>
        <w:ind w:firstLine="482" w:firstLineChars="200"/>
        <w:rPr>
          <w:rFonts w:ascii="宋体" w:hAnsi="宋体" w:eastAsia="宋体"/>
          <w:b/>
          <w:bCs/>
          <w:sz w:val="24"/>
          <w:szCs w:val="24"/>
          <w:highlight w:val="none"/>
        </w:rPr>
      </w:pPr>
      <w:r>
        <w:rPr>
          <w:rFonts w:hint="eastAsia" w:ascii="宋体" w:hAnsi="宋体"/>
          <w:b/>
          <w:bCs/>
          <w:sz w:val="24"/>
          <w:szCs w:val="24"/>
          <w:highlight w:val="none"/>
          <w:lang w:val="en-US" w:eastAsia="zh-CN"/>
        </w:rPr>
        <w:t>4</w:t>
      </w:r>
      <w:r>
        <w:rPr>
          <w:rFonts w:ascii="宋体" w:hAnsi="宋体" w:eastAsia="宋体"/>
          <w:b/>
          <w:bCs/>
          <w:sz w:val="24"/>
          <w:szCs w:val="24"/>
          <w:highlight w:val="none"/>
        </w:rPr>
        <w:t>.安装</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sz w:val="24"/>
          <w:szCs w:val="24"/>
          <w:highlight w:val="none"/>
          <w:lang w:val="en-US" w:eastAsia="zh-CN"/>
        </w:rPr>
        <w:t>4.</w:t>
      </w:r>
      <w:r>
        <w:rPr>
          <w:rFonts w:ascii="宋体" w:hAnsi="宋体" w:eastAsia="宋体"/>
          <w:sz w:val="24"/>
          <w:szCs w:val="24"/>
          <w:highlight w:val="none"/>
        </w:rPr>
        <w:t>1安装时间：由投标人自报。</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sz w:val="24"/>
          <w:szCs w:val="24"/>
          <w:highlight w:val="none"/>
          <w:lang w:val="en-US" w:eastAsia="zh-CN"/>
        </w:rPr>
        <w:t>4.</w:t>
      </w:r>
      <w:r>
        <w:rPr>
          <w:rFonts w:ascii="宋体" w:hAnsi="宋体" w:eastAsia="宋体"/>
          <w:sz w:val="24"/>
          <w:szCs w:val="24"/>
          <w:highlight w:val="none"/>
        </w:rPr>
        <w:t>2安装费：包含在报价总价内。</w:t>
      </w:r>
    </w:p>
    <w:p>
      <w:pPr>
        <w:widowControl/>
        <w:jc w:val="left"/>
        <w:rPr>
          <w:rFonts w:ascii="宋体" w:cs="仿宋"/>
          <w:b/>
          <w:bCs/>
          <w:sz w:val="28"/>
          <w:szCs w:val="28"/>
          <w:highlight w:val="none"/>
        </w:rPr>
      </w:pPr>
    </w:p>
    <w:p>
      <w:pPr>
        <w:widowControl/>
        <w:jc w:val="left"/>
        <w:rPr>
          <w:rFonts w:ascii="宋体" w:cs="仿宋"/>
          <w:b/>
          <w:bCs/>
          <w:sz w:val="28"/>
          <w:szCs w:val="28"/>
          <w:highlight w:val="none"/>
        </w:rPr>
      </w:pPr>
    </w:p>
    <w:p>
      <w:pPr>
        <w:widowControl/>
        <w:jc w:val="left"/>
        <w:rPr>
          <w:rFonts w:ascii="宋体" w:cs="仿宋"/>
          <w:b/>
          <w:bCs/>
          <w:sz w:val="28"/>
          <w:szCs w:val="28"/>
          <w:highlight w:val="none"/>
        </w:rPr>
      </w:pPr>
    </w:p>
    <w:p>
      <w:pPr>
        <w:widowControl/>
        <w:jc w:val="left"/>
        <w:rPr>
          <w:rFonts w:ascii="宋体" w:cs="仿宋"/>
          <w:b/>
          <w:bCs/>
          <w:sz w:val="28"/>
          <w:szCs w:val="28"/>
          <w:highlight w:val="none"/>
        </w:rPr>
      </w:pPr>
    </w:p>
    <w:p>
      <w:pPr>
        <w:widowControl/>
        <w:jc w:val="left"/>
        <w:rPr>
          <w:rFonts w:ascii="宋体" w:cs="仿宋"/>
          <w:b/>
          <w:bCs/>
          <w:sz w:val="28"/>
          <w:szCs w:val="28"/>
          <w:highlight w:val="none"/>
        </w:rPr>
      </w:pPr>
    </w:p>
    <w:p>
      <w:pPr>
        <w:widowControl/>
        <w:jc w:val="left"/>
        <w:rPr>
          <w:rFonts w:ascii="宋体" w:cs="仿宋"/>
          <w:b/>
          <w:bCs/>
          <w:sz w:val="28"/>
          <w:szCs w:val="28"/>
          <w:highlight w:val="none"/>
        </w:rPr>
      </w:pPr>
    </w:p>
    <w:p>
      <w:pPr>
        <w:widowControl/>
        <w:jc w:val="left"/>
        <w:rPr>
          <w:rFonts w:ascii="宋体" w:cs="仿宋"/>
          <w:b/>
          <w:bCs/>
          <w:sz w:val="28"/>
          <w:szCs w:val="28"/>
          <w:highlight w:val="none"/>
        </w:rPr>
      </w:pPr>
    </w:p>
    <w:p>
      <w:pPr>
        <w:widowControl/>
        <w:jc w:val="left"/>
        <w:rPr>
          <w:rFonts w:ascii="宋体" w:cs="仿宋"/>
          <w:b/>
          <w:bCs/>
          <w:sz w:val="28"/>
          <w:szCs w:val="28"/>
          <w:highlight w:val="none"/>
        </w:rPr>
      </w:pPr>
    </w:p>
    <w:p>
      <w:pPr>
        <w:widowControl/>
        <w:jc w:val="left"/>
        <w:rPr>
          <w:rFonts w:ascii="宋体" w:cs="仿宋"/>
          <w:b/>
          <w:bCs/>
          <w:sz w:val="28"/>
          <w:szCs w:val="28"/>
          <w:highlight w:val="none"/>
        </w:rPr>
      </w:pPr>
    </w:p>
    <w:p>
      <w:pPr>
        <w:widowControl/>
        <w:jc w:val="left"/>
        <w:rPr>
          <w:rFonts w:ascii="宋体" w:cs="仿宋"/>
          <w:b/>
          <w:bCs/>
          <w:sz w:val="28"/>
          <w:szCs w:val="28"/>
          <w:highlight w:val="none"/>
        </w:rPr>
      </w:pPr>
    </w:p>
    <w:p>
      <w:pPr>
        <w:widowControl/>
        <w:jc w:val="left"/>
        <w:rPr>
          <w:rFonts w:ascii="宋体" w:cs="仿宋"/>
          <w:b/>
          <w:bCs/>
          <w:sz w:val="28"/>
          <w:szCs w:val="28"/>
          <w:highlight w:val="none"/>
        </w:rPr>
      </w:pPr>
    </w:p>
    <w:p>
      <w:pPr>
        <w:adjustRightInd w:val="0"/>
        <w:snapToGrid w:val="0"/>
        <w:spacing w:line="360" w:lineRule="auto"/>
        <w:rPr>
          <w:rFonts w:asci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adjustRightInd w:val="0"/>
        <w:snapToGrid w:val="0"/>
        <w:spacing w:line="360" w:lineRule="auto"/>
        <w:rPr>
          <w:rFonts w:hint="eastAsia" w:ascii="宋体" w:hAnsi="宋体" w:cs="仿宋"/>
          <w:b/>
          <w:bCs/>
          <w:sz w:val="24"/>
          <w:szCs w:val="24"/>
          <w:highlight w:val="none"/>
        </w:rPr>
      </w:pPr>
      <w:r>
        <w:rPr>
          <w:rFonts w:hint="eastAsia" w:ascii="宋体" w:hAnsi="宋体" w:cs="仿宋"/>
          <w:b/>
          <w:bCs/>
          <w:sz w:val="24"/>
          <w:szCs w:val="24"/>
          <w:highlight w:val="none"/>
        </w:rPr>
        <w:t>一、评标方法与定标原则</w:t>
      </w:r>
    </w:p>
    <w:p>
      <w:pPr>
        <w:adjustRightInd w:val="0"/>
        <w:snapToGrid w:val="0"/>
        <w:spacing w:line="360" w:lineRule="auto"/>
        <w:ind w:firstLine="480" w:firstLineChars="200"/>
        <w:rPr>
          <w:rFonts w:hint="eastAsia" w:ascii="宋体" w:hAnsi="宋体" w:cs="仿宋"/>
          <w:b w:val="0"/>
          <w:bCs w:val="0"/>
          <w:sz w:val="24"/>
          <w:szCs w:val="24"/>
          <w:highlight w:val="none"/>
        </w:rPr>
      </w:pPr>
      <w:r>
        <w:rPr>
          <w:rFonts w:hint="eastAsia" w:ascii="宋体" w:hAnsi="宋体" w:eastAsia="宋体" w:cs="Times New Roman"/>
          <w:bCs/>
          <w:snapToGrid w:val="0"/>
          <w:kern w:val="0"/>
          <w:sz w:val="24"/>
          <w:szCs w:val="21"/>
          <w:highlight w:val="none"/>
        </w:rPr>
        <w:t>评委会将对确定为实质性响应招标文件要求的投标文件进行评价和比较</w:t>
      </w:r>
      <w:r>
        <w:rPr>
          <w:rFonts w:hint="eastAsia" w:ascii="宋体" w:hAnsi="宋体" w:cs="Times New Roman"/>
          <w:bCs/>
          <w:snapToGrid w:val="0"/>
          <w:kern w:val="0"/>
          <w:sz w:val="24"/>
          <w:szCs w:val="21"/>
          <w:highlight w:val="none"/>
          <w:lang w:eastAsia="zh-CN"/>
        </w:rPr>
        <w:t>，</w:t>
      </w:r>
      <w:r>
        <w:rPr>
          <w:rFonts w:hint="eastAsia" w:ascii="宋体" w:hAnsi="宋体" w:eastAsia="宋体" w:cs="Times New Roman"/>
          <w:bCs/>
          <w:snapToGrid w:val="0"/>
          <w:kern w:val="0"/>
          <w:sz w:val="24"/>
          <w:szCs w:val="21"/>
          <w:highlight w:val="none"/>
        </w:rPr>
        <w:t>评标采用</w:t>
      </w:r>
      <w:r>
        <w:rPr>
          <w:rFonts w:hint="eastAsia" w:ascii="宋体" w:hAnsi="宋体" w:eastAsia="宋体" w:cs="Times New Roman"/>
          <w:b/>
          <w:bCs/>
          <w:snapToGrid w:val="0"/>
          <w:kern w:val="0"/>
          <w:sz w:val="24"/>
          <w:szCs w:val="21"/>
          <w:highlight w:val="none"/>
        </w:rPr>
        <w:t>综合评分法</w:t>
      </w:r>
      <w:r>
        <w:rPr>
          <w:rFonts w:hint="eastAsia" w:ascii="宋体" w:hAnsi="宋体" w:eastAsia="宋体" w:cs="Times New Roman"/>
          <w:bCs/>
          <w:snapToGrid w:val="0"/>
          <w:kern w:val="0"/>
          <w:sz w:val="24"/>
          <w:szCs w:val="21"/>
          <w:highlight w:val="none"/>
        </w:rPr>
        <w:t>确定中标候选人。按评审后得分由高到低顺序排列。得分相同的，按投标报价由低到高顺序排列</w:t>
      </w:r>
      <w:r>
        <w:rPr>
          <w:rFonts w:hint="eastAsia" w:ascii="宋体" w:hAnsi="宋体" w:cs="仿宋"/>
          <w:b w:val="0"/>
          <w:bCs w:val="0"/>
          <w:sz w:val="24"/>
          <w:szCs w:val="24"/>
          <w:highlight w:val="none"/>
        </w:rPr>
        <w:t>。得分且投标报价相同的，按技术指标优劣顺序排列。</w:t>
      </w:r>
    </w:p>
    <w:p>
      <w:pPr>
        <w:adjustRightInd w:val="0"/>
        <w:snapToGrid w:val="0"/>
        <w:spacing w:line="360" w:lineRule="auto"/>
        <w:rPr>
          <w:rFonts w:hint="eastAsia" w:ascii="宋体" w:hAnsi="宋体" w:cs="仿宋"/>
          <w:b/>
          <w:bCs/>
          <w:sz w:val="24"/>
          <w:szCs w:val="24"/>
          <w:highlight w:val="none"/>
        </w:rPr>
      </w:pPr>
      <w:r>
        <w:rPr>
          <w:rFonts w:hint="eastAsia" w:ascii="宋体" w:hAnsi="宋体" w:cs="仿宋"/>
          <w:b/>
          <w:bCs/>
          <w:sz w:val="24"/>
          <w:szCs w:val="24"/>
          <w:highlight w:val="none"/>
        </w:rPr>
        <w:t>二、评标标准</w:t>
      </w:r>
    </w:p>
    <w:p>
      <w:pPr>
        <w:adjustRightInd w:val="0"/>
        <w:snapToGrid w:val="0"/>
        <w:spacing w:line="360" w:lineRule="auto"/>
        <w:ind w:firstLine="480" w:firstLineChars="200"/>
        <w:rPr>
          <w:rFonts w:ascii="宋体" w:hAnsi="宋体" w:eastAsia="宋体" w:cs="Times New Roman"/>
          <w:snapToGrid w:val="0"/>
          <w:kern w:val="0"/>
          <w:sz w:val="24"/>
          <w:szCs w:val="21"/>
          <w:highlight w:val="none"/>
        </w:rPr>
      </w:pPr>
      <w:r>
        <w:rPr>
          <w:rFonts w:hint="eastAsia" w:ascii="宋体" w:hAnsi="宋体" w:eastAsia="宋体" w:cs="Times New Roman"/>
          <w:snapToGrid w:val="0"/>
          <w:kern w:val="0"/>
          <w:sz w:val="24"/>
          <w:szCs w:val="21"/>
          <w:highlight w:val="none"/>
        </w:rPr>
        <w:t>本项目评分总分值为100分。</w:t>
      </w:r>
    </w:p>
    <w:tbl>
      <w:tblPr>
        <w:tblStyle w:val="18"/>
        <w:tblW w:w="8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97"/>
        <w:gridCol w:w="13"/>
        <w:gridCol w:w="6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709" w:type="dxa"/>
            <w:vAlign w:val="center"/>
          </w:tcPr>
          <w:p>
            <w:pPr>
              <w:autoSpaceDE w:val="0"/>
              <w:autoSpaceDN w:val="0"/>
              <w:adjustRightInd w:val="0"/>
              <w:snapToGrid w:val="0"/>
              <w:jc w:val="center"/>
              <w:rPr>
                <w:rFonts w:ascii="宋体" w:hAnsi="宋体" w:eastAsia="宋体" w:cs="宋体"/>
                <w:b/>
                <w:color w:val="000000" w:themeColor="text1"/>
                <w:szCs w:val="21"/>
                <w:highlight w:val="none"/>
              </w:rPr>
            </w:pPr>
            <w:bookmarkStart w:id="10" w:name="_Toc8398099"/>
            <w:bookmarkStart w:id="11" w:name="_Toc8398272"/>
            <w:r>
              <w:rPr>
                <w:rFonts w:hint="eastAsia" w:ascii="宋体" w:hAnsi="宋体" w:eastAsia="宋体" w:cs="宋体"/>
                <w:b/>
                <w:color w:val="000000" w:themeColor="text1"/>
                <w:szCs w:val="21"/>
                <w:highlight w:val="none"/>
              </w:rPr>
              <w:t>序号</w:t>
            </w:r>
          </w:p>
        </w:tc>
        <w:tc>
          <w:tcPr>
            <w:tcW w:w="1310" w:type="dxa"/>
            <w:gridSpan w:val="2"/>
            <w:vAlign w:val="center"/>
          </w:tcPr>
          <w:p>
            <w:pPr>
              <w:adjustRightInd w:val="0"/>
              <w:snapToGrid w:val="0"/>
              <w:ind w:hanging="13"/>
              <w:jc w:val="center"/>
              <w:rPr>
                <w:rFonts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评分因素</w:t>
            </w:r>
          </w:p>
        </w:tc>
        <w:tc>
          <w:tcPr>
            <w:tcW w:w="6775" w:type="dxa"/>
            <w:vAlign w:val="center"/>
          </w:tcPr>
          <w:p>
            <w:pPr>
              <w:adjustRightInd w:val="0"/>
              <w:snapToGrid w:val="0"/>
              <w:jc w:val="center"/>
              <w:rPr>
                <w:rFonts w:ascii="宋体" w:hAnsi="宋体" w:eastAsia="宋体" w:cs="Times New Roman"/>
                <w:color w:val="000000" w:themeColor="text1"/>
                <w:szCs w:val="21"/>
                <w:highlight w:val="none"/>
              </w:rPr>
            </w:pPr>
            <w:r>
              <w:rPr>
                <w:rFonts w:hint="eastAsia" w:ascii="宋体" w:hAnsi="宋体" w:eastAsia="宋体" w:cs="宋体"/>
                <w:b/>
                <w:color w:val="000000" w:themeColor="text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709" w:type="dxa"/>
            <w:vAlign w:val="center"/>
          </w:tcPr>
          <w:p>
            <w:pPr>
              <w:autoSpaceDE w:val="0"/>
              <w:autoSpaceDN w:val="0"/>
              <w:adjustRightInd w:val="0"/>
              <w:snapToGrid w:val="0"/>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1310" w:type="dxa"/>
            <w:gridSpan w:val="2"/>
            <w:vAlign w:val="center"/>
          </w:tcPr>
          <w:p>
            <w:pPr>
              <w:autoSpaceDE w:val="0"/>
              <w:autoSpaceDN w:val="0"/>
              <w:adjustRightInd w:val="0"/>
              <w:snapToGrid w:val="0"/>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价格部分</w:t>
            </w:r>
          </w:p>
          <w:p>
            <w:pPr>
              <w:autoSpaceDE w:val="0"/>
              <w:autoSpaceDN w:val="0"/>
              <w:adjustRightInd w:val="0"/>
              <w:snapToGrid w:val="0"/>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w:t>
            </w:r>
            <w:r>
              <w:rPr>
                <w:rFonts w:ascii="宋体" w:hAnsi="宋体" w:eastAsia="宋体" w:cs="宋体"/>
                <w:color w:val="000000" w:themeColor="text1"/>
                <w:szCs w:val="21"/>
                <w:highlight w:val="none"/>
              </w:rPr>
              <w:t>25</w:t>
            </w:r>
            <w:r>
              <w:rPr>
                <w:rFonts w:hint="eastAsia" w:ascii="宋体" w:hAnsi="宋体" w:eastAsia="宋体" w:cs="宋体"/>
                <w:color w:val="000000" w:themeColor="text1"/>
                <w:szCs w:val="21"/>
                <w:highlight w:val="none"/>
              </w:rPr>
              <w:t>分）</w:t>
            </w:r>
          </w:p>
        </w:tc>
        <w:tc>
          <w:tcPr>
            <w:tcW w:w="6775" w:type="dxa"/>
            <w:vAlign w:val="center"/>
          </w:tcPr>
          <w:p>
            <w:pPr>
              <w:adjustRightInd w:val="0"/>
              <w:snapToGrid w:val="0"/>
              <w:rPr>
                <w:rFonts w:ascii="宋体" w:hAnsi="宋体" w:eastAsia="宋体" w:cs="Times New Roman"/>
                <w:color w:val="000000" w:themeColor="text1"/>
                <w:szCs w:val="21"/>
                <w:highlight w:val="none"/>
              </w:rPr>
            </w:pPr>
            <w:r>
              <w:rPr>
                <w:rFonts w:ascii="宋体" w:hAnsi="宋体" w:eastAsia="宋体" w:cs="Times New Roman"/>
                <w:color w:val="000000" w:themeColor="text1"/>
                <w:szCs w:val="21"/>
                <w:highlight w:val="none"/>
              </w:rPr>
              <w:t>评标基准价=满足招标文件要求</w:t>
            </w:r>
            <w:r>
              <w:rPr>
                <w:rFonts w:hint="eastAsia" w:ascii="宋体" w:hAnsi="宋体" w:eastAsia="宋体" w:cs="Times New Roman"/>
                <w:color w:val="000000" w:themeColor="text1"/>
                <w:szCs w:val="21"/>
                <w:highlight w:val="none"/>
              </w:rPr>
              <w:t>，所有有效投标人报价的平均值（有效投标人超过五家时去掉一个最高报价和一个最低报价）作为评标基准价。</w:t>
            </w:r>
          </w:p>
          <w:p>
            <w:pPr>
              <w:adjustRightInd w:val="0"/>
              <w:snapToGrid w:val="0"/>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投标报价等于评标基准价的得25分，投标报价每价超过评标基准价1%扣1分；投标报价比评标基准价每下浮1%扣0.5分；不足1%按1%计算；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1" w:hRule="atLeast"/>
          <w:jc w:val="center"/>
        </w:trPr>
        <w:tc>
          <w:tcPr>
            <w:tcW w:w="709" w:type="dxa"/>
            <w:vAlign w:val="center"/>
          </w:tcPr>
          <w:p>
            <w:pPr>
              <w:autoSpaceDE w:val="0"/>
              <w:autoSpaceDN w:val="0"/>
              <w:adjustRightInd w:val="0"/>
              <w:snapToGrid w:val="0"/>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1310" w:type="dxa"/>
            <w:gridSpan w:val="2"/>
            <w:vAlign w:val="center"/>
          </w:tcPr>
          <w:p>
            <w:pPr>
              <w:autoSpaceDE w:val="0"/>
              <w:autoSpaceDN w:val="0"/>
              <w:adjustRightInd w:val="0"/>
              <w:snapToGrid w:val="0"/>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技术部分（2</w:t>
            </w:r>
            <w:r>
              <w:rPr>
                <w:rFonts w:ascii="宋体" w:hAnsi="宋体" w:eastAsia="宋体" w:cs="宋体"/>
                <w:color w:val="000000" w:themeColor="text1"/>
                <w:szCs w:val="21"/>
                <w:highlight w:val="none"/>
              </w:rPr>
              <w:t>5</w:t>
            </w:r>
            <w:r>
              <w:rPr>
                <w:rFonts w:hint="eastAsia" w:ascii="宋体" w:hAnsi="宋体" w:eastAsia="宋体" w:cs="宋体"/>
                <w:color w:val="000000" w:themeColor="text1"/>
                <w:szCs w:val="21"/>
                <w:highlight w:val="none"/>
              </w:rPr>
              <w:t>分）</w:t>
            </w:r>
          </w:p>
        </w:tc>
        <w:tc>
          <w:tcPr>
            <w:tcW w:w="6775" w:type="dxa"/>
            <w:vAlign w:val="center"/>
          </w:tcPr>
          <w:p>
            <w:pPr>
              <w:adjustRightInd w:val="0"/>
              <w:snapToGrid w:val="0"/>
              <w:rPr>
                <w:rFonts w:ascii="宋体" w:hAnsi="宋体" w:eastAsia="宋体" w:cs="Times New Roman"/>
                <w:b/>
                <w:bCs/>
                <w:color w:val="000000" w:themeColor="text1"/>
                <w:szCs w:val="21"/>
                <w:highlight w:val="none"/>
              </w:rPr>
            </w:pPr>
            <w:r>
              <w:rPr>
                <w:rFonts w:hint="eastAsia" w:ascii="宋体" w:hAnsi="宋体" w:eastAsia="宋体" w:cs="Times New Roman"/>
                <w:b/>
                <w:bCs/>
                <w:color w:val="000000" w:themeColor="text1"/>
                <w:szCs w:val="21"/>
                <w:highlight w:val="none"/>
              </w:rPr>
              <w:t>技术方案得分</w:t>
            </w:r>
          </w:p>
          <w:p>
            <w:pPr>
              <w:adjustRightInd w:val="0"/>
              <w:snapToGrid w:val="0"/>
              <w:rPr>
                <w:rFonts w:ascii="宋体" w:hAnsi="宋体" w:eastAsia="宋体" w:cs="楷体"/>
                <w:color w:val="000000" w:themeColor="text1"/>
                <w:szCs w:val="21"/>
                <w:highlight w:val="none"/>
              </w:rPr>
            </w:pPr>
            <w:r>
              <w:rPr>
                <w:rFonts w:hint="eastAsia" w:ascii="宋体" w:hAnsi="宋体" w:eastAsia="宋体" w:cs="Times New Roman"/>
                <w:color w:val="000000" w:themeColor="text1"/>
                <w:szCs w:val="21"/>
                <w:highlight w:val="none"/>
              </w:rPr>
              <w:t>（1</w:t>
            </w:r>
            <w:r>
              <w:rPr>
                <w:rFonts w:ascii="宋体" w:hAnsi="宋体" w:eastAsia="宋体" w:cs="Times New Roman"/>
                <w:color w:val="000000" w:themeColor="text1"/>
                <w:szCs w:val="21"/>
                <w:highlight w:val="none"/>
              </w:rPr>
              <w:t>0</w:t>
            </w:r>
            <w:r>
              <w:rPr>
                <w:rFonts w:hint="eastAsia" w:ascii="宋体" w:hAnsi="宋体" w:eastAsia="宋体" w:cs="Times New Roman"/>
                <w:color w:val="000000" w:themeColor="text1"/>
                <w:szCs w:val="21"/>
                <w:highlight w:val="none"/>
              </w:rPr>
              <w:t>分）根据投标人在本次项目上总体技术方向、先进性、安全性、易用性、灵活性、</w:t>
            </w:r>
            <w:r>
              <w:rPr>
                <w:rFonts w:ascii="宋体" w:hAnsi="宋体" w:eastAsia="宋体" w:cs="Times New Roman"/>
                <w:color w:val="000000" w:themeColor="text1"/>
                <w:szCs w:val="21"/>
                <w:highlight w:val="none"/>
              </w:rPr>
              <w:t>创新亮点或</w:t>
            </w:r>
            <w:r>
              <w:rPr>
                <w:rFonts w:hint="eastAsia" w:ascii="宋体" w:hAnsi="宋体" w:eastAsia="宋体" w:cs="Times New Roman"/>
                <w:color w:val="000000" w:themeColor="text1"/>
                <w:szCs w:val="21"/>
                <w:highlight w:val="none"/>
              </w:rPr>
              <w:t>技术</w:t>
            </w:r>
            <w:r>
              <w:rPr>
                <w:rFonts w:ascii="宋体" w:hAnsi="宋体" w:eastAsia="宋体" w:cs="Times New Roman"/>
                <w:color w:val="000000" w:themeColor="text1"/>
                <w:szCs w:val="21"/>
                <w:highlight w:val="none"/>
              </w:rPr>
              <w:t>优势</w:t>
            </w:r>
            <w:r>
              <w:rPr>
                <w:rFonts w:hint="eastAsia" w:ascii="宋体" w:hAnsi="宋体" w:eastAsia="宋体" w:cs="Times New Roman"/>
                <w:color w:val="000000" w:themeColor="text1"/>
                <w:szCs w:val="21"/>
                <w:highlight w:val="none"/>
              </w:rPr>
              <w:t>。评价为较好的3-</w:t>
            </w:r>
            <w:r>
              <w:rPr>
                <w:rFonts w:ascii="宋体" w:hAnsi="宋体" w:eastAsia="宋体" w:cs="Times New Roman"/>
                <w:color w:val="000000" w:themeColor="text1"/>
                <w:szCs w:val="21"/>
                <w:highlight w:val="none"/>
              </w:rPr>
              <w:t>10</w:t>
            </w:r>
            <w:r>
              <w:rPr>
                <w:rFonts w:hint="eastAsia" w:ascii="宋体" w:hAnsi="宋体" w:eastAsia="宋体" w:cs="Times New Roman"/>
                <w:color w:val="000000" w:themeColor="text1"/>
                <w:szCs w:val="21"/>
                <w:highlight w:val="none"/>
              </w:rPr>
              <w:t>分，一般的得</w:t>
            </w:r>
            <w:r>
              <w:rPr>
                <w:rFonts w:ascii="宋体" w:hAnsi="宋体" w:eastAsia="宋体" w:cs="Times New Roman"/>
                <w:color w:val="000000" w:themeColor="text1"/>
                <w:szCs w:val="21"/>
                <w:highlight w:val="none"/>
              </w:rPr>
              <w:t>0</w:t>
            </w:r>
            <w:r>
              <w:rPr>
                <w:rFonts w:hint="eastAsia" w:ascii="宋体" w:hAnsi="宋体" w:eastAsia="宋体" w:cs="Times New Roman"/>
                <w:color w:val="000000" w:themeColor="text1"/>
                <w:szCs w:val="21"/>
                <w:highlight w:val="none"/>
              </w:rPr>
              <w:t>-</w:t>
            </w:r>
            <w:r>
              <w:rPr>
                <w:rFonts w:ascii="宋体" w:hAnsi="宋体" w:eastAsia="宋体" w:cs="Times New Roman"/>
                <w:color w:val="000000" w:themeColor="text1"/>
                <w:szCs w:val="21"/>
                <w:highlight w:val="none"/>
              </w:rPr>
              <w:t>2</w:t>
            </w:r>
            <w:r>
              <w:rPr>
                <w:rFonts w:hint="eastAsia" w:ascii="宋体" w:hAnsi="宋体" w:eastAsia="宋体" w:cs="Times New Roman"/>
                <w:color w:val="000000" w:themeColor="text1"/>
                <w:szCs w:val="21"/>
                <w:highlight w:val="none"/>
              </w:rPr>
              <w:t>分。</w:t>
            </w:r>
          </w:p>
          <w:p>
            <w:pPr>
              <w:adjustRightInd w:val="0"/>
              <w:snapToGrid w:val="0"/>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w:t>
            </w:r>
            <w:r>
              <w:rPr>
                <w:rFonts w:ascii="宋体" w:hAnsi="宋体" w:eastAsia="宋体" w:cs="Times New Roman"/>
                <w:color w:val="000000" w:themeColor="text1"/>
                <w:szCs w:val="21"/>
                <w:highlight w:val="none"/>
              </w:rPr>
              <w:t>2</w:t>
            </w:r>
            <w:r>
              <w:rPr>
                <w:rFonts w:hint="eastAsia" w:ascii="宋体" w:hAnsi="宋体" w:eastAsia="宋体" w:cs="Times New Roman"/>
                <w:color w:val="000000" w:themeColor="text1"/>
                <w:szCs w:val="21"/>
                <w:highlight w:val="none"/>
              </w:rPr>
              <w:t>分）项目技术方案与本项目技术路线的一致性</w:t>
            </w:r>
            <w:r>
              <w:rPr>
                <w:rFonts w:ascii="宋体" w:hAnsi="宋体" w:eastAsia="宋体" w:cs="Times New Roman"/>
                <w:color w:val="000000" w:themeColor="text1"/>
                <w:szCs w:val="21"/>
                <w:highlight w:val="none"/>
              </w:rPr>
              <w:t>，</w:t>
            </w:r>
            <w:r>
              <w:rPr>
                <w:rFonts w:hint="eastAsia" w:ascii="宋体" w:hAnsi="宋体" w:eastAsia="宋体" w:cs="Times New Roman"/>
                <w:color w:val="000000" w:themeColor="text1"/>
                <w:szCs w:val="21"/>
                <w:highlight w:val="none"/>
              </w:rPr>
              <w:t>投标方采用的技术方案符合招标文件要求（要求基于SOA架构，采用J2EE架构、</w:t>
            </w:r>
            <w:r>
              <w:rPr>
                <w:rFonts w:hint="eastAsia" w:ascii="宋体" w:hAnsi="宋体" w:eastAsia="宋体" w:cs="楷体"/>
                <w:color w:val="000000" w:themeColor="text1"/>
                <w:szCs w:val="21"/>
                <w:highlight w:val="none"/>
              </w:rPr>
              <w:t>B/S系统架构</w:t>
            </w:r>
            <w:r>
              <w:rPr>
                <w:rFonts w:hint="eastAsia" w:ascii="宋体" w:hAnsi="宋体" w:eastAsia="宋体" w:cs="Times New Roman"/>
                <w:color w:val="000000" w:themeColor="text1"/>
                <w:szCs w:val="21"/>
                <w:highlight w:val="none"/>
              </w:rPr>
              <w:t>）</w:t>
            </w:r>
            <w:r>
              <w:rPr>
                <w:rFonts w:hint="eastAsia" w:ascii="宋体" w:hAnsi="宋体" w:eastAsia="宋体" w:cs="楷体"/>
                <w:color w:val="000000" w:themeColor="text1"/>
                <w:szCs w:val="21"/>
                <w:highlight w:val="none"/>
              </w:rPr>
              <w:t>。</w:t>
            </w:r>
            <w:r>
              <w:rPr>
                <w:rFonts w:hint="eastAsia" w:ascii="宋体" w:hAnsi="宋体" w:eastAsia="宋体" w:cs="Times New Roman"/>
                <w:color w:val="000000" w:themeColor="text1"/>
                <w:szCs w:val="21"/>
                <w:highlight w:val="none"/>
              </w:rPr>
              <w:t>符合得2分，不符合的</w:t>
            </w:r>
            <w:r>
              <w:rPr>
                <w:rFonts w:ascii="宋体" w:hAnsi="宋体" w:eastAsia="宋体" w:cs="Times New Roman"/>
                <w:color w:val="000000" w:themeColor="text1"/>
                <w:szCs w:val="21"/>
                <w:highlight w:val="none"/>
              </w:rPr>
              <w:t>0</w:t>
            </w:r>
            <w:r>
              <w:rPr>
                <w:rFonts w:hint="eastAsia" w:ascii="宋体" w:hAnsi="宋体" w:eastAsia="宋体" w:cs="Times New Roman"/>
                <w:color w:val="000000" w:themeColor="text1"/>
                <w:szCs w:val="21"/>
                <w:highlight w:val="none"/>
              </w:rPr>
              <w:t>分；</w:t>
            </w:r>
          </w:p>
          <w:p>
            <w:pPr>
              <w:adjustRightInd w:val="0"/>
              <w:snapToGrid w:val="0"/>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w:t>
            </w:r>
            <w:r>
              <w:rPr>
                <w:rFonts w:ascii="宋体" w:hAnsi="宋体" w:eastAsia="宋体" w:cs="Times New Roman"/>
                <w:color w:val="000000" w:themeColor="text1"/>
                <w:szCs w:val="21"/>
                <w:highlight w:val="none"/>
              </w:rPr>
              <w:t>3</w:t>
            </w:r>
            <w:r>
              <w:rPr>
                <w:rFonts w:hint="eastAsia" w:ascii="宋体" w:hAnsi="宋体" w:eastAsia="宋体" w:cs="Times New Roman"/>
                <w:color w:val="000000" w:themeColor="text1"/>
                <w:szCs w:val="21"/>
                <w:highlight w:val="none"/>
              </w:rPr>
              <w:t>分）投标方的软件开发，采用国际主流数据库ORACLE，且拥有ORACLE ASFU认定证书（Application Specific Full Use）应用程序特定全权使用协议，得3分，否则得0分。（复印件加盖公章装订于投标文件中）</w:t>
            </w:r>
          </w:p>
          <w:p>
            <w:pPr>
              <w:adjustRightInd w:val="0"/>
              <w:snapToGrid w:val="0"/>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（10分）技术部分需满足招标文件的加▲的技术参数要求，并单独提供相应的系统截图或实施方案，每项较好得分</w:t>
            </w:r>
            <w:r>
              <w:rPr>
                <w:rFonts w:ascii="宋体" w:hAnsi="宋体" w:eastAsia="宋体" w:cs="Times New Roman"/>
                <w:color w:val="000000" w:themeColor="text1"/>
                <w:szCs w:val="21"/>
                <w:highlight w:val="none"/>
              </w:rPr>
              <w:t>2</w:t>
            </w:r>
            <w:r>
              <w:rPr>
                <w:rFonts w:hint="eastAsia" w:ascii="宋体" w:hAnsi="宋体" w:eastAsia="宋体" w:cs="Times New Roman"/>
                <w:color w:val="000000" w:themeColor="text1"/>
                <w:szCs w:val="21"/>
                <w:highlight w:val="none"/>
              </w:rPr>
              <w:t>分，一般得1分，不提供不得分，此项最高得</w:t>
            </w:r>
            <w:r>
              <w:rPr>
                <w:rFonts w:ascii="宋体" w:hAnsi="宋体" w:eastAsia="宋体" w:cs="Times New Roman"/>
                <w:color w:val="000000" w:themeColor="text1"/>
                <w:szCs w:val="21"/>
                <w:highlight w:val="none"/>
              </w:rPr>
              <w:t>10</w:t>
            </w:r>
            <w:r>
              <w:rPr>
                <w:rFonts w:hint="eastAsia" w:ascii="宋体" w:hAnsi="宋体" w:eastAsia="宋体" w:cs="Times New Roman"/>
                <w:color w:val="000000" w:themeColor="text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09" w:type="dxa"/>
            <w:vAlign w:val="center"/>
          </w:tcPr>
          <w:p>
            <w:pPr>
              <w:autoSpaceDE w:val="0"/>
              <w:autoSpaceDN w:val="0"/>
              <w:adjustRightInd w:val="0"/>
              <w:snapToGrid w:val="0"/>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1310" w:type="dxa"/>
            <w:gridSpan w:val="2"/>
            <w:vAlign w:val="center"/>
          </w:tcPr>
          <w:p>
            <w:pPr>
              <w:autoSpaceDE w:val="0"/>
              <w:autoSpaceDN w:val="0"/>
              <w:adjustRightInd w:val="0"/>
              <w:snapToGrid w:val="0"/>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软件开发及安全要求（</w:t>
            </w:r>
            <w:r>
              <w:rPr>
                <w:rFonts w:ascii="宋体" w:hAnsi="宋体" w:eastAsia="宋体" w:cs="宋体"/>
                <w:color w:val="000000" w:themeColor="text1"/>
                <w:szCs w:val="21"/>
                <w:highlight w:val="none"/>
              </w:rPr>
              <w:t>8</w:t>
            </w:r>
            <w:r>
              <w:rPr>
                <w:rFonts w:hint="eastAsia" w:ascii="宋体" w:hAnsi="宋体" w:eastAsia="宋体" w:cs="宋体"/>
                <w:color w:val="000000" w:themeColor="text1"/>
                <w:szCs w:val="21"/>
                <w:highlight w:val="none"/>
              </w:rPr>
              <w:t>分）</w:t>
            </w:r>
          </w:p>
        </w:tc>
        <w:tc>
          <w:tcPr>
            <w:tcW w:w="6775" w:type="dxa"/>
            <w:vAlign w:val="center"/>
          </w:tcPr>
          <w:p>
            <w:pPr>
              <w:adjustRightInd w:val="0"/>
              <w:snapToGrid w:val="0"/>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1）要求投标人提供国家级授权认可软件检测机构出具的信息安全测试报告复印件予以佐证（报告检测内容项要求必须包含主机安全配置检查，数据库安全配置检查，应用安全测试检测，数据安全配置检查，应用漏洞扫描，应用渗透测试检测项。软件系统检测结果在主机安全，应用安全，数据安全，及备份恢复层面的中高危漏洞必须已经修复或者不存在）。提供符合上述要求的迎新管理与应用软件系统的检查报告得4分，不符合要求不得分。（需提供复印件加盖公章）；</w:t>
            </w:r>
          </w:p>
          <w:p>
            <w:pPr>
              <w:adjustRightInd w:val="0"/>
              <w:snapToGrid w:val="0"/>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2）投标人提供信息系统业务安全服务资质证书，并通过服务能力等级三级及以上要求得3分，不提供者不得分；（复印件加盖公章装订于投标文件中）；</w:t>
            </w:r>
          </w:p>
          <w:p>
            <w:pPr>
              <w:adjustRightInd w:val="0"/>
              <w:snapToGrid w:val="0"/>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3）投标人具有ISO27001信息安全管理体系认证证书，得3分。（复印件加盖公章装订于投标文件中）</w:t>
            </w:r>
          </w:p>
          <w:p>
            <w:pPr>
              <w:adjustRightInd w:val="0"/>
              <w:snapToGrid w:val="0"/>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以上各项积分累加，满分8分，超出按</w:t>
            </w:r>
            <w:r>
              <w:rPr>
                <w:rFonts w:ascii="宋体" w:hAnsi="宋体" w:eastAsia="宋体" w:cs="Times New Roman"/>
                <w:color w:val="000000" w:themeColor="text1"/>
                <w:szCs w:val="21"/>
                <w:highlight w:val="none"/>
              </w:rPr>
              <w:t>8</w:t>
            </w:r>
            <w:r>
              <w:rPr>
                <w:rFonts w:hint="eastAsia" w:ascii="宋体" w:hAnsi="宋体" w:eastAsia="宋体" w:cs="Times New Roman"/>
                <w:color w:val="000000" w:themeColor="text1"/>
                <w:szCs w:val="21"/>
                <w:highlight w:val="none"/>
              </w:rPr>
              <w:t>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7" w:hRule="atLeast"/>
          <w:jc w:val="center"/>
        </w:trPr>
        <w:tc>
          <w:tcPr>
            <w:tcW w:w="709" w:type="dxa"/>
            <w:vAlign w:val="center"/>
          </w:tcPr>
          <w:p>
            <w:pPr>
              <w:autoSpaceDE w:val="0"/>
              <w:autoSpaceDN w:val="0"/>
              <w:adjustRightInd w:val="0"/>
              <w:snapToGrid w:val="0"/>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w:t>
            </w:r>
          </w:p>
        </w:tc>
        <w:tc>
          <w:tcPr>
            <w:tcW w:w="1310" w:type="dxa"/>
            <w:gridSpan w:val="2"/>
            <w:vAlign w:val="center"/>
          </w:tcPr>
          <w:p>
            <w:pPr>
              <w:autoSpaceDE w:val="0"/>
              <w:autoSpaceDN w:val="0"/>
              <w:adjustRightInd w:val="0"/>
              <w:snapToGrid w:val="0"/>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企业综合实力</w:t>
            </w:r>
          </w:p>
          <w:p>
            <w:pPr>
              <w:autoSpaceDE w:val="0"/>
              <w:autoSpaceDN w:val="0"/>
              <w:adjustRightInd w:val="0"/>
              <w:snapToGrid w:val="0"/>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w:t>
            </w:r>
            <w:r>
              <w:rPr>
                <w:rFonts w:ascii="宋体" w:hAnsi="宋体" w:eastAsia="宋体" w:cs="宋体"/>
                <w:color w:val="000000" w:themeColor="text1"/>
                <w:szCs w:val="21"/>
                <w:highlight w:val="none"/>
              </w:rPr>
              <w:t>5</w:t>
            </w:r>
            <w:r>
              <w:rPr>
                <w:rFonts w:hint="eastAsia" w:ascii="宋体" w:hAnsi="宋体" w:eastAsia="宋体" w:cs="宋体"/>
                <w:color w:val="000000" w:themeColor="text1"/>
                <w:szCs w:val="21"/>
                <w:highlight w:val="none"/>
              </w:rPr>
              <w:t>分）</w:t>
            </w:r>
          </w:p>
        </w:tc>
        <w:tc>
          <w:tcPr>
            <w:tcW w:w="6775" w:type="dxa"/>
            <w:vAlign w:val="center"/>
          </w:tcPr>
          <w:p>
            <w:pPr>
              <w:numPr>
                <w:ilvl w:val="0"/>
                <w:numId w:val="2"/>
              </w:numPr>
              <w:adjustRightInd w:val="0"/>
              <w:snapToGrid w:val="0"/>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投标人须提供第三方评级机构颁发的企业资信等级证明，获得AAA以及以上证书得2分，不提供者不得分；</w:t>
            </w:r>
          </w:p>
          <w:p>
            <w:pPr>
              <w:numPr>
                <w:ilvl w:val="0"/>
                <w:numId w:val="2"/>
              </w:numPr>
              <w:adjustRightInd w:val="0"/>
              <w:snapToGrid w:val="0"/>
              <w:rPr>
                <w:rFonts w:ascii="宋体" w:hAnsi="宋体" w:eastAsia="宋体" w:cs="Times New Roman"/>
                <w:color w:val="000000" w:themeColor="text1"/>
                <w:szCs w:val="21"/>
                <w:highlight w:val="none"/>
              </w:rPr>
            </w:pPr>
            <w:r>
              <w:rPr>
                <w:rFonts w:hint="eastAsia" w:ascii="宋体" w:hAnsi="宋体" w:eastAsia="宋体" w:cs="楷体"/>
                <w:color w:val="000000" w:themeColor="text1"/>
                <w:szCs w:val="21"/>
                <w:highlight w:val="none"/>
              </w:rPr>
              <w:t>投标人</w:t>
            </w:r>
            <w:r>
              <w:rPr>
                <w:rFonts w:hint="eastAsia" w:ascii="宋体" w:hAnsi="宋体" w:eastAsia="宋体" w:cs="Times New Roman"/>
                <w:color w:val="000000" w:themeColor="text1"/>
                <w:szCs w:val="21"/>
                <w:highlight w:val="none"/>
              </w:rPr>
              <w:t>须提供计算机信息系统集成或信息系统集成及服务二级或以上认证证书。提供该项证明得2分，不提供者不得分；</w:t>
            </w:r>
          </w:p>
          <w:p>
            <w:pPr>
              <w:numPr>
                <w:ilvl w:val="0"/>
                <w:numId w:val="2"/>
              </w:numPr>
              <w:adjustRightInd w:val="0"/>
              <w:snapToGrid w:val="0"/>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投标人须有CMMI3级或以上认定证书，提供者得2分，不提供者不得分；</w:t>
            </w:r>
          </w:p>
          <w:p>
            <w:pPr>
              <w:numPr>
                <w:ilvl w:val="0"/>
                <w:numId w:val="2"/>
              </w:numPr>
              <w:adjustRightInd w:val="0"/>
              <w:snapToGrid w:val="0"/>
              <w:rPr>
                <w:rFonts w:ascii="宋体" w:hAnsi="宋体" w:eastAsia="宋体" w:cs="Times New Roman"/>
                <w:color w:val="000000" w:themeColor="text1"/>
                <w:szCs w:val="21"/>
                <w:highlight w:val="none"/>
              </w:rPr>
            </w:pPr>
            <w:r>
              <w:rPr>
                <w:rFonts w:hint="eastAsia" w:ascii="宋体" w:hAnsi="宋体" w:eastAsia="宋体" w:cs="楷体"/>
                <w:color w:val="000000" w:themeColor="text1"/>
                <w:szCs w:val="21"/>
                <w:highlight w:val="none"/>
              </w:rPr>
              <w:t>投标人</w:t>
            </w:r>
            <w:r>
              <w:rPr>
                <w:rFonts w:hint="eastAsia" w:ascii="宋体" w:hAnsi="宋体" w:eastAsia="宋体" w:cs="Times New Roman"/>
                <w:color w:val="000000" w:themeColor="text1"/>
                <w:szCs w:val="21"/>
                <w:highlight w:val="none"/>
              </w:rPr>
              <w:t>须提供信息技术服务运行维护标准符合性证书（ITSS）二级或以上认证证书。提供该项证明得2分，不提供者不得分；</w:t>
            </w:r>
          </w:p>
          <w:p>
            <w:pPr>
              <w:numPr>
                <w:ilvl w:val="0"/>
                <w:numId w:val="2"/>
              </w:numPr>
              <w:adjustRightInd w:val="0"/>
              <w:snapToGrid w:val="0"/>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获得国家规划布局内重点软件企业证书，提供该项证明得2分，不提供者不得分；</w:t>
            </w:r>
          </w:p>
          <w:p>
            <w:pPr>
              <w:numPr>
                <w:ilvl w:val="0"/>
                <w:numId w:val="2"/>
              </w:numPr>
              <w:adjustRightInd w:val="0"/>
              <w:snapToGrid w:val="0"/>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系统生产厂商具有相关系统软件著作权登记证书。满足得 2分，不满足得0分；</w:t>
            </w:r>
          </w:p>
          <w:p>
            <w:pPr>
              <w:numPr>
                <w:ilvl w:val="0"/>
                <w:numId w:val="2"/>
              </w:numPr>
              <w:adjustRightInd w:val="0"/>
              <w:snapToGrid w:val="0"/>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系统生产厂商具有ISO9000系列质量体系证书，满足得1分，不满足得0分。</w:t>
            </w:r>
          </w:p>
          <w:p>
            <w:pPr>
              <w:adjustRightInd w:val="0"/>
              <w:snapToGrid w:val="0"/>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以上各项积分累加，最高取</w:t>
            </w:r>
            <w:r>
              <w:rPr>
                <w:rFonts w:ascii="宋体" w:hAnsi="宋体" w:eastAsia="宋体" w:cs="Times New Roman"/>
                <w:color w:val="000000" w:themeColor="text1"/>
                <w:szCs w:val="21"/>
                <w:highlight w:val="none"/>
              </w:rPr>
              <w:t>5</w:t>
            </w:r>
            <w:r>
              <w:rPr>
                <w:rFonts w:hint="eastAsia" w:ascii="宋体" w:hAnsi="宋体" w:eastAsia="宋体" w:cs="Times New Roman"/>
                <w:color w:val="000000" w:themeColor="text1"/>
                <w:szCs w:val="21"/>
                <w:highlight w:val="none"/>
              </w:rPr>
              <w:t>分。</w:t>
            </w:r>
          </w:p>
          <w:p>
            <w:pPr>
              <w:adjustRightInd w:val="0"/>
              <w:snapToGrid w:val="0"/>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（以上证书均需提供复印件，并加盖投标人公章）。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709" w:type="dxa"/>
            <w:vAlign w:val="center"/>
          </w:tcPr>
          <w:p>
            <w:pPr>
              <w:autoSpaceDE w:val="0"/>
              <w:autoSpaceDN w:val="0"/>
              <w:adjustRightInd w:val="0"/>
              <w:snapToGrid w:val="0"/>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w:t>
            </w:r>
          </w:p>
        </w:tc>
        <w:tc>
          <w:tcPr>
            <w:tcW w:w="1310" w:type="dxa"/>
            <w:gridSpan w:val="2"/>
            <w:vAlign w:val="center"/>
          </w:tcPr>
          <w:p>
            <w:pPr>
              <w:autoSpaceDE w:val="0"/>
              <w:autoSpaceDN w:val="0"/>
              <w:adjustRightInd w:val="0"/>
              <w:snapToGrid w:val="0"/>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业绩</w:t>
            </w:r>
          </w:p>
          <w:p>
            <w:pPr>
              <w:autoSpaceDE w:val="0"/>
              <w:autoSpaceDN w:val="0"/>
              <w:adjustRightInd w:val="0"/>
              <w:snapToGrid w:val="0"/>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（10分）</w:t>
            </w:r>
          </w:p>
        </w:tc>
        <w:tc>
          <w:tcPr>
            <w:tcW w:w="6775" w:type="dxa"/>
            <w:vAlign w:val="center"/>
          </w:tcPr>
          <w:p>
            <w:pPr>
              <w:adjustRightInd w:val="0"/>
              <w:snapToGrid w:val="0"/>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投标人提供近</w:t>
            </w:r>
            <w:r>
              <w:rPr>
                <w:rFonts w:ascii="宋体" w:hAnsi="宋体" w:eastAsia="宋体" w:cs="Times New Roman"/>
                <w:color w:val="000000" w:themeColor="text1"/>
                <w:szCs w:val="21"/>
                <w:highlight w:val="none"/>
              </w:rPr>
              <w:t>3</w:t>
            </w:r>
            <w:r>
              <w:rPr>
                <w:rFonts w:hint="eastAsia" w:ascii="宋体" w:hAnsi="宋体" w:eastAsia="宋体" w:cs="Times New Roman"/>
                <w:color w:val="000000" w:themeColor="text1"/>
                <w:szCs w:val="21"/>
                <w:highlight w:val="none"/>
              </w:rPr>
              <w:t>年内，面向本科高校迎新管理服务系统软件开发单体合同金额20万（含）以上案例，要求提供合同复印件（加盖公章），每提供1个得2分，最多10分。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7" w:hRule="atLeast"/>
          <w:jc w:val="center"/>
        </w:trPr>
        <w:tc>
          <w:tcPr>
            <w:tcW w:w="709" w:type="dxa"/>
            <w:vAlign w:val="center"/>
          </w:tcPr>
          <w:p>
            <w:pPr>
              <w:autoSpaceDE w:val="0"/>
              <w:autoSpaceDN w:val="0"/>
              <w:adjustRightInd w:val="0"/>
              <w:snapToGrid w:val="0"/>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w:t>
            </w:r>
          </w:p>
        </w:tc>
        <w:tc>
          <w:tcPr>
            <w:tcW w:w="1297" w:type="dxa"/>
            <w:vAlign w:val="center"/>
          </w:tcPr>
          <w:p>
            <w:pPr>
              <w:autoSpaceDE w:val="0"/>
              <w:autoSpaceDN w:val="0"/>
              <w:adjustRightInd w:val="0"/>
              <w:snapToGrid w:val="0"/>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服务</w:t>
            </w:r>
          </w:p>
          <w:p>
            <w:pPr>
              <w:autoSpaceDE w:val="0"/>
              <w:autoSpaceDN w:val="0"/>
              <w:adjustRightInd w:val="0"/>
              <w:snapToGrid w:val="0"/>
              <w:jc w:val="center"/>
              <w:rPr>
                <w:rFonts w:ascii="宋体" w:hAnsi="宋体" w:eastAsia="宋体" w:cs="宋体"/>
                <w:b/>
                <w:color w:val="000000" w:themeColor="text1"/>
                <w:szCs w:val="21"/>
                <w:highlight w:val="none"/>
              </w:rPr>
            </w:pPr>
            <w:r>
              <w:rPr>
                <w:rFonts w:hint="eastAsia" w:ascii="宋体" w:hAnsi="宋体" w:eastAsia="宋体" w:cs="宋体"/>
                <w:color w:val="000000" w:themeColor="text1"/>
                <w:szCs w:val="21"/>
                <w:highlight w:val="none"/>
              </w:rPr>
              <w:t>（10分）</w:t>
            </w:r>
          </w:p>
        </w:tc>
        <w:tc>
          <w:tcPr>
            <w:tcW w:w="6788" w:type="dxa"/>
            <w:gridSpan w:val="2"/>
            <w:vAlign w:val="center"/>
          </w:tcPr>
          <w:p>
            <w:pPr>
              <w:adjustRightInd w:val="0"/>
              <w:snapToGrid w:val="0"/>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能提出较完善的售后服务方案，至少包括项目管理与质量控制措施、售后服务内容和范围、售后服务的请求方式和响应方式，符合得2分，不符合的</w:t>
            </w:r>
            <w:r>
              <w:rPr>
                <w:rFonts w:ascii="宋体" w:hAnsi="宋体" w:eastAsia="宋体" w:cs="Times New Roman"/>
                <w:color w:val="000000" w:themeColor="text1"/>
                <w:szCs w:val="21"/>
                <w:highlight w:val="none"/>
              </w:rPr>
              <w:t xml:space="preserve"> 0 </w:t>
            </w:r>
            <w:r>
              <w:rPr>
                <w:rFonts w:hint="eastAsia" w:ascii="宋体" w:hAnsi="宋体" w:eastAsia="宋体" w:cs="Times New Roman"/>
                <w:color w:val="000000" w:themeColor="text1"/>
                <w:szCs w:val="21"/>
                <w:highlight w:val="none"/>
              </w:rPr>
              <w:t>分。</w:t>
            </w:r>
          </w:p>
          <w:p>
            <w:pPr>
              <w:adjustRightInd w:val="0"/>
              <w:snapToGrid w:val="0"/>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投标方具有面向校方运维人员的在线售后服务信息化支撑工具，并提供相关工具软件著作权作为证明材料，完全满足得4分，不满足得0分。</w:t>
            </w:r>
          </w:p>
          <w:p>
            <w:pPr>
              <w:adjustRightInd w:val="0"/>
              <w:snapToGrid w:val="0"/>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投标人指派驻场的项目经理具备高级项目经理职称（须提供职称证书复印件），且提供在投标单位近一年的社保清单，缺一不可，提供一份得2分，最多得4分。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3" w:hRule="atLeast"/>
          <w:jc w:val="center"/>
        </w:trPr>
        <w:tc>
          <w:tcPr>
            <w:tcW w:w="709" w:type="dxa"/>
            <w:vAlign w:val="center"/>
          </w:tcPr>
          <w:p>
            <w:pPr>
              <w:autoSpaceDE w:val="0"/>
              <w:autoSpaceDN w:val="0"/>
              <w:adjustRightInd w:val="0"/>
              <w:snapToGrid w:val="0"/>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w:t>
            </w:r>
          </w:p>
        </w:tc>
        <w:tc>
          <w:tcPr>
            <w:tcW w:w="1297" w:type="dxa"/>
            <w:vAlign w:val="center"/>
          </w:tcPr>
          <w:p>
            <w:pPr>
              <w:autoSpaceDE w:val="0"/>
              <w:autoSpaceDN w:val="0"/>
              <w:adjustRightInd w:val="0"/>
              <w:snapToGrid w:val="0"/>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演示</w:t>
            </w:r>
          </w:p>
          <w:p>
            <w:pPr>
              <w:autoSpaceDE w:val="0"/>
              <w:autoSpaceDN w:val="0"/>
              <w:adjustRightInd w:val="0"/>
              <w:snapToGrid w:val="0"/>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r>
              <w:rPr>
                <w:rFonts w:ascii="宋体" w:hAnsi="宋体" w:eastAsia="宋体" w:cs="宋体"/>
                <w:color w:val="000000" w:themeColor="text1"/>
                <w:szCs w:val="21"/>
                <w:highlight w:val="none"/>
              </w:rPr>
              <w:t>2</w:t>
            </w:r>
            <w:r>
              <w:rPr>
                <w:rFonts w:hint="eastAsia" w:ascii="宋体" w:hAnsi="宋体" w:eastAsia="宋体" w:cs="宋体"/>
                <w:color w:val="000000" w:themeColor="text1"/>
                <w:szCs w:val="21"/>
                <w:highlight w:val="none"/>
              </w:rPr>
              <w:t>分）</w:t>
            </w:r>
          </w:p>
        </w:tc>
        <w:tc>
          <w:tcPr>
            <w:tcW w:w="6788" w:type="dxa"/>
            <w:gridSpan w:val="2"/>
            <w:vAlign w:val="center"/>
          </w:tcPr>
          <w:p>
            <w:pPr>
              <w:adjustRightInd w:val="0"/>
              <w:snapToGrid w:val="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供应商提供演示视频（U盘寄送，未寄送演示视频视为无效投标），时长不超过8分钟。根据供应商对迎新管理服务系统的演示情况与使用部分的符合程度进行打分：</w:t>
            </w:r>
          </w:p>
          <w:p>
            <w:pPr>
              <w:adjustRightInd w:val="0"/>
              <w:snapToGrid w:val="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第一档（</w:t>
            </w:r>
            <w:r>
              <w:rPr>
                <w:rFonts w:ascii="宋体" w:hAnsi="宋体" w:eastAsia="宋体" w:cs="宋体"/>
                <w:color w:val="000000" w:themeColor="text1"/>
                <w:szCs w:val="21"/>
                <w:highlight w:val="none"/>
              </w:rPr>
              <w:t>5</w:t>
            </w:r>
            <w:r>
              <w:rPr>
                <w:rFonts w:hint="eastAsia" w:ascii="宋体" w:hAnsi="宋体" w:eastAsia="宋体" w:cs="宋体"/>
                <w:color w:val="000000" w:themeColor="text1"/>
                <w:szCs w:val="21"/>
                <w:highlight w:val="none"/>
              </w:rPr>
              <w:t>-1</w:t>
            </w:r>
            <w:r>
              <w:rPr>
                <w:rFonts w:ascii="宋体" w:hAnsi="宋体" w:eastAsia="宋体" w:cs="宋体"/>
                <w:color w:val="000000" w:themeColor="text1"/>
                <w:szCs w:val="21"/>
                <w:highlight w:val="none"/>
              </w:rPr>
              <w:t>2</w:t>
            </w:r>
            <w:r>
              <w:rPr>
                <w:rFonts w:hint="eastAsia" w:ascii="宋体" w:hAnsi="宋体" w:eastAsia="宋体" w:cs="宋体"/>
                <w:color w:val="000000" w:themeColor="text1"/>
                <w:szCs w:val="21"/>
                <w:highlight w:val="none"/>
              </w:rPr>
              <w:t>分）：供应商系统功能演示界面友好、可操作性强、功能完善丰富、完全满足用户实际需求；</w:t>
            </w:r>
          </w:p>
          <w:p>
            <w:pPr>
              <w:adjustRightInd w:val="0"/>
              <w:snapToGrid w:val="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第二档（</w:t>
            </w:r>
            <w:r>
              <w:rPr>
                <w:rFonts w:ascii="宋体" w:hAnsi="宋体" w:eastAsia="宋体" w:cs="宋体"/>
                <w:color w:val="000000" w:themeColor="text1"/>
                <w:szCs w:val="21"/>
                <w:highlight w:val="none"/>
              </w:rPr>
              <w:t>3</w:t>
            </w:r>
            <w:r>
              <w:rPr>
                <w:rFonts w:hint="eastAsia" w:ascii="宋体" w:hAnsi="宋体" w:eastAsia="宋体" w:cs="宋体"/>
                <w:color w:val="000000" w:themeColor="text1"/>
                <w:szCs w:val="21"/>
                <w:highlight w:val="none"/>
              </w:rPr>
              <w:t>-</w:t>
            </w:r>
            <w:r>
              <w:rPr>
                <w:rFonts w:ascii="宋体" w:hAnsi="宋体" w:eastAsia="宋体" w:cs="宋体"/>
                <w:color w:val="000000" w:themeColor="text1"/>
                <w:szCs w:val="21"/>
                <w:highlight w:val="none"/>
              </w:rPr>
              <w:t>4</w:t>
            </w:r>
            <w:r>
              <w:rPr>
                <w:rFonts w:hint="eastAsia" w:ascii="宋体" w:hAnsi="宋体" w:eastAsia="宋体" w:cs="宋体"/>
                <w:color w:val="000000" w:themeColor="text1"/>
                <w:szCs w:val="21"/>
                <w:highlight w:val="none"/>
              </w:rPr>
              <w:t>分）：供应商系统功能演示可操作性一般、功能完善、基本满足用户需求；</w:t>
            </w:r>
          </w:p>
          <w:p>
            <w:pPr>
              <w:adjustRightInd w:val="0"/>
              <w:snapToGrid w:val="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第三档（</w:t>
            </w:r>
            <w:r>
              <w:rPr>
                <w:rFonts w:ascii="宋体" w:hAnsi="宋体" w:eastAsia="宋体" w:cs="宋体"/>
                <w:color w:val="000000" w:themeColor="text1"/>
                <w:szCs w:val="21"/>
                <w:highlight w:val="none"/>
              </w:rPr>
              <w:t>1</w:t>
            </w:r>
            <w:r>
              <w:rPr>
                <w:rFonts w:hint="eastAsia" w:ascii="宋体" w:hAnsi="宋体" w:eastAsia="宋体" w:cs="宋体"/>
                <w:color w:val="000000" w:themeColor="text1"/>
                <w:szCs w:val="21"/>
                <w:highlight w:val="none"/>
              </w:rPr>
              <w:t>-</w:t>
            </w:r>
            <w:r>
              <w:rPr>
                <w:rFonts w:ascii="宋体" w:hAnsi="宋体" w:eastAsia="宋体" w:cs="宋体"/>
                <w:color w:val="000000" w:themeColor="text1"/>
                <w:szCs w:val="21"/>
                <w:highlight w:val="none"/>
              </w:rPr>
              <w:t>2</w:t>
            </w:r>
            <w:r>
              <w:rPr>
                <w:rFonts w:hint="eastAsia" w:ascii="宋体" w:hAnsi="宋体" w:eastAsia="宋体" w:cs="宋体"/>
                <w:color w:val="000000" w:themeColor="text1"/>
                <w:szCs w:val="21"/>
                <w:highlight w:val="none"/>
              </w:rPr>
              <w:t>分）：供应商系统功能演示可操作性较差、功能有缺漏、无法满足用户实际需求；</w:t>
            </w:r>
          </w:p>
          <w:p>
            <w:pPr>
              <w:adjustRightInd w:val="0"/>
              <w:snapToGrid w:val="0"/>
              <w:rPr>
                <w:rFonts w:ascii="宋体" w:hAnsi="宋体" w:eastAsia="宋体" w:cs="Times New Roman"/>
                <w:b/>
                <w:bCs/>
                <w:color w:val="000000" w:themeColor="text1"/>
                <w:szCs w:val="21"/>
                <w:highlight w:val="none"/>
              </w:rPr>
            </w:pPr>
            <w:r>
              <w:rPr>
                <w:rFonts w:hint="eastAsia" w:ascii="宋体" w:hAnsi="宋体" w:eastAsia="宋体" w:cs="宋体"/>
                <w:color w:val="000000" w:themeColor="text1"/>
                <w:szCs w:val="21"/>
                <w:highlight w:val="none"/>
              </w:rPr>
              <w:t>第四档（0分）：供应商未提供现场系统功能演示的本项不得分。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09" w:type="dxa"/>
            <w:vAlign w:val="center"/>
          </w:tcPr>
          <w:p>
            <w:pPr>
              <w:autoSpaceDE w:val="0"/>
              <w:autoSpaceDN w:val="0"/>
              <w:adjustRightInd w:val="0"/>
              <w:snapToGrid w:val="0"/>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8</w:t>
            </w:r>
          </w:p>
        </w:tc>
        <w:tc>
          <w:tcPr>
            <w:tcW w:w="1297" w:type="dxa"/>
            <w:vAlign w:val="center"/>
          </w:tcPr>
          <w:p>
            <w:pPr>
              <w:autoSpaceDE w:val="0"/>
              <w:autoSpaceDN w:val="0"/>
              <w:adjustRightInd w:val="0"/>
              <w:snapToGrid w:val="0"/>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保密协议与承诺</w:t>
            </w:r>
          </w:p>
          <w:p>
            <w:pPr>
              <w:autoSpaceDE w:val="0"/>
              <w:autoSpaceDN w:val="0"/>
              <w:adjustRightInd w:val="0"/>
              <w:snapToGrid w:val="0"/>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w:t>
            </w:r>
            <w:r>
              <w:rPr>
                <w:rFonts w:ascii="宋体" w:hAnsi="宋体" w:eastAsia="宋体" w:cs="宋体"/>
                <w:color w:val="000000" w:themeColor="text1"/>
                <w:szCs w:val="21"/>
                <w:highlight w:val="none"/>
              </w:rPr>
              <w:t>3</w:t>
            </w:r>
            <w:r>
              <w:rPr>
                <w:rFonts w:hint="eastAsia" w:ascii="宋体" w:hAnsi="宋体" w:eastAsia="宋体" w:cs="宋体"/>
                <w:color w:val="000000" w:themeColor="text1"/>
                <w:szCs w:val="21"/>
                <w:highlight w:val="none"/>
              </w:rPr>
              <w:t>分）</w:t>
            </w:r>
          </w:p>
        </w:tc>
        <w:tc>
          <w:tcPr>
            <w:tcW w:w="6788" w:type="dxa"/>
            <w:gridSpan w:val="2"/>
            <w:vAlign w:val="center"/>
          </w:tcPr>
          <w:p>
            <w:pPr>
              <w:adjustRightInd w:val="0"/>
              <w:snapToGrid w:val="0"/>
              <w:rPr>
                <w:rFonts w:ascii="宋体" w:hAnsi="宋体" w:eastAsia="宋体" w:cs="Times New Roman"/>
                <w:b/>
                <w:bCs/>
                <w:color w:val="000000" w:themeColor="text1"/>
                <w:szCs w:val="21"/>
                <w:highlight w:val="none"/>
              </w:rPr>
            </w:pPr>
            <w:r>
              <w:rPr>
                <w:rFonts w:hint="eastAsia" w:ascii="宋体" w:hAnsi="宋体" w:eastAsia="宋体" w:cs="宋体"/>
                <w:color w:val="000000" w:themeColor="text1"/>
                <w:szCs w:val="21"/>
                <w:highlight w:val="none"/>
              </w:rPr>
              <w:t>投标厂商必须提供承建本系统的保密协议，保密内容为系统所有数据、账号密码及一切可能涉及使用本系统的单位和个人信息。保密义务人为投标方所有工作人员及通过投标方接触本系统数据的所有人员。保密期限直至本系统废止后</w:t>
            </w:r>
            <w:r>
              <w:rPr>
                <w:rFonts w:ascii="宋体" w:hAnsi="宋体" w:eastAsia="宋体" w:cs="宋体"/>
                <w:color w:val="000000" w:themeColor="text1"/>
                <w:szCs w:val="21"/>
                <w:highlight w:val="none"/>
              </w:rPr>
              <w:t>10</w:t>
            </w:r>
            <w:r>
              <w:rPr>
                <w:rFonts w:hint="eastAsia" w:ascii="宋体" w:hAnsi="宋体" w:eastAsia="宋体" w:cs="宋体"/>
                <w:color w:val="000000" w:themeColor="text1"/>
                <w:szCs w:val="21"/>
                <w:highlight w:val="none"/>
              </w:rPr>
              <w:t>年。协议中需承诺违约责任，违约罚金不低于本项目合同价格的十倍。保密协议要求提供原件，加盖投标方公章。有保密协议且符合要求，得</w:t>
            </w:r>
            <w:r>
              <w:rPr>
                <w:rFonts w:ascii="宋体" w:hAnsi="宋体" w:eastAsia="宋体" w:cs="宋体"/>
                <w:color w:val="000000" w:themeColor="text1"/>
                <w:szCs w:val="21"/>
                <w:highlight w:val="none"/>
              </w:rPr>
              <w:t>3</w:t>
            </w:r>
            <w:r>
              <w:rPr>
                <w:rFonts w:hint="eastAsia" w:ascii="宋体" w:hAnsi="宋体" w:eastAsia="宋体" w:cs="宋体"/>
                <w:color w:val="000000" w:themeColor="text1"/>
                <w:szCs w:val="21"/>
                <w:highlight w:val="none"/>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709" w:type="dxa"/>
            <w:vAlign w:val="center"/>
          </w:tcPr>
          <w:p>
            <w:pPr>
              <w:autoSpaceDE w:val="0"/>
              <w:autoSpaceDN w:val="0"/>
              <w:adjustRightInd w:val="0"/>
              <w:snapToGrid w:val="0"/>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9</w:t>
            </w:r>
          </w:p>
        </w:tc>
        <w:tc>
          <w:tcPr>
            <w:tcW w:w="1297" w:type="dxa"/>
            <w:vAlign w:val="center"/>
          </w:tcPr>
          <w:p>
            <w:pPr>
              <w:autoSpaceDE w:val="0"/>
              <w:autoSpaceDN w:val="0"/>
              <w:adjustRightInd w:val="0"/>
              <w:snapToGrid w:val="0"/>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标书制作</w:t>
            </w:r>
          </w:p>
          <w:p>
            <w:pPr>
              <w:autoSpaceDE w:val="0"/>
              <w:autoSpaceDN w:val="0"/>
              <w:adjustRightInd w:val="0"/>
              <w:snapToGrid w:val="0"/>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（2分）</w:t>
            </w:r>
          </w:p>
        </w:tc>
        <w:tc>
          <w:tcPr>
            <w:tcW w:w="6788" w:type="dxa"/>
            <w:gridSpan w:val="2"/>
            <w:vAlign w:val="center"/>
          </w:tcPr>
          <w:p>
            <w:pPr>
              <w:adjustRightInd w:val="0"/>
              <w:snapToGrid w:val="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标书内容完整，制作规范，目录完整准确，便于阅读（2分）；</w:t>
            </w:r>
          </w:p>
          <w:p>
            <w:pPr>
              <w:adjustRightInd w:val="0"/>
              <w:snapToGrid w:val="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标书内容完整，目录准确（1分）</w:t>
            </w:r>
          </w:p>
          <w:p>
            <w:pPr>
              <w:adjustRightInd w:val="0"/>
              <w:snapToGrid w:val="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标书混乱（0分）</w:t>
            </w:r>
          </w:p>
        </w:tc>
      </w:tr>
      <w:bookmarkEnd w:id="10"/>
      <w:bookmarkEnd w:id="11"/>
    </w:tbl>
    <w:p>
      <w:pPr>
        <w:adjustRightInd w:val="0"/>
        <w:snapToGrid w:val="0"/>
        <w:spacing w:line="360" w:lineRule="auto"/>
        <w:rPr>
          <w:rFonts w:ascii="宋体" w:hAnsi="宋体" w:eastAsia="宋体"/>
          <w:sz w:val="24"/>
          <w:szCs w:val="24"/>
          <w:highlight w:val="none"/>
        </w:rPr>
      </w:pP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r>
        <w:rPr>
          <w:b/>
          <w:sz w:val="28"/>
          <w:szCs w:val="28"/>
          <w:highlight w:val="none"/>
        </w:rPr>
        <w:t xml:space="preserve"> </w:t>
      </w:r>
    </w:p>
    <w:p>
      <w:pPr>
        <w:adjustRightInd w:val="0"/>
        <w:snapToGrid w:val="0"/>
        <w:spacing w:before="156" w:beforeLines="50" w:after="156"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11"/>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11"/>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18"/>
        <w:tblW w:w="10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140"/>
        <w:gridCol w:w="1090"/>
        <w:gridCol w:w="1135"/>
        <w:gridCol w:w="1135"/>
        <w:gridCol w:w="1135"/>
        <w:gridCol w:w="1135"/>
        <w:gridCol w:w="1137"/>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8" w:type="dxa"/>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1140" w:type="dxa"/>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1090" w:type="dxa"/>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1135" w:type="dxa"/>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1135" w:type="dxa"/>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1135" w:type="dxa"/>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1135" w:type="dxa"/>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1137" w:type="dxa"/>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1145" w:type="dxa"/>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center"/>
          </w:tcPr>
          <w:p>
            <w:pPr>
              <w:spacing w:line="360" w:lineRule="auto"/>
              <w:jc w:val="center"/>
              <w:rPr>
                <w:rFonts w:ascii="宋体"/>
                <w:sz w:val="24"/>
                <w:highlight w:val="none"/>
              </w:rPr>
            </w:pPr>
          </w:p>
        </w:tc>
        <w:tc>
          <w:tcPr>
            <w:tcW w:w="1140" w:type="dxa"/>
            <w:vAlign w:val="center"/>
          </w:tcPr>
          <w:p>
            <w:pPr>
              <w:spacing w:line="360" w:lineRule="auto"/>
              <w:jc w:val="center"/>
              <w:rPr>
                <w:rFonts w:ascii="宋体"/>
                <w:sz w:val="24"/>
                <w:highlight w:val="none"/>
              </w:rPr>
            </w:pPr>
          </w:p>
        </w:tc>
        <w:tc>
          <w:tcPr>
            <w:tcW w:w="1090" w:type="dxa"/>
          </w:tcPr>
          <w:p>
            <w:pPr>
              <w:spacing w:line="360" w:lineRule="auto"/>
              <w:jc w:val="center"/>
              <w:rPr>
                <w:rFonts w:ascii="宋体"/>
                <w:sz w:val="24"/>
                <w:highlight w:val="none"/>
              </w:rPr>
            </w:pPr>
          </w:p>
        </w:tc>
        <w:tc>
          <w:tcPr>
            <w:tcW w:w="1135" w:type="dxa"/>
            <w:vAlign w:val="center"/>
          </w:tcPr>
          <w:p>
            <w:pPr>
              <w:spacing w:line="360" w:lineRule="auto"/>
              <w:jc w:val="center"/>
              <w:rPr>
                <w:rFonts w:ascii="宋体"/>
                <w:sz w:val="24"/>
                <w:highlight w:val="none"/>
              </w:rPr>
            </w:pPr>
          </w:p>
        </w:tc>
        <w:tc>
          <w:tcPr>
            <w:tcW w:w="1135" w:type="dxa"/>
            <w:vAlign w:val="center"/>
          </w:tcPr>
          <w:p>
            <w:pPr>
              <w:spacing w:line="360" w:lineRule="auto"/>
              <w:jc w:val="center"/>
              <w:rPr>
                <w:rFonts w:ascii="宋体"/>
                <w:sz w:val="24"/>
                <w:highlight w:val="none"/>
              </w:rPr>
            </w:pPr>
          </w:p>
        </w:tc>
        <w:tc>
          <w:tcPr>
            <w:tcW w:w="1135" w:type="dxa"/>
            <w:vAlign w:val="center"/>
          </w:tcPr>
          <w:p>
            <w:pPr>
              <w:spacing w:line="360" w:lineRule="auto"/>
              <w:jc w:val="center"/>
              <w:rPr>
                <w:rFonts w:ascii="宋体"/>
                <w:sz w:val="24"/>
                <w:highlight w:val="none"/>
              </w:rPr>
            </w:pPr>
          </w:p>
        </w:tc>
        <w:tc>
          <w:tcPr>
            <w:tcW w:w="1135" w:type="dxa"/>
            <w:vAlign w:val="center"/>
          </w:tcPr>
          <w:p>
            <w:pPr>
              <w:spacing w:line="360" w:lineRule="auto"/>
              <w:jc w:val="center"/>
              <w:rPr>
                <w:rFonts w:ascii="宋体"/>
                <w:sz w:val="24"/>
                <w:highlight w:val="none"/>
              </w:rPr>
            </w:pPr>
          </w:p>
        </w:tc>
        <w:tc>
          <w:tcPr>
            <w:tcW w:w="1137" w:type="dxa"/>
            <w:vAlign w:val="center"/>
          </w:tcPr>
          <w:p>
            <w:pPr>
              <w:spacing w:line="360" w:lineRule="auto"/>
              <w:jc w:val="center"/>
              <w:rPr>
                <w:rFonts w:ascii="宋体"/>
                <w:sz w:val="24"/>
                <w:highlight w:val="none"/>
              </w:rPr>
            </w:pPr>
          </w:p>
        </w:tc>
        <w:tc>
          <w:tcPr>
            <w:tcW w:w="1145"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center"/>
          </w:tcPr>
          <w:p>
            <w:pPr>
              <w:spacing w:line="360" w:lineRule="auto"/>
              <w:jc w:val="center"/>
              <w:rPr>
                <w:rFonts w:ascii="宋体"/>
                <w:sz w:val="24"/>
                <w:highlight w:val="none"/>
              </w:rPr>
            </w:pPr>
          </w:p>
        </w:tc>
        <w:tc>
          <w:tcPr>
            <w:tcW w:w="1140" w:type="dxa"/>
            <w:vAlign w:val="center"/>
          </w:tcPr>
          <w:p>
            <w:pPr>
              <w:spacing w:line="360" w:lineRule="auto"/>
              <w:jc w:val="center"/>
              <w:rPr>
                <w:rFonts w:ascii="宋体"/>
                <w:sz w:val="24"/>
                <w:highlight w:val="none"/>
              </w:rPr>
            </w:pPr>
          </w:p>
        </w:tc>
        <w:tc>
          <w:tcPr>
            <w:tcW w:w="1090" w:type="dxa"/>
          </w:tcPr>
          <w:p>
            <w:pPr>
              <w:spacing w:line="360" w:lineRule="auto"/>
              <w:jc w:val="center"/>
              <w:rPr>
                <w:rFonts w:ascii="宋体"/>
                <w:sz w:val="24"/>
                <w:highlight w:val="none"/>
              </w:rPr>
            </w:pPr>
          </w:p>
        </w:tc>
        <w:tc>
          <w:tcPr>
            <w:tcW w:w="1135" w:type="dxa"/>
            <w:vAlign w:val="center"/>
          </w:tcPr>
          <w:p>
            <w:pPr>
              <w:spacing w:line="360" w:lineRule="auto"/>
              <w:jc w:val="center"/>
              <w:rPr>
                <w:rFonts w:ascii="宋体"/>
                <w:sz w:val="24"/>
                <w:highlight w:val="none"/>
              </w:rPr>
            </w:pPr>
          </w:p>
        </w:tc>
        <w:tc>
          <w:tcPr>
            <w:tcW w:w="1135" w:type="dxa"/>
            <w:vAlign w:val="center"/>
          </w:tcPr>
          <w:p>
            <w:pPr>
              <w:spacing w:line="360" w:lineRule="auto"/>
              <w:jc w:val="center"/>
              <w:rPr>
                <w:rFonts w:ascii="宋体"/>
                <w:sz w:val="24"/>
                <w:highlight w:val="none"/>
              </w:rPr>
            </w:pPr>
          </w:p>
        </w:tc>
        <w:tc>
          <w:tcPr>
            <w:tcW w:w="1135" w:type="dxa"/>
            <w:vAlign w:val="center"/>
          </w:tcPr>
          <w:p>
            <w:pPr>
              <w:spacing w:line="360" w:lineRule="auto"/>
              <w:jc w:val="center"/>
              <w:rPr>
                <w:rFonts w:ascii="宋体"/>
                <w:sz w:val="24"/>
                <w:highlight w:val="none"/>
              </w:rPr>
            </w:pPr>
          </w:p>
        </w:tc>
        <w:tc>
          <w:tcPr>
            <w:tcW w:w="1135" w:type="dxa"/>
            <w:vAlign w:val="center"/>
          </w:tcPr>
          <w:p>
            <w:pPr>
              <w:spacing w:line="360" w:lineRule="auto"/>
              <w:jc w:val="center"/>
              <w:rPr>
                <w:rFonts w:ascii="宋体"/>
                <w:sz w:val="24"/>
                <w:highlight w:val="none"/>
              </w:rPr>
            </w:pPr>
          </w:p>
        </w:tc>
        <w:tc>
          <w:tcPr>
            <w:tcW w:w="1137" w:type="dxa"/>
            <w:vAlign w:val="center"/>
          </w:tcPr>
          <w:p>
            <w:pPr>
              <w:spacing w:line="360" w:lineRule="auto"/>
              <w:jc w:val="center"/>
              <w:rPr>
                <w:rFonts w:ascii="宋体"/>
                <w:sz w:val="24"/>
                <w:highlight w:val="none"/>
              </w:rPr>
            </w:pPr>
          </w:p>
        </w:tc>
        <w:tc>
          <w:tcPr>
            <w:tcW w:w="1145"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center"/>
          </w:tcPr>
          <w:p>
            <w:pPr>
              <w:spacing w:line="360" w:lineRule="auto"/>
              <w:jc w:val="center"/>
              <w:rPr>
                <w:rFonts w:ascii="宋体"/>
                <w:sz w:val="24"/>
                <w:highlight w:val="none"/>
              </w:rPr>
            </w:pPr>
          </w:p>
        </w:tc>
        <w:tc>
          <w:tcPr>
            <w:tcW w:w="1140" w:type="dxa"/>
            <w:vAlign w:val="center"/>
          </w:tcPr>
          <w:p>
            <w:pPr>
              <w:spacing w:line="360" w:lineRule="auto"/>
              <w:jc w:val="center"/>
              <w:rPr>
                <w:rFonts w:ascii="宋体"/>
                <w:sz w:val="24"/>
                <w:highlight w:val="none"/>
              </w:rPr>
            </w:pPr>
          </w:p>
        </w:tc>
        <w:tc>
          <w:tcPr>
            <w:tcW w:w="1090" w:type="dxa"/>
          </w:tcPr>
          <w:p>
            <w:pPr>
              <w:spacing w:line="360" w:lineRule="auto"/>
              <w:jc w:val="center"/>
              <w:rPr>
                <w:rFonts w:ascii="宋体"/>
                <w:sz w:val="24"/>
                <w:highlight w:val="none"/>
              </w:rPr>
            </w:pPr>
          </w:p>
        </w:tc>
        <w:tc>
          <w:tcPr>
            <w:tcW w:w="1135" w:type="dxa"/>
            <w:vAlign w:val="center"/>
          </w:tcPr>
          <w:p>
            <w:pPr>
              <w:spacing w:line="360" w:lineRule="auto"/>
              <w:jc w:val="center"/>
              <w:rPr>
                <w:rFonts w:ascii="宋体"/>
                <w:sz w:val="24"/>
                <w:highlight w:val="none"/>
              </w:rPr>
            </w:pPr>
          </w:p>
        </w:tc>
        <w:tc>
          <w:tcPr>
            <w:tcW w:w="1135" w:type="dxa"/>
            <w:vAlign w:val="center"/>
          </w:tcPr>
          <w:p>
            <w:pPr>
              <w:spacing w:line="360" w:lineRule="auto"/>
              <w:jc w:val="center"/>
              <w:rPr>
                <w:rFonts w:ascii="宋体"/>
                <w:sz w:val="24"/>
                <w:highlight w:val="none"/>
              </w:rPr>
            </w:pPr>
          </w:p>
        </w:tc>
        <w:tc>
          <w:tcPr>
            <w:tcW w:w="1135" w:type="dxa"/>
            <w:vAlign w:val="center"/>
          </w:tcPr>
          <w:p>
            <w:pPr>
              <w:spacing w:line="360" w:lineRule="auto"/>
              <w:jc w:val="center"/>
              <w:rPr>
                <w:rFonts w:ascii="宋体"/>
                <w:sz w:val="24"/>
                <w:highlight w:val="none"/>
              </w:rPr>
            </w:pPr>
          </w:p>
        </w:tc>
        <w:tc>
          <w:tcPr>
            <w:tcW w:w="1135" w:type="dxa"/>
            <w:vAlign w:val="center"/>
          </w:tcPr>
          <w:p>
            <w:pPr>
              <w:spacing w:line="360" w:lineRule="auto"/>
              <w:jc w:val="center"/>
              <w:rPr>
                <w:rFonts w:ascii="宋体"/>
                <w:sz w:val="24"/>
                <w:highlight w:val="none"/>
              </w:rPr>
            </w:pPr>
          </w:p>
        </w:tc>
        <w:tc>
          <w:tcPr>
            <w:tcW w:w="1137" w:type="dxa"/>
            <w:vAlign w:val="center"/>
          </w:tcPr>
          <w:p>
            <w:pPr>
              <w:spacing w:line="360" w:lineRule="auto"/>
              <w:jc w:val="center"/>
              <w:rPr>
                <w:rFonts w:ascii="宋体"/>
                <w:sz w:val="24"/>
                <w:highlight w:val="none"/>
              </w:rPr>
            </w:pPr>
          </w:p>
        </w:tc>
        <w:tc>
          <w:tcPr>
            <w:tcW w:w="1145"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center"/>
          </w:tcPr>
          <w:p>
            <w:pPr>
              <w:spacing w:line="360" w:lineRule="auto"/>
              <w:jc w:val="center"/>
              <w:rPr>
                <w:rFonts w:ascii="宋体"/>
                <w:sz w:val="24"/>
                <w:highlight w:val="none"/>
              </w:rPr>
            </w:pPr>
          </w:p>
        </w:tc>
        <w:tc>
          <w:tcPr>
            <w:tcW w:w="1140" w:type="dxa"/>
            <w:vAlign w:val="center"/>
          </w:tcPr>
          <w:p>
            <w:pPr>
              <w:spacing w:line="360" w:lineRule="auto"/>
              <w:jc w:val="center"/>
              <w:rPr>
                <w:rFonts w:ascii="宋体"/>
                <w:sz w:val="24"/>
                <w:highlight w:val="none"/>
              </w:rPr>
            </w:pPr>
          </w:p>
        </w:tc>
        <w:tc>
          <w:tcPr>
            <w:tcW w:w="1090" w:type="dxa"/>
          </w:tcPr>
          <w:p>
            <w:pPr>
              <w:spacing w:line="360" w:lineRule="auto"/>
              <w:jc w:val="center"/>
              <w:rPr>
                <w:rFonts w:ascii="宋体"/>
                <w:sz w:val="24"/>
                <w:highlight w:val="none"/>
              </w:rPr>
            </w:pPr>
          </w:p>
        </w:tc>
        <w:tc>
          <w:tcPr>
            <w:tcW w:w="1135" w:type="dxa"/>
            <w:vAlign w:val="center"/>
          </w:tcPr>
          <w:p>
            <w:pPr>
              <w:spacing w:line="360" w:lineRule="auto"/>
              <w:jc w:val="center"/>
              <w:rPr>
                <w:rFonts w:ascii="宋体"/>
                <w:sz w:val="24"/>
                <w:highlight w:val="none"/>
              </w:rPr>
            </w:pPr>
          </w:p>
        </w:tc>
        <w:tc>
          <w:tcPr>
            <w:tcW w:w="1135" w:type="dxa"/>
            <w:vAlign w:val="center"/>
          </w:tcPr>
          <w:p>
            <w:pPr>
              <w:spacing w:line="360" w:lineRule="auto"/>
              <w:jc w:val="center"/>
              <w:rPr>
                <w:rFonts w:ascii="宋体"/>
                <w:sz w:val="24"/>
                <w:highlight w:val="none"/>
              </w:rPr>
            </w:pPr>
          </w:p>
        </w:tc>
        <w:tc>
          <w:tcPr>
            <w:tcW w:w="1135" w:type="dxa"/>
            <w:vAlign w:val="center"/>
          </w:tcPr>
          <w:p>
            <w:pPr>
              <w:spacing w:line="360" w:lineRule="auto"/>
              <w:jc w:val="center"/>
              <w:rPr>
                <w:rFonts w:ascii="宋体"/>
                <w:sz w:val="24"/>
                <w:highlight w:val="none"/>
              </w:rPr>
            </w:pPr>
          </w:p>
        </w:tc>
        <w:tc>
          <w:tcPr>
            <w:tcW w:w="1135" w:type="dxa"/>
            <w:vAlign w:val="center"/>
          </w:tcPr>
          <w:p>
            <w:pPr>
              <w:spacing w:line="360" w:lineRule="auto"/>
              <w:jc w:val="center"/>
              <w:rPr>
                <w:rFonts w:ascii="宋体"/>
                <w:sz w:val="24"/>
                <w:highlight w:val="none"/>
              </w:rPr>
            </w:pPr>
          </w:p>
        </w:tc>
        <w:tc>
          <w:tcPr>
            <w:tcW w:w="1137" w:type="dxa"/>
            <w:vAlign w:val="center"/>
          </w:tcPr>
          <w:p>
            <w:pPr>
              <w:spacing w:line="360" w:lineRule="auto"/>
              <w:jc w:val="center"/>
              <w:rPr>
                <w:rFonts w:ascii="宋体"/>
                <w:sz w:val="24"/>
                <w:highlight w:val="none"/>
              </w:rPr>
            </w:pPr>
          </w:p>
        </w:tc>
        <w:tc>
          <w:tcPr>
            <w:tcW w:w="1145"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center"/>
          </w:tcPr>
          <w:p>
            <w:pPr>
              <w:spacing w:line="360" w:lineRule="auto"/>
              <w:jc w:val="center"/>
              <w:rPr>
                <w:rFonts w:ascii="宋体"/>
                <w:sz w:val="24"/>
                <w:highlight w:val="none"/>
              </w:rPr>
            </w:pPr>
          </w:p>
        </w:tc>
        <w:tc>
          <w:tcPr>
            <w:tcW w:w="1140" w:type="dxa"/>
            <w:vAlign w:val="center"/>
          </w:tcPr>
          <w:p>
            <w:pPr>
              <w:spacing w:line="360" w:lineRule="auto"/>
              <w:jc w:val="center"/>
              <w:rPr>
                <w:rFonts w:ascii="宋体"/>
                <w:sz w:val="24"/>
                <w:highlight w:val="none"/>
              </w:rPr>
            </w:pPr>
          </w:p>
        </w:tc>
        <w:tc>
          <w:tcPr>
            <w:tcW w:w="1090" w:type="dxa"/>
          </w:tcPr>
          <w:p>
            <w:pPr>
              <w:spacing w:line="360" w:lineRule="auto"/>
              <w:jc w:val="center"/>
              <w:rPr>
                <w:rFonts w:ascii="宋体"/>
                <w:sz w:val="24"/>
                <w:highlight w:val="none"/>
              </w:rPr>
            </w:pPr>
          </w:p>
        </w:tc>
        <w:tc>
          <w:tcPr>
            <w:tcW w:w="1135" w:type="dxa"/>
            <w:vAlign w:val="center"/>
          </w:tcPr>
          <w:p>
            <w:pPr>
              <w:spacing w:line="360" w:lineRule="auto"/>
              <w:jc w:val="center"/>
              <w:rPr>
                <w:rFonts w:ascii="宋体"/>
                <w:sz w:val="24"/>
                <w:highlight w:val="none"/>
              </w:rPr>
            </w:pPr>
          </w:p>
        </w:tc>
        <w:tc>
          <w:tcPr>
            <w:tcW w:w="1135" w:type="dxa"/>
            <w:vAlign w:val="center"/>
          </w:tcPr>
          <w:p>
            <w:pPr>
              <w:spacing w:line="360" w:lineRule="auto"/>
              <w:jc w:val="center"/>
              <w:rPr>
                <w:rFonts w:ascii="宋体"/>
                <w:sz w:val="24"/>
                <w:highlight w:val="none"/>
              </w:rPr>
            </w:pPr>
          </w:p>
        </w:tc>
        <w:tc>
          <w:tcPr>
            <w:tcW w:w="1135" w:type="dxa"/>
            <w:vAlign w:val="center"/>
          </w:tcPr>
          <w:p>
            <w:pPr>
              <w:spacing w:line="360" w:lineRule="auto"/>
              <w:jc w:val="center"/>
              <w:rPr>
                <w:rFonts w:ascii="宋体"/>
                <w:sz w:val="24"/>
                <w:highlight w:val="none"/>
              </w:rPr>
            </w:pPr>
          </w:p>
        </w:tc>
        <w:tc>
          <w:tcPr>
            <w:tcW w:w="1135" w:type="dxa"/>
            <w:vAlign w:val="center"/>
          </w:tcPr>
          <w:p>
            <w:pPr>
              <w:spacing w:line="360" w:lineRule="auto"/>
              <w:jc w:val="center"/>
              <w:rPr>
                <w:rFonts w:ascii="宋体"/>
                <w:sz w:val="24"/>
                <w:highlight w:val="none"/>
              </w:rPr>
            </w:pPr>
          </w:p>
        </w:tc>
        <w:tc>
          <w:tcPr>
            <w:tcW w:w="1137" w:type="dxa"/>
            <w:vAlign w:val="center"/>
          </w:tcPr>
          <w:p>
            <w:pPr>
              <w:spacing w:line="360" w:lineRule="auto"/>
              <w:jc w:val="center"/>
              <w:rPr>
                <w:rFonts w:ascii="宋体"/>
                <w:sz w:val="24"/>
                <w:highlight w:val="none"/>
              </w:rPr>
            </w:pPr>
          </w:p>
        </w:tc>
        <w:tc>
          <w:tcPr>
            <w:tcW w:w="1145"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7912" w:type="dxa"/>
            <w:gridSpan w:val="7"/>
            <w:vAlign w:val="center"/>
          </w:tcPr>
          <w:p>
            <w:pPr>
              <w:spacing w:line="360" w:lineRule="auto"/>
              <w:rPr>
                <w:rFonts w:ascii="宋体"/>
                <w:sz w:val="24"/>
                <w:highlight w:val="none"/>
                <w:u w:val="single"/>
              </w:rPr>
            </w:pPr>
            <w:r>
              <w:rPr>
                <w:rFonts w:hint="eastAsia" w:ascii="宋体" w:hAnsi="宋体"/>
                <w:sz w:val="24"/>
                <w:highlight w:val="none"/>
              </w:rPr>
              <w:t>大写：      小写：      元</w:t>
            </w:r>
          </w:p>
        </w:tc>
      </w:tr>
    </w:tbl>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2.1 </w:t>
      </w:r>
      <w:r>
        <w:rPr>
          <w:rFonts w:hint="eastAsia" w:hAnsi="宋体"/>
          <w:sz w:val="24"/>
          <w:szCs w:val="24"/>
          <w:highlight w:val="none"/>
        </w:rPr>
        <w:t>本合同金额为（大写）：</w:t>
      </w:r>
      <w:r>
        <w:rPr>
          <w:rFonts w:hAnsi="宋体"/>
          <w:sz w:val="24"/>
          <w:szCs w:val="24"/>
          <w:highlight w:val="none"/>
        </w:rPr>
        <w:t>________________________</w:t>
      </w:r>
      <w:r>
        <w:rPr>
          <w:rFonts w:hint="eastAsia" w:hAnsi="宋体"/>
          <w:sz w:val="24"/>
          <w:szCs w:val="24"/>
          <w:highlight w:val="none"/>
        </w:rPr>
        <w:t>元人民币。</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1"/>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11"/>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11"/>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8.1 </w:t>
      </w:r>
      <w:r>
        <w:rPr>
          <w:rFonts w:hint="eastAsia" w:hAnsi="宋体"/>
          <w:sz w:val="24"/>
          <w:szCs w:val="24"/>
          <w:highlight w:val="none"/>
        </w:rPr>
        <w:t>质保期年。（自交货验收合格之日起计）</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九、交货期、交货方式及交货地点</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9.1 </w:t>
      </w:r>
      <w:r>
        <w:rPr>
          <w:rFonts w:hint="eastAsia" w:hAnsi="宋体"/>
          <w:sz w:val="24"/>
          <w:szCs w:val="24"/>
          <w:highlight w:val="none"/>
        </w:rPr>
        <w:t>交货期：</w:t>
      </w:r>
      <w:r>
        <w:rPr>
          <w:rFonts w:hAnsi="宋体"/>
          <w:sz w:val="24"/>
          <w:szCs w:val="24"/>
          <w:highlight w:val="none"/>
        </w:rPr>
        <w:t>_________</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9.2 </w:t>
      </w:r>
      <w:r>
        <w:rPr>
          <w:rFonts w:hint="eastAsia" w:hAnsi="宋体"/>
          <w:sz w:val="24"/>
          <w:szCs w:val="24"/>
          <w:highlight w:val="none"/>
        </w:rPr>
        <w:t>交货方式：</w:t>
      </w:r>
      <w:r>
        <w:rPr>
          <w:rFonts w:hAnsi="宋体"/>
          <w:sz w:val="24"/>
          <w:szCs w:val="24"/>
          <w:highlight w:val="none"/>
        </w:rPr>
        <w:t>_________</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交货地点：用户单位地点或用户指定地点。</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10.1</w:t>
      </w:r>
      <w:r>
        <w:rPr>
          <w:rFonts w:hint="eastAsia" w:hAnsi="宋体"/>
          <w:sz w:val="24"/>
          <w:szCs w:val="24"/>
          <w:highlight w:val="none"/>
        </w:rPr>
        <w:t>付款方式：针对国内供应货物，</w:t>
      </w:r>
      <w:r>
        <w:rPr>
          <w:rFonts w:hAnsi="宋体"/>
          <w:sz w:val="24"/>
          <w:szCs w:val="24"/>
          <w:highlight w:val="none"/>
        </w:rPr>
        <w:t>中标单位所供设备（或软件、服务）进场安装调试或服务工作完毕，经验收、检测合格后，提供全额税务发票，凭最终签字和盖章的验收合格报告，支付至合同价的95%，余5%作质保金</w:t>
      </w:r>
      <w:r>
        <w:rPr>
          <w:rFonts w:hint="eastAsia" w:hAnsi="宋体"/>
          <w:sz w:val="24"/>
          <w:szCs w:val="24"/>
          <w:highlight w:val="none"/>
        </w:rPr>
        <w:t>，质保期满后</w:t>
      </w:r>
      <w:r>
        <w:rPr>
          <w:rFonts w:hAnsi="宋体"/>
          <w:sz w:val="24"/>
          <w:szCs w:val="24"/>
          <w:highlight w:val="none"/>
        </w:rPr>
        <w:t>并经有关单位确认无质量问题后，一次性支付完毕。具体内容以最终签署的合同约定为准。</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sz w:val="24"/>
          <w:highlight w:val="none"/>
        </w:rPr>
      </w:pPr>
      <w:r>
        <w:rPr>
          <w:rFonts w:hint="eastAsia" w:ascii="宋体" w:hAnsi="宋体"/>
          <w:b/>
          <w:sz w:val="24"/>
          <w:highlight w:val="none"/>
        </w:rPr>
        <w:t>十一、税</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11"/>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w:t>
      </w:r>
      <w:r>
        <w:rPr>
          <w:rFonts w:hAnsi="宋体"/>
          <w:sz w:val="24"/>
          <w:szCs w:val="24"/>
          <w:highlight w:val="none"/>
        </w:rPr>
        <w:t>________</w:t>
      </w:r>
      <w:r>
        <w:rPr>
          <w:rFonts w:hint="eastAsia" w:hAnsi="宋体"/>
          <w:sz w:val="24"/>
          <w:szCs w:val="24"/>
          <w:highlight w:val="none"/>
        </w:rPr>
        <w:t>年，因人为因素出现的故障不在免费保修范围内。超过保修期的机器设备，终生维修，维修时只收部件成本费。</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货物在规定的交付期限内由乙方送达甲方指定的地点视为交付，乙方同时需通知甲方货物已送达。</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11"/>
        <w:adjustRightInd w:val="0"/>
        <w:snapToGrid w:val="0"/>
        <w:spacing w:before="120" w:after="120" w:line="360" w:lineRule="auto"/>
        <w:ind w:firstLine="658"/>
        <w:rPr>
          <w:rFonts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11"/>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11"/>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十九、合同生效及其它</w:t>
      </w:r>
    </w:p>
    <w:p>
      <w:pPr>
        <w:pStyle w:val="11"/>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11"/>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本合同未尽事宜，遵照《合同法》有关条文执行。</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11"/>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11"/>
        <w:adjustRightInd w:val="0"/>
        <w:snapToGrid w:val="0"/>
        <w:spacing w:before="120" w:after="120" w:line="360" w:lineRule="auto"/>
        <w:ind w:firstLine="767"/>
        <w:rPr>
          <w:rFonts w:cs="仿宋"/>
          <w:sz w:val="24"/>
          <w:highlight w:val="none"/>
        </w:rPr>
      </w:pPr>
      <w:r>
        <w:rPr>
          <w:rFonts w:hint="eastAsia"/>
          <w:sz w:val="28"/>
          <w:szCs w:val="28"/>
          <w:highlight w:val="none"/>
        </w:rPr>
        <w:t>签订日期：      年   月   日</w:t>
      </w:r>
    </w:p>
    <w:p>
      <w:pPr>
        <w:spacing w:line="360" w:lineRule="auto"/>
        <w:rPr>
          <w:rFonts w:cs="仿宋"/>
          <w:sz w:val="24"/>
          <w:highlight w:val="none"/>
        </w:rPr>
      </w:pPr>
    </w:p>
    <w:sectPr>
      <w:headerReference r:id="rId3" w:type="default"/>
      <w:footerReference r:id="rId4" w:type="default"/>
      <w:pgSz w:w="11906" w:h="16838"/>
      <w:pgMar w:top="1191" w:right="1247" w:bottom="119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after="120"/>
      <w:ind w:firstLine="353"/>
      <w:jc w:val="center"/>
    </w:pPr>
    <w:r>
      <w:rPr>
        <w:b/>
      </w:rPr>
      <w:fldChar w:fldCharType="begin"/>
    </w:r>
    <w:r>
      <w:rPr>
        <w:b/>
      </w:rPr>
      <w:instrText xml:space="preserve">PAGE  \* Arabic  \* MERGEFORMAT</w:instrText>
    </w:r>
    <w:r>
      <w:rPr>
        <w:b/>
      </w:rPr>
      <w:fldChar w:fldCharType="separate"/>
    </w:r>
    <w:r>
      <w:rPr>
        <w:b/>
        <w:lang w:val="zh-CN"/>
      </w:rPr>
      <w:t>1</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36</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ascii="宋体" w:hAnsi="宋体"/>
        <w:kern w:val="0"/>
        <w:sz w:val="24"/>
        <w:szCs w:val="24"/>
      </w:rPr>
      <w:t>南京信息工程大学财务处</w:t>
    </w:r>
    <w:r>
      <w:rPr>
        <w:rFonts w:ascii="宋体" w:hAnsi="宋体"/>
        <w:kern w:val="0"/>
        <w:sz w:val="24"/>
        <w:szCs w:val="24"/>
      </w:rPr>
      <w:t>20</w:t>
    </w:r>
    <w:r>
      <w:rPr>
        <w:rFonts w:hint="eastAsia" w:ascii="宋体" w:hAnsi="宋体"/>
        <w:kern w:val="0"/>
        <w:sz w:val="24"/>
        <w:szCs w:val="24"/>
      </w:rPr>
      <w:t>20年招标文件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945B1"/>
    <w:multiLevelType w:val="multilevel"/>
    <w:tmpl w:val="592945B1"/>
    <w:lvl w:ilvl="0" w:tentative="0">
      <w:start w:val="1"/>
      <w:numFmt w:val="decimal"/>
      <w:pStyle w:val="3"/>
      <w:lvlText w:val="%1."/>
      <w:lvlJc w:val="left"/>
      <w:pPr>
        <w:ind w:left="425" w:hanging="425"/>
      </w:pPr>
      <w:rPr>
        <w:rFonts w:hint="eastAsia" w:ascii="微软雅黑" w:hAnsi="微软雅黑" w:eastAsia="微软雅黑"/>
      </w:rPr>
    </w:lvl>
    <w:lvl w:ilvl="1" w:tentative="0">
      <w:start w:val="1"/>
      <w:numFmt w:val="decimal"/>
      <w:pStyle w:val="4"/>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63103597"/>
    <w:multiLevelType w:val="multilevel"/>
    <w:tmpl w:val="631035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201076"/>
    <w:rsid w:val="0000144D"/>
    <w:rsid w:val="00002B2D"/>
    <w:rsid w:val="00003606"/>
    <w:rsid w:val="000054CA"/>
    <w:rsid w:val="0000571D"/>
    <w:rsid w:val="00022B05"/>
    <w:rsid w:val="00023D12"/>
    <w:rsid w:val="00026E76"/>
    <w:rsid w:val="00030600"/>
    <w:rsid w:val="00030DF4"/>
    <w:rsid w:val="000319F3"/>
    <w:rsid w:val="000430D6"/>
    <w:rsid w:val="00043F02"/>
    <w:rsid w:val="000441D9"/>
    <w:rsid w:val="00046E17"/>
    <w:rsid w:val="000527A0"/>
    <w:rsid w:val="000531E7"/>
    <w:rsid w:val="00054A22"/>
    <w:rsid w:val="00054EE4"/>
    <w:rsid w:val="0005500B"/>
    <w:rsid w:val="00055F2F"/>
    <w:rsid w:val="0006055A"/>
    <w:rsid w:val="00066441"/>
    <w:rsid w:val="00066583"/>
    <w:rsid w:val="0007020F"/>
    <w:rsid w:val="00070DC7"/>
    <w:rsid w:val="00070F0A"/>
    <w:rsid w:val="000716D4"/>
    <w:rsid w:val="000774F2"/>
    <w:rsid w:val="000806B4"/>
    <w:rsid w:val="00080B5E"/>
    <w:rsid w:val="00081175"/>
    <w:rsid w:val="000819A3"/>
    <w:rsid w:val="000847BC"/>
    <w:rsid w:val="00085E3F"/>
    <w:rsid w:val="00087F42"/>
    <w:rsid w:val="00090022"/>
    <w:rsid w:val="00090DE7"/>
    <w:rsid w:val="0009319D"/>
    <w:rsid w:val="000933AE"/>
    <w:rsid w:val="00094479"/>
    <w:rsid w:val="000960BE"/>
    <w:rsid w:val="00096894"/>
    <w:rsid w:val="000968A9"/>
    <w:rsid w:val="000976BF"/>
    <w:rsid w:val="0009778F"/>
    <w:rsid w:val="000A1315"/>
    <w:rsid w:val="000A31F8"/>
    <w:rsid w:val="000A3663"/>
    <w:rsid w:val="000A387C"/>
    <w:rsid w:val="000A5005"/>
    <w:rsid w:val="000A57C1"/>
    <w:rsid w:val="000A649C"/>
    <w:rsid w:val="000B1E2F"/>
    <w:rsid w:val="000B289A"/>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58AB"/>
    <w:rsid w:val="000D6B77"/>
    <w:rsid w:val="000D7B55"/>
    <w:rsid w:val="000E1026"/>
    <w:rsid w:val="000E12A9"/>
    <w:rsid w:val="000E37D8"/>
    <w:rsid w:val="000E490E"/>
    <w:rsid w:val="000E7481"/>
    <w:rsid w:val="000E794A"/>
    <w:rsid w:val="000E7B1F"/>
    <w:rsid w:val="000E7E73"/>
    <w:rsid w:val="000F0A5B"/>
    <w:rsid w:val="000F1E4F"/>
    <w:rsid w:val="000F2EDC"/>
    <w:rsid w:val="000F33C3"/>
    <w:rsid w:val="000F7C08"/>
    <w:rsid w:val="001007BA"/>
    <w:rsid w:val="00100F2E"/>
    <w:rsid w:val="0010216E"/>
    <w:rsid w:val="00102557"/>
    <w:rsid w:val="001031DE"/>
    <w:rsid w:val="001032F0"/>
    <w:rsid w:val="00103CBC"/>
    <w:rsid w:val="00104554"/>
    <w:rsid w:val="00104CAE"/>
    <w:rsid w:val="0010514E"/>
    <w:rsid w:val="00107357"/>
    <w:rsid w:val="00107759"/>
    <w:rsid w:val="00110C58"/>
    <w:rsid w:val="00111060"/>
    <w:rsid w:val="00111BF7"/>
    <w:rsid w:val="00111C55"/>
    <w:rsid w:val="00111E38"/>
    <w:rsid w:val="00112955"/>
    <w:rsid w:val="00112D27"/>
    <w:rsid w:val="001135BC"/>
    <w:rsid w:val="00116930"/>
    <w:rsid w:val="00121365"/>
    <w:rsid w:val="00122E50"/>
    <w:rsid w:val="001238AF"/>
    <w:rsid w:val="001246CA"/>
    <w:rsid w:val="00124A77"/>
    <w:rsid w:val="00124B44"/>
    <w:rsid w:val="00124D17"/>
    <w:rsid w:val="00125991"/>
    <w:rsid w:val="00125C94"/>
    <w:rsid w:val="00126E86"/>
    <w:rsid w:val="001272EE"/>
    <w:rsid w:val="001279B6"/>
    <w:rsid w:val="00127BC3"/>
    <w:rsid w:val="001300D8"/>
    <w:rsid w:val="001308AA"/>
    <w:rsid w:val="00130B50"/>
    <w:rsid w:val="001320B9"/>
    <w:rsid w:val="0013492F"/>
    <w:rsid w:val="001359A5"/>
    <w:rsid w:val="00137542"/>
    <w:rsid w:val="001434DE"/>
    <w:rsid w:val="00143684"/>
    <w:rsid w:val="001448F3"/>
    <w:rsid w:val="0014591D"/>
    <w:rsid w:val="00146508"/>
    <w:rsid w:val="00146764"/>
    <w:rsid w:val="00147BB6"/>
    <w:rsid w:val="001502CF"/>
    <w:rsid w:val="00151817"/>
    <w:rsid w:val="0015214C"/>
    <w:rsid w:val="0015225B"/>
    <w:rsid w:val="00152BCB"/>
    <w:rsid w:val="00153196"/>
    <w:rsid w:val="001559FB"/>
    <w:rsid w:val="0016003D"/>
    <w:rsid w:val="0016077E"/>
    <w:rsid w:val="00160795"/>
    <w:rsid w:val="0016395E"/>
    <w:rsid w:val="00163CFF"/>
    <w:rsid w:val="0016465F"/>
    <w:rsid w:val="0016658A"/>
    <w:rsid w:val="00166DEB"/>
    <w:rsid w:val="001679D2"/>
    <w:rsid w:val="00170356"/>
    <w:rsid w:val="001708D5"/>
    <w:rsid w:val="00171002"/>
    <w:rsid w:val="00171C84"/>
    <w:rsid w:val="00171E61"/>
    <w:rsid w:val="0017451F"/>
    <w:rsid w:val="00175E61"/>
    <w:rsid w:val="00175F6E"/>
    <w:rsid w:val="00175FC6"/>
    <w:rsid w:val="00176B5A"/>
    <w:rsid w:val="001770B9"/>
    <w:rsid w:val="0018161B"/>
    <w:rsid w:val="00181FC1"/>
    <w:rsid w:val="0018287C"/>
    <w:rsid w:val="00183C53"/>
    <w:rsid w:val="00184165"/>
    <w:rsid w:val="001847AB"/>
    <w:rsid w:val="001863B0"/>
    <w:rsid w:val="001908D8"/>
    <w:rsid w:val="00191DB6"/>
    <w:rsid w:val="00191E7A"/>
    <w:rsid w:val="00192A7F"/>
    <w:rsid w:val="0019347E"/>
    <w:rsid w:val="00193B07"/>
    <w:rsid w:val="0019510E"/>
    <w:rsid w:val="00195E66"/>
    <w:rsid w:val="00196DB1"/>
    <w:rsid w:val="001973B6"/>
    <w:rsid w:val="001A1E47"/>
    <w:rsid w:val="001A200D"/>
    <w:rsid w:val="001B00E3"/>
    <w:rsid w:val="001B0715"/>
    <w:rsid w:val="001B2A65"/>
    <w:rsid w:val="001B46BE"/>
    <w:rsid w:val="001B5895"/>
    <w:rsid w:val="001B6E3C"/>
    <w:rsid w:val="001B77E8"/>
    <w:rsid w:val="001C0244"/>
    <w:rsid w:val="001C0588"/>
    <w:rsid w:val="001C12A6"/>
    <w:rsid w:val="001C1966"/>
    <w:rsid w:val="001C2414"/>
    <w:rsid w:val="001C594E"/>
    <w:rsid w:val="001C6C16"/>
    <w:rsid w:val="001D10DD"/>
    <w:rsid w:val="001D237E"/>
    <w:rsid w:val="001D2D6F"/>
    <w:rsid w:val="001D7657"/>
    <w:rsid w:val="001D76D4"/>
    <w:rsid w:val="001E2C9F"/>
    <w:rsid w:val="001E47A8"/>
    <w:rsid w:val="001E4E6B"/>
    <w:rsid w:val="001E672D"/>
    <w:rsid w:val="001E746F"/>
    <w:rsid w:val="001F09A0"/>
    <w:rsid w:val="001F0BF3"/>
    <w:rsid w:val="001F11F5"/>
    <w:rsid w:val="001F314F"/>
    <w:rsid w:val="001F328C"/>
    <w:rsid w:val="001F4242"/>
    <w:rsid w:val="001F5384"/>
    <w:rsid w:val="001F6E39"/>
    <w:rsid w:val="001F7923"/>
    <w:rsid w:val="00200A99"/>
    <w:rsid w:val="00201076"/>
    <w:rsid w:val="002023F0"/>
    <w:rsid w:val="00204A89"/>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4161"/>
    <w:rsid w:val="0024517A"/>
    <w:rsid w:val="00247603"/>
    <w:rsid w:val="002502C8"/>
    <w:rsid w:val="00250805"/>
    <w:rsid w:val="00250B49"/>
    <w:rsid w:val="00250C11"/>
    <w:rsid w:val="00251A77"/>
    <w:rsid w:val="0025266B"/>
    <w:rsid w:val="002526D9"/>
    <w:rsid w:val="0025396A"/>
    <w:rsid w:val="002540DE"/>
    <w:rsid w:val="00255B7B"/>
    <w:rsid w:val="00256A61"/>
    <w:rsid w:val="00263046"/>
    <w:rsid w:val="00263314"/>
    <w:rsid w:val="00263444"/>
    <w:rsid w:val="0026451A"/>
    <w:rsid w:val="00264F91"/>
    <w:rsid w:val="0026613C"/>
    <w:rsid w:val="00271C38"/>
    <w:rsid w:val="00281343"/>
    <w:rsid w:val="0028272C"/>
    <w:rsid w:val="002832EA"/>
    <w:rsid w:val="002838CB"/>
    <w:rsid w:val="00283C8F"/>
    <w:rsid w:val="00285A3E"/>
    <w:rsid w:val="002903F5"/>
    <w:rsid w:val="00291A34"/>
    <w:rsid w:val="00292A1F"/>
    <w:rsid w:val="00294E71"/>
    <w:rsid w:val="00296169"/>
    <w:rsid w:val="00297351"/>
    <w:rsid w:val="00297829"/>
    <w:rsid w:val="00297C60"/>
    <w:rsid w:val="002A1998"/>
    <w:rsid w:val="002A1B13"/>
    <w:rsid w:val="002A1C37"/>
    <w:rsid w:val="002A23A5"/>
    <w:rsid w:val="002B0435"/>
    <w:rsid w:val="002B0445"/>
    <w:rsid w:val="002B0C9E"/>
    <w:rsid w:val="002B13F6"/>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4F"/>
    <w:rsid w:val="002E3A2D"/>
    <w:rsid w:val="002E569D"/>
    <w:rsid w:val="002E6E80"/>
    <w:rsid w:val="002E70DE"/>
    <w:rsid w:val="002F0D2A"/>
    <w:rsid w:val="002F160A"/>
    <w:rsid w:val="002F1CF2"/>
    <w:rsid w:val="002F36B1"/>
    <w:rsid w:val="002F4FFA"/>
    <w:rsid w:val="002F6626"/>
    <w:rsid w:val="002F6BAD"/>
    <w:rsid w:val="002F7098"/>
    <w:rsid w:val="00300D50"/>
    <w:rsid w:val="00302F70"/>
    <w:rsid w:val="003034BA"/>
    <w:rsid w:val="00303EFB"/>
    <w:rsid w:val="003048F1"/>
    <w:rsid w:val="0030541B"/>
    <w:rsid w:val="00306D7A"/>
    <w:rsid w:val="003072D4"/>
    <w:rsid w:val="003076E5"/>
    <w:rsid w:val="00307F8E"/>
    <w:rsid w:val="00310DA0"/>
    <w:rsid w:val="00311CFE"/>
    <w:rsid w:val="00312896"/>
    <w:rsid w:val="00312CD2"/>
    <w:rsid w:val="00313155"/>
    <w:rsid w:val="003147BD"/>
    <w:rsid w:val="00316C54"/>
    <w:rsid w:val="00316C79"/>
    <w:rsid w:val="00320167"/>
    <w:rsid w:val="0032353A"/>
    <w:rsid w:val="00323939"/>
    <w:rsid w:val="00324588"/>
    <w:rsid w:val="00325728"/>
    <w:rsid w:val="00326B86"/>
    <w:rsid w:val="00330268"/>
    <w:rsid w:val="00331A66"/>
    <w:rsid w:val="00331B2F"/>
    <w:rsid w:val="00334879"/>
    <w:rsid w:val="00334E11"/>
    <w:rsid w:val="0033568A"/>
    <w:rsid w:val="00335D4D"/>
    <w:rsid w:val="0033689B"/>
    <w:rsid w:val="0034221F"/>
    <w:rsid w:val="00343F9F"/>
    <w:rsid w:val="00345610"/>
    <w:rsid w:val="00345928"/>
    <w:rsid w:val="00346C47"/>
    <w:rsid w:val="00347394"/>
    <w:rsid w:val="00347496"/>
    <w:rsid w:val="00347889"/>
    <w:rsid w:val="00347F6E"/>
    <w:rsid w:val="00351ABC"/>
    <w:rsid w:val="003523E6"/>
    <w:rsid w:val="00355610"/>
    <w:rsid w:val="00355701"/>
    <w:rsid w:val="003569D7"/>
    <w:rsid w:val="003601DE"/>
    <w:rsid w:val="0036296D"/>
    <w:rsid w:val="00362A6A"/>
    <w:rsid w:val="003649D6"/>
    <w:rsid w:val="00367F0F"/>
    <w:rsid w:val="00370F48"/>
    <w:rsid w:val="00372A01"/>
    <w:rsid w:val="00372D67"/>
    <w:rsid w:val="00373E38"/>
    <w:rsid w:val="00376287"/>
    <w:rsid w:val="00377164"/>
    <w:rsid w:val="0038080C"/>
    <w:rsid w:val="0038309B"/>
    <w:rsid w:val="00383BCB"/>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6141"/>
    <w:rsid w:val="003A72CD"/>
    <w:rsid w:val="003A77B1"/>
    <w:rsid w:val="003B0471"/>
    <w:rsid w:val="003B198E"/>
    <w:rsid w:val="003B28B1"/>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6222"/>
    <w:rsid w:val="003D6FB8"/>
    <w:rsid w:val="003E1368"/>
    <w:rsid w:val="003E18B1"/>
    <w:rsid w:val="003E1A52"/>
    <w:rsid w:val="003E2217"/>
    <w:rsid w:val="003E4227"/>
    <w:rsid w:val="003E51F3"/>
    <w:rsid w:val="003E572A"/>
    <w:rsid w:val="003F073B"/>
    <w:rsid w:val="003F1151"/>
    <w:rsid w:val="003F16B6"/>
    <w:rsid w:val="003F24C4"/>
    <w:rsid w:val="003F2F23"/>
    <w:rsid w:val="003F3D76"/>
    <w:rsid w:val="003F413C"/>
    <w:rsid w:val="003F4609"/>
    <w:rsid w:val="003F5CD8"/>
    <w:rsid w:val="003F6253"/>
    <w:rsid w:val="003F79B2"/>
    <w:rsid w:val="00401623"/>
    <w:rsid w:val="004017C3"/>
    <w:rsid w:val="00402663"/>
    <w:rsid w:val="0040306E"/>
    <w:rsid w:val="0040333F"/>
    <w:rsid w:val="0040342F"/>
    <w:rsid w:val="00404C4A"/>
    <w:rsid w:val="0040541A"/>
    <w:rsid w:val="004057C2"/>
    <w:rsid w:val="00406A37"/>
    <w:rsid w:val="004071FD"/>
    <w:rsid w:val="0041074E"/>
    <w:rsid w:val="0041179E"/>
    <w:rsid w:val="00411BAF"/>
    <w:rsid w:val="004129E0"/>
    <w:rsid w:val="0041308C"/>
    <w:rsid w:val="004140AB"/>
    <w:rsid w:val="0041435F"/>
    <w:rsid w:val="004154E3"/>
    <w:rsid w:val="00415750"/>
    <w:rsid w:val="00415AAB"/>
    <w:rsid w:val="00415E30"/>
    <w:rsid w:val="00417661"/>
    <w:rsid w:val="004201A3"/>
    <w:rsid w:val="00420C3D"/>
    <w:rsid w:val="004220ED"/>
    <w:rsid w:val="00422573"/>
    <w:rsid w:val="00422B9E"/>
    <w:rsid w:val="00425843"/>
    <w:rsid w:val="00425C30"/>
    <w:rsid w:val="0043026A"/>
    <w:rsid w:val="004311A5"/>
    <w:rsid w:val="004356B0"/>
    <w:rsid w:val="00435B13"/>
    <w:rsid w:val="00437796"/>
    <w:rsid w:val="00437C24"/>
    <w:rsid w:val="00437F7A"/>
    <w:rsid w:val="00441696"/>
    <w:rsid w:val="00442423"/>
    <w:rsid w:val="00442FDB"/>
    <w:rsid w:val="00443437"/>
    <w:rsid w:val="00443E14"/>
    <w:rsid w:val="00444741"/>
    <w:rsid w:val="0044640C"/>
    <w:rsid w:val="004472FA"/>
    <w:rsid w:val="00447C24"/>
    <w:rsid w:val="00450900"/>
    <w:rsid w:val="00452C84"/>
    <w:rsid w:val="004551EC"/>
    <w:rsid w:val="004578F1"/>
    <w:rsid w:val="004604E0"/>
    <w:rsid w:val="00460A25"/>
    <w:rsid w:val="00461656"/>
    <w:rsid w:val="00463313"/>
    <w:rsid w:val="00463944"/>
    <w:rsid w:val="00464599"/>
    <w:rsid w:val="00464F22"/>
    <w:rsid w:val="00466713"/>
    <w:rsid w:val="00467161"/>
    <w:rsid w:val="004703D3"/>
    <w:rsid w:val="0047070B"/>
    <w:rsid w:val="00472664"/>
    <w:rsid w:val="004734A1"/>
    <w:rsid w:val="00477371"/>
    <w:rsid w:val="00477570"/>
    <w:rsid w:val="00477E05"/>
    <w:rsid w:val="0048022E"/>
    <w:rsid w:val="00480665"/>
    <w:rsid w:val="00480DDA"/>
    <w:rsid w:val="00480FA7"/>
    <w:rsid w:val="00481A9A"/>
    <w:rsid w:val="00482645"/>
    <w:rsid w:val="00482DAC"/>
    <w:rsid w:val="00483286"/>
    <w:rsid w:val="004839B1"/>
    <w:rsid w:val="0048551E"/>
    <w:rsid w:val="00485675"/>
    <w:rsid w:val="00485B5B"/>
    <w:rsid w:val="0048782A"/>
    <w:rsid w:val="004926E0"/>
    <w:rsid w:val="00493785"/>
    <w:rsid w:val="0049614E"/>
    <w:rsid w:val="00497D4E"/>
    <w:rsid w:val="004A22B3"/>
    <w:rsid w:val="004A5555"/>
    <w:rsid w:val="004A5C8B"/>
    <w:rsid w:val="004A7B18"/>
    <w:rsid w:val="004A7D2B"/>
    <w:rsid w:val="004A7E23"/>
    <w:rsid w:val="004A7F50"/>
    <w:rsid w:val="004B001D"/>
    <w:rsid w:val="004B1B72"/>
    <w:rsid w:val="004B4565"/>
    <w:rsid w:val="004B67DB"/>
    <w:rsid w:val="004B6A11"/>
    <w:rsid w:val="004B747F"/>
    <w:rsid w:val="004B7B1E"/>
    <w:rsid w:val="004C10BB"/>
    <w:rsid w:val="004C24FA"/>
    <w:rsid w:val="004C2961"/>
    <w:rsid w:val="004C2E0A"/>
    <w:rsid w:val="004D0748"/>
    <w:rsid w:val="004D0EAC"/>
    <w:rsid w:val="004D64A5"/>
    <w:rsid w:val="004D65DA"/>
    <w:rsid w:val="004D7557"/>
    <w:rsid w:val="004D765A"/>
    <w:rsid w:val="004E1C93"/>
    <w:rsid w:val="004E2588"/>
    <w:rsid w:val="004E390B"/>
    <w:rsid w:val="004E448F"/>
    <w:rsid w:val="004E608C"/>
    <w:rsid w:val="004E779C"/>
    <w:rsid w:val="004F0339"/>
    <w:rsid w:val="004F1390"/>
    <w:rsid w:val="004F179D"/>
    <w:rsid w:val="004F763C"/>
    <w:rsid w:val="004F7A31"/>
    <w:rsid w:val="004F7D5E"/>
    <w:rsid w:val="00500476"/>
    <w:rsid w:val="00504207"/>
    <w:rsid w:val="00504446"/>
    <w:rsid w:val="0050554A"/>
    <w:rsid w:val="00507394"/>
    <w:rsid w:val="00507451"/>
    <w:rsid w:val="005119C9"/>
    <w:rsid w:val="00511A0E"/>
    <w:rsid w:val="005143CD"/>
    <w:rsid w:val="00514476"/>
    <w:rsid w:val="00515773"/>
    <w:rsid w:val="0051635A"/>
    <w:rsid w:val="00517953"/>
    <w:rsid w:val="00520007"/>
    <w:rsid w:val="00520E29"/>
    <w:rsid w:val="0052262E"/>
    <w:rsid w:val="00522BF5"/>
    <w:rsid w:val="00522C1C"/>
    <w:rsid w:val="00523679"/>
    <w:rsid w:val="0053025C"/>
    <w:rsid w:val="00531000"/>
    <w:rsid w:val="00533F15"/>
    <w:rsid w:val="00536CF5"/>
    <w:rsid w:val="00537018"/>
    <w:rsid w:val="00540A3F"/>
    <w:rsid w:val="00541B97"/>
    <w:rsid w:val="00544BF8"/>
    <w:rsid w:val="00545F0F"/>
    <w:rsid w:val="00546198"/>
    <w:rsid w:val="00552143"/>
    <w:rsid w:val="00552355"/>
    <w:rsid w:val="005526FE"/>
    <w:rsid w:val="00552BE2"/>
    <w:rsid w:val="00552BF3"/>
    <w:rsid w:val="005554FE"/>
    <w:rsid w:val="00556203"/>
    <w:rsid w:val="0055742D"/>
    <w:rsid w:val="00557D90"/>
    <w:rsid w:val="00562400"/>
    <w:rsid w:val="005629FF"/>
    <w:rsid w:val="00563C8C"/>
    <w:rsid w:val="00564725"/>
    <w:rsid w:val="00565862"/>
    <w:rsid w:val="00566142"/>
    <w:rsid w:val="005662B0"/>
    <w:rsid w:val="00572CF3"/>
    <w:rsid w:val="00572D80"/>
    <w:rsid w:val="00576728"/>
    <w:rsid w:val="00580B0A"/>
    <w:rsid w:val="00580CBA"/>
    <w:rsid w:val="00583FBC"/>
    <w:rsid w:val="00585BC1"/>
    <w:rsid w:val="00585C5F"/>
    <w:rsid w:val="00587E68"/>
    <w:rsid w:val="00592237"/>
    <w:rsid w:val="005947A6"/>
    <w:rsid w:val="00595AEA"/>
    <w:rsid w:val="00596240"/>
    <w:rsid w:val="00596D34"/>
    <w:rsid w:val="005A19B0"/>
    <w:rsid w:val="005A2886"/>
    <w:rsid w:val="005A5A31"/>
    <w:rsid w:val="005A6067"/>
    <w:rsid w:val="005A7D4D"/>
    <w:rsid w:val="005B1DD8"/>
    <w:rsid w:val="005B2D13"/>
    <w:rsid w:val="005B3222"/>
    <w:rsid w:val="005B379E"/>
    <w:rsid w:val="005B40D5"/>
    <w:rsid w:val="005B4CA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2CA0"/>
    <w:rsid w:val="005E4524"/>
    <w:rsid w:val="005E576B"/>
    <w:rsid w:val="005E76A0"/>
    <w:rsid w:val="005E7AEF"/>
    <w:rsid w:val="005F0057"/>
    <w:rsid w:val="005F392C"/>
    <w:rsid w:val="005F48D7"/>
    <w:rsid w:val="005F5A2C"/>
    <w:rsid w:val="005F624D"/>
    <w:rsid w:val="005F6275"/>
    <w:rsid w:val="005F75FC"/>
    <w:rsid w:val="006006F8"/>
    <w:rsid w:val="00602F64"/>
    <w:rsid w:val="00603569"/>
    <w:rsid w:val="006040E9"/>
    <w:rsid w:val="00607F13"/>
    <w:rsid w:val="00610391"/>
    <w:rsid w:val="006105EE"/>
    <w:rsid w:val="00610DA9"/>
    <w:rsid w:val="00613CC6"/>
    <w:rsid w:val="00613E75"/>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32B6"/>
    <w:rsid w:val="006340FC"/>
    <w:rsid w:val="00637990"/>
    <w:rsid w:val="00637BFF"/>
    <w:rsid w:val="00637FE2"/>
    <w:rsid w:val="00641CAF"/>
    <w:rsid w:val="00646947"/>
    <w:rsid w:val="00647C31"/>
    <w:rsid w:val="00650D24"/>
    <w:rsid w:val="006519C1"/>
    <w:rsid w:val="0065630D"/>
    <w:rsid w:val="0066030C"/>
    <w:rsid w:val="00662ACF"/>
    <w:rsid w:val="006634D8"/>
    <w:rsid w:val="00665444"/>
    <w:rsid w:val="00665CD6"/>
    <w:rsid w:val="0066670F"/>
    <w:rsid w:val="00666762"/>
    <w:rsid w:val="00667840"/>
    <w:rsid w:val="00667D47"/>
    <w:rsid w:val="006712CE"/>
    <w:rsid w:val="006721F1"/>
    <w:rsid w:val="00672B76"/>
    <w:rsid w:val="00674154"/>
    <w:rsid w:val="006744F7"/>
    <w:rsid w:val="0067581D"/>
    <w:rsid w:val="00676C80"/>
    <w:rsid w:val="00677762"/>
    <w:rsid w:val="006817D5"/>
    <w:rsid w:val="006818DB"/>
    <w:rsid w:val="0068228D"/>
    <w:rsid w:val="006831B6"/>
    <w:rsid w:val="00684A9B"/>
    <w:rsid w:val="00691067"/>
    <w:rsid w:val="00691A38"/>
    <w:rsid w:val="006927C6"/>
    <w:rsid w:val="00692892"/>
    <w:rsid w:val="00692C36"/>
    <w:rsid w:val="0069342F"/>
    <w:rsid w:val="006947DF"/>
    <w:rsid w:val="006951B5"/>
    <w:rsid w:val="0069524B"/>
    <w:rsid w:val="00696030"/>
    <w:rsid w:val="00697C03"/>
    <w:rsid w:val="006A00DA"/>
    <w:rsid w:val="006A1F85"/>
    <w:rsid w:val="006A210C"/>
    <w:rsid w:val="006A2B28"/>
    <w:rsid w:val="006A48F9"/>
    <w:rsid w:val="006A4D56"/>
    <w:rsid w:val="006A59A2"/>
    <w:rsid w:val="006A5ECF"/>
    <w:rsid w:val="006A669E"/>
    <w:rsid w:val="006B12E8"/>
    <w:rsid w:val="006B1B75"/>
    <w:rsid w:val="006B2014"/>
    <w:rsid w:val="006B2340"/>
    <w:rsid w:val="006B324C"/>
    <w:rsid w:val="006B449D"/>
    <w:rsid w:val="006B5088"/>
    <w:rsid w:val="006B5A78"/>
    <w:rsid w:val="006B7503"/>
    <w:rsid w:val="006B79D8"/>
    <w:rsid w:val="006C01C0"/>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3003"/>
    <w:rsid w:val="006F3A48"/>
    <w:rsid w:val="006F3DB1"/>
    <w:rsid w:val="006F4515"/>
    <w:rsid w:val="006F49B6"/>
    <w:rsid w:val="006F542E"/>
    <w:rsid w:val="006F5A99"/>
    <w:rsid w:val="006F6373"/>
    <w:rsid w:val="007002AA"/>
    <w:rsid w:val="00700921"/>
    <w:rsid w:val="00700E1F"/>
    <w:rsid w:val="00705D43"/>
    <w:rsid w:val="0070628E"/>
    <w:rsid w:val="00707A12"/>
    <w:rsid w:val="0071054C"/>
    <w:rsid w:val="0071116F"/>
    <w:rsid w:val="00711489"/>
    <w:rsid w:val="00711E10"/>
    <w:rsid w:val="00712F7B"/>
    <w:rsid w:val="00713DFB"/>
    <w:rsid w:val="00714916"/>
    <w:rsid w:val="00714D2D"/>
    <w:rsid w:val="00715EC6"/>
    <w:rsid w:val="00717CEF"/>
    <w:rsid w:val="0072021A"/>
    <w:rsid w:val="00722284"/>
    <w:rsid w:val="0072296C"/>
    <w:rsid w:val="00722E81"/>
    <w:rsid w:val="00723FB7"/>
    <w:rsid w:val="00730ACA"/>
    <w:rsid w:val="00730C03"/>
    <w:rsid w:val="00732152"/>
    <w:rsid w:val="00733A21"/>
    <w:rsid w:val="00733E6E"/>
    <w:rsid w:val="007344A9"/>
    <w:rsid w:val="00734575"/>
    <w:rsid w:val="00735CFC"/>
    <w:rsid w:val="00735D71"/>
    <w:rsid w:val="00736148"/>
    <w:rsid w:val="00736B32"/>
    <w:rsid w:val="007401E7"/>
    <w:rsid w:val="00743156"/>
    <w:rsid w:val="00745E15"/>
    <w:rsid w:val="007475EE"/>
    <w:rsid w:val="007478D2"/>
    <w:rsid w:val="00751019"/>
    <w:rsid w:val="00755BBC"/>
    <w:rsid w:val="00757520"/>
    <w:rsid w:val="007577E7"/>
    <w:rsid w:val="007605A9"/>
    <w:rsid w:val="0076167D"/>
    <w:rsid w:val="0076289B"/>
    <w:rsid w:val="007633DE"/>
    <w:rsid w:val="00763E0D"/>
    <w:rsid w:val="0076475D"/>
    <w:rsid w:val="007649AC"/>
    <w:rsid w:val="00766B2B"/>
    <w:rsid w:val="00766EBB"/>
    <w:rsid w:val="007722FA"/>
    <w:rsid w:val="0077380F"/>
    <w:rsid w:val="007743CA"/>
    <w:rsid w:val="00776403"/>
    <w:rsid w:val="00777B4C"/>
    <w:rsid w:val="00781923"/>
    <w:rsid w:val="00784009"/>
    <w:rsid w:val="00784CB0"/>
    <w:rsid w:val="0078524F"/>
    <w:rsid w:val="00785558"/>
    <w:rsid w:val="007868B0"/>
    <w:rsid w:val="00786E6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7508"/>
    <w:rsid w:val="007B3B20"/>
    <w:rsid w:val="007B5C68"/>
    <w:rsid w:val="007C1C1A"/>
    <w:rsid w:val="007C1EAE"/>
    <w:rsid w:val="007C2E80"/>
    <w:rsid w:val="007C3DF3"/>
    <w:rsid w:val="007C47D1"/>
    <w:rsid w:val="007C5873"/>
    <w:rsid w:val="007C5CBD"/>
    <w:rsid w:val="007C671F"/>
    <w:rsid w:val="007C6F77"/>
    <w:rsid w:val="007D0A59"/>
    <w:rsid w:val="007D0D89"/>
    <w:rsid w:val="007D4775"/>
    <w:rsid w:val="007D52A8"/>
    <w:rsid w:val="007D52CD"/>
    <w:rsid w:val="007D5FAC"/>
    <w:rsid w:val="007D6479"/>
    <w:rsid w:val="007D7BC7"/>
    <w:rsid w:val="007E2EBE"/>
    <w:rsid w:val="007E2F82"/>
    <w:rsid w:val="007E3568"/>
    <w:rsid w:val="007E543F"/>
    <w:rsid w:val="007E552C"/>
    <w:rsid w:val="007E6CA3"/>
    <w:rsid w:val="007F0464"/>
    <w:rsid w:val="007F141A"/>
    <w:rsid w:val="007F3D00"/>
    <w:rsid w:val="007F3D98"/>
    <w:rsid w:val="007F4654"/>
    <w:rsid w:val="007F794E"/>
    <w:rsid w:val="00801FBF"/>
    <w:rsid w:val="00803D3C"/>
    <w:rsid w:val="0081037F"/>
    <w:rsid w:val="008109D2"/>
    <w:rsid w:val="00810CD1"/>
    <w:rsid w:val="008111F7"/>
    <w:rsid w:val="00813477"/>
    <w:rsid w:val="00814876"/>
    <w:rsid w:val="00814B12"/>
    <w:rsid w:val="008152E2"/>
    <w:rsid w:val="008169FD"/>
    <w:rsid w:val="00821CB7"/>
    <w:rsid w:val="00821FFD"/>
    <w:rsid w:val="008220BA"/>
    <w:rsid w:val="0082252B"/>
    <w:rsid w:val="008236DB"/>
    <w:rsid w:val="00823E33"/>
    <w:rsid w:val="008248B3"/>
    <w:rsid w:val="00827A4C"/>
    <w:rsid w:val="00827E10"/>
    <w:rsid w:val="00830E6E"/>
    <w:rsid w:val="0083138A"/>
    <w:rsid w:val="00833FFC"/>
    <w:rsid w:val="00834277"/>
    <w:rsid w:val="008346FE"/>
    <w:rsid w:val="0083779A"/>
    <w:rsid w:val="00837C07"/>
    <w:rsid w:val="00840686"/>
    <w:rsid w:val="00842E41"/>
    <w:rsid w:val="008463BC"/>
    <w:rsid w:val="008465C2"/>
    <w:rsid w:val="00847371"/>
    <w:rsid w:val="00847915"/>
    <w:rsid w:val="008508A7"/>
    <w:rsid w:val="008509FE"/>
    <w:rsid w:val="0085211F"/>
    <w:rsid w:val="00853C48"/>
    <w:rsid w:val="00853DFF"/>
    <w:rsid w:val="0085573E"/>
    <w:rsid w:val="00861129"/>
    <w:rsid w:val="00865DB7"/>
    <w:rsid w:val="008661E8"/>
    <w:rsid w:val="0086668C"/>
    <w:rsid w:val="008709E1"/>
    <w:rsid w:val="00871AEF"/>
    <w:rsid w:val="00871C35"/>
    <w:rsid w:val="00872F1F"/>
    <w:rsid w:val="008738A6"/>
    <w:rsid w:val="00873FFC"/>
    <w:rsid w:val="008744DC"/>
    <w:rsid w:val="008754B1"/>
    <w:rsid w:val="00877C5C"/>
    <w:rsid w:val="00881142"/>
    <w:rsid w:val="00881AB0"/>
    <w:rsid w:val="00881FB4"/>
    <w:rsid w:val="00884C1F"/>
    <w:rsid w:val="00884D9A"/>
    <w:rsid w:val="008900A0"/>
    <w:rsid w:val="0089106B"/>
    <w:rsid w:val="008926F5"/>
    <w:rsid w:val="00893F4F"/>
    <w:rsid w:val="00894645"/>
    <w:rsid w:val="00894D7F"/>
    <w:rsid w:val="0089500F"/>
    <w:rsid w:val="008964DB"/>
    <w:rsid w:val="0089683B"/>
    <w:rsid w:val="00896BB7"/>
    <w:rsid w:val="00896F7A"/>
    <w:rsid w:val="008972FD"/>
    <w:rsid w:val="008A02F5"/>
    <w:rsid w:val="008A14AB"/>
    <w:rsid w:val="008A321F"/>
    <w:rsid w:val="008A39DF"/>
    <w:rsid w:val="008A41EB"/>
    <w:rsid w:val="008A6840"/>
    <w:rsid w:val="008B0B83"/>
    <w:rsid w:val="008B2DFA"/>
    <w:rsid w:val="008B3077"/>
    <w:rsid w:val="008B3765"/>
    <w:rsid w:val="008C0020"/>
    <w:rsid w:val="008C10D8"/>
    <w:rsid w:val="008C144B"/>
    <w:rsid w:val="008C4B4E"/>
    <w:rsid w:val="008C4EC6"/>
    <w:rsid w:val="008C5BDB"/>
    <w:rsid w:val="008C5BDF"/>
    <w:rsid w:val="008C67F8"/>
    <w:rsid w:val="008C77DF"/>
    <w:rsid w:val="008D12CF"/>
    <w:rsid w:val="008D1981"/>
    <w:rsid w:val="008D1F63"/>
    <w:rsid w:val="008D2C6A"/>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3200"/>
    <w:rsid w:val="00903978"/>
    <w:rsid w:val="00903B9A"/>
    <w:rsid w:val="00903E7B"/>
    <w:rsid w:val="009048A7"/>
    <w:rsid w:val="00904C79"/>
    <w:rsid w:val="00905847"/>
    <w:rsid w:val="009073FE"/>
    <w:rsid w:val="009104BD"/>
    <w:rsid w:val="00910F33"/>
    <w:rsid w:val="00912984"/>
    <w:rsid w:val="00912F81"/>
    <w:rsid w:val="00913142"/>
    <w:rsid w:val="00914405"/>
    <w:rsid w:val="00915964"/>
    <w:rsid w:val="00915D4D"/>
    <w:rsid w:val="00916E45"/>
    <w:rsid w:val="00917880"/>
    <w:rsid w:val="00920199"/>
    <w:rsid w:val="009201B5"/>
    <w:rsid w:val="00923965"/>
    <w:rsid w:val="009243AC"/>
    <w:rsid w:val="0092721C"/>
    <w:rsid w:val="009302BC"/>
    <w:rsid w:val="009302E2"/>
    <w:rsid w:val="009305D2"/>
    <w:rsid w:val="00930F17"/>
    <w:rsid w:val="00932637"/>
    <w:rsid w:val="00934021"/>
    <w:rsid w:val="00934830"/>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021"/>
    <w:rsid w:val="00960E03"/>
    <w:rsid w:val="00963E09"/>
    <w:rsid w:val="00966797"/>
    <w:rsid w:val="009668D9"/>
    <w:rsid w:val="00967F78"/>
    <w:rsid w:val="00970C17"/>
    <w:rsid w:val="0097198B"/>
    <w:rsid w:val="0097200B"/>
    <w:rsid w:val="00972A26"/>
    <w:rsid w:val="009772D5"/>
    <w:rsid w:val="00980230"/>
    <w:rsid w:val="0098055C"/>
    <w:rsid w:val="00980AE6"/>
    <w:rsid w:val="0098171A"/>
    <w:rsid w:val="00982B39"/>
    <w:rsid w:val="00982C89"/>
    <w:rsid w:val="00987CEF"/>
    <w:rsid w:val="00990A91"/>
    <w:rsid w:val="00990BFB"/>
    <w:rsid w:val="0099146E"/>
    <w:rsid w:val="00992262"/>
    <w:rsid w:val="00993330"/>
    <w:rsid w:val="00993A92"/>
    <w:rsid w:val="009948F7"/>
    <w:rsid w:val="0099682B"/>
    <w:rsid w:val="009A0CB9"/>
    <w:rsid w:val="009A4472"/>
    <w:rsid w:val="009A723F"/>
    <w:rsid w:val="009B4732"/>
    <w:rsid w:val="009B5355"/>
    <w:rsid w:val="009B5D2C"/>
    <w:rsid w:val="009B5E85"/>
    <w:rsid w:val="009B7C1E"/>
    <w:rsid w:val="009B7FB8"/>
    <w:rsid w:val="009C018C"/>
    <w:rsid w:val="009C4FC6"/>
    <w:rsid w:val="009C6CAB"/>
    <w:rsid w:val="009D0A67"/>
    <w:rsid w:val="009D0BDD"/>
    <w:rsid w:val="009D30D9"/>
    <w:rsid w:val="009D4CB2"/>
    <w:rsid w:val="009D4DA2"/>
    <w:rsid w:val="009D6922"/>
    <w:rsid w:val="009E1A9A"/>
    <w:rsid w:val="009E375D"/>
    <w:rsid w:val="009E45D0"/>
    <w:rsid w:val="009E6F30"/>
    <w:rsid w:val="009F25A3"/>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20B2"/>
    <w:rsid w:val="00A13AEC"/>
    <w:rsid w:val="00A14EA1"/>
    <w:rsid w:val="00A17335"/>
    <w:rsid w:val="00A2064C"/>
    <w:rsid w:val="00A230BD"/>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A50"/>
    <w:rsid w:val="00A33CC4"/>
    <w:rsid w:val="00A346EC"/>
    <w:rsid w:val="00A346FD"/>
    <w:rsid w:val="00A3529C"/>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BBB"/>
    <w:rsid w:val="00A72F6A"/>
    <w:rsid w:val="00A73A48"/>
    <w:rsid w:val="00A75943"/>
    <w:rsid w:val="00A7625D"/>
    <w:rsid w:val="00A77FD7"/>
    <w:rsid w:val="00A81D87"/>
    <w:rsid w:val="00A81FBB"/>
    <w:rsid w:val="00A821D0"/>
    <w:rsid w:val="00A82AD6"/>
    <w:rsid w:val="00A82EAB"/>
    <w:rsid w:val="00A833A0"/>
    <w:rsid w:val="00A834B1"/>
    <w:rsid w:val="00A84F36"/>
    <w:rsid w:val="00A8670C"/>
    <w:rsid w:val="00A867CB"/>
    <w:rsid w:val="00A87F97"/>
    <w:rsid w:val="00A91007"/>
    <w:rsid w:val="00A9196D"/>
    <w:rsid w:val="00A92E86"/>
    <w:rsid w:val="00A96138"/>
    <w:rsid w:val="00A962FD"/>
    <w:rsid w:val="00A96858"/>
    <w:rsid w:val="00A969FF"/>
    <w:rsid w:val="00AA0CDA"/>
    <w:rsid w:val="00AA1F6E"/>
    <w:rsid w:val="00AA370E"/>
    <w:rsid w:val="00AA37F8"/>
    <w:rsid w:val="00AA5193"/>
    <w:rsid w:val="00AA59B3"/>
    <w:rsid w:val="00AA606B"/>
    <w:rsid w:val="00AA7571"/>
    <w:rsid w:val="00AB0E30"/>
    <w:rsid w:val="00AB212C"/>
    <w:rsid w:val="00AB23E6"/>
    <w:rsid w:val="00AB3919"/>
    <w:rsid w:val="00AB3E66"/>
    <w:rsid w:val="00AB477D"/>
    <w:rsid w:val="00AB5229"/>
    <w:rsid w:val="00AB5DE7"/>
    <w:rsid w:val="00AB6D04"/>
    <w:rsid w:val="00AB6D78"/>
    <w:rsid w:val="00AB72A6"/>
    <w:rsid w:val="00AC0403"/>
    <w:rsid w:val="00AC1D1B"/>
    <w:rsid w:val="00AC2218"/>
    <w:rsid w:val="00AC6326"/>
    <w:rsid w:val="00AC67C7"/>
    <w:rsid w:val="00AC7364"/>
    <w:rsid w:val="00AD3AEE"/>
    <w:rsid w:val="00AE0219"/>
    <w:rsid w:val="00AE1233"/>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3135"/>
    <w:rsid w:val="00B04178"/>
    <w:rsid w:val="00B048CC"/>
    <w:rsid w:val="00B04A34"/>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1A68"/>
    <w:rsid w:val="00B25177"/>
    <w:rsid w:val="00B25A20"/>
    <w:rsid w:val="00B26902"/>
    <w:rsid w:val="00B26C68"/>
    <w:rsid w:val="00B30171"/>
    <w:rsid w:val="00B302F5"/>
    <w:rsid w:val="00B30C99"/>
    <w:rsid w:val="00B33E5B"/>
    <w:rsid w:val="00B355AB"/>
    <w:rsid w:val="00B36F20"/>
    <w:rsid w:val="00B37719"/>
    <w:rsid w:val="00B378B3"/>
    <w:rsid w:val="00B40729"/>
    <w:rsid w:val="00B42B5E"/>
    <w:rsid w:val="00B43266"/>
    <w:rsid w:val="00B45827"/>
    <w:rsid w:val="00B461F9"/>
    <w:rsid w:val="00B474D0"/>
    <w:rsid w:val="00B51DBD"/>
    <w:rsid w:val="00B52167"/>
    <w:rsid w:val="00B53218"/>
    <w:rsid w:val="00B546E3"/>
    <w:rsid w:val="00B55087"/>
    <w:rsid w:val="00B55158"/>
    <w:rsid w:val="00B559EC"/>
    <w:rsid w:val="00B55E04"/>
    <w:rsid w:val="00B5600C"/>
    <w:rsid w:val="00B569DE"/>
    <w:rsid w:val="00B57069"/>
    <w:rsid w:val="00B57CE0"/>
    <w:rsid w:val="00B61596"/>
    <w:rsid w:val="00B64BC3"/>
    <w:rsid w:val="00B661C0"/>
    <w:rsid w:val="00B6662E"/>
    <w:rsid w:val="00B66FDF"/>
    <w:rsid w:val="00B70712"/>
    <w:rsid w:val="00B70BB7"/>
    <w:rsid w:val="00B744CF"/>
    <w:rsid w:val="00B75363"/>
    <w:rsid w:val="00B766EE"/>
    <w:rsid w:val="00B8029F"/>
    <w:rsid w:val="00B8226C"/>
    <w:rsid w:val="00B851ED"/>
    <w:rsid w:val="00B856E6"/>
    <w:rsid w:val="00B86940"/>
    <w:rsid w:val="00B86DF8"/>
    <w:rsid w:val="00B8706D"/>
    <w:rsid w:val="00B91CDD"/>
    <w:rsid w:val="00B92B28"/>
    <w:rsid w:val="00B95528"/>
    <w:rsid w:val="00B9722B"/>
    <w:rsid w:val="00B972CE"/>
    <w:rsid w:val="00BA0166"/>
    <w:rsid w:val="00BA1570"/>
    <w:rsid w:val="00BA2BDC"/>
    <w:rsid w:val="00BA3F55"/>
    <w:rsid w:val="00BA4270"/>
    <w:rsid w:val="00BA4B9D"/>
    <w:rsid w:val="00BA508D"/>
    <w:rsid w:val="00BB0F3A"/>
    <w:rsid w:val="00BB1D52"/>
    <w:rsid w:val="00BB1F7B"/>
    <w:rsid w:val="00BB2086"/>
    <w:rsid w:val="00BB5974"/>
    <w:rsid w:val="00BC15E1"/>
    <w:rsid w:val="00BC1B9A"/>
    <w:rsid w:val="00BC47DD"/>
    <w:rsid w:val="00BC538C"/>
    <w:rsid w:val="00BC67EE"/>
    <w:rsid w:val="00BC6C6F"/>
    <w:rsid w:val="00BD222E"/>
    <w:rsid w:val="00BD2C10"/>
    <w:rsid w:val="00BD6961"/>
    <w:rsid w:val="00BE0A11"/>
    <w:rsid w:val="00BE0E84"/>
    <w:rsid w:val="00BE249A"/>
    <w:rsid w:val="00BE3F9A"/>
    <w:rsid w:val="00BE4F0A"/>
    <w:rsid w:val="00BE573B"/>
    <w:rsid w:val="00BE60AA"/>
    <w:rsid w:val="00BE7653"/>
    <w:rsid w:val="00BF0A32"/>
    <w:rsid w:val="00BF1880"/>
    <w:rsid w:val="00BF1B0B"/>
    <w:rsid w:val="00BF35F6"/>
    <w:rsid w:val="00BF370D"/>
    <w:rsid w:val="00BF5E90"/>
    <w:rsid w:val="00BF6FE2"/>
    <w:rsid w:val="00BF7470"/>
    <w:rsid w:val="00BF7C3D"/>
    <w:rsid w:val="00C006F0"/>
    <w:rsid w:val="00C015AA"/>
    <w:rsid w:val="00C062D0"/>
    <w:rsid w:val="00C07A6D"/>
    <w:rsid w:val="00C1294A"/>
    <w:rsid w:val="00C16B79"/>
    <w:rsid w:val="00C17D57"/>
    <w:rsid w:val="00C214AD"/>
    <w:rsid w:val="00C21BD8"/>
    <w:rsid w:val="00C24629"/>
    <w:rsid w:val="00C30AB1"/>
    <w:rsid w:val="00C31819"/>
    <w:rsid w:val="00C31A61"/>
    <w:rsid w:val="00C32017"/>
    <w:rsid w:val="00C33BE7"/>
    <w:rsid w:val="00C34726"/>
    <w:rsid w:val="00C35694"/>
    <w:rsid w:val="00C37A53"/>
    <w:rsid w:val="00C41CF2"/>
    <w:rsid w:val="00C433ED"/>
    <w:rsid w:val="00C44819"/>
    <w:rsid w:val="00C44E07"/>
    <w:rsid w:val="00C452A5"/>
    <w:rsid w:val="00C45B94"/>
    <w:rsid w:val="00C45BF6"/>
    <w:rsid w:val="00C45F59"/>
    <w:rsid w:val="00C50414"/>
    <w:rsid w:val="00C50808"/>
    <w:rsid w:val="00C5096A"/>
    <w:rsid w:val="00C513F6"/>
    <w:rsid w:val="00C51AFF"/>
    <w:rsid w:val="00C53120"/>
    <w:rsid w:val="00C536DE"/>
    <w:rsid w:val="00C54076"/>
    <w:rsid w:val="00C55064"/>
    <w:rsid w:val="00C56D72"/>
    <w:rsid w:val="00C5794A"/>
    <w:rsid w:val="00C61197"/>
    <w:rsid w:val="00C62EF1"/>
    <w:rsid w:val="00C65F8F"/>
    <w:rsid w:val="00C666CE"/>
    <w:rsid w:val="00C6714F"/>
    <w:rsid w:val="00C674FD"/>
    <w:rsid w:val="00C7077B"/>
    <w:rsid w:val="00C729CD"/>
    <w:rsid w:val="00C72CDA"/>
    <w:rsid w:val="00C73CBE"/>
    <w:rsid w:val="00C7631A"/>
    <w:rsid w:val="00C81F1E"/>
    <w:rsid w:val="00C8251B"/>
    <w:rsid w:val="00C82AFE"/>
    <w:rsid w:val="00C8350E"/>
    <w:rsid w:val="00C86370"/>
    <w:rsid w:val="00C866C5"/>
    <w:rsid w:val="00C8703B"/>
    <w:rsid w:val="00C905CD"/>
    <w:rsid w:val="00C90997"/>
    <w:rsid w:val="00C926CE"/>
    <w:rsid w:val="00C92AA4"/>
    <w:rsid w:val="00C92D00"/>
    <w:rsid w:val="00C938A2"/>
    <w:rsid w:val="00C96DDA"/>
    <w:rsid w:val="00CA3091"/>
    <w:rsid w:val="00CA526E"/>
    <w:rsid w:val="00CA5861"/>
    <w:rsid w:val="00CA7DF1"/>
    <w:rsid w:val="00CB063E"/>
    <w:rsid w:val="00CB46CA"/>
    <w:rsid w:val="00CB4EC5"/>
    <w:rsid w:val="00CB52A4"/>
    <w:rsid w:val="00CB7BA1"/>
    <w:rsid w:val="00CC02E1"/>
    <w:rsid w:val="00CC0C69"/>
    <w:rsid w:val="00CC1648"/>
    <w:rsid w:val="00CC2EE6"/>
    <w:rsid w:val="00CC4AC7"/>
    <w:rsid w:val="00CC6087"/>
    <w:rsid w:val="00CC7630"/>
    <w:rsid w:val="00CC7C8D"/>
    <w:rsid w:val="00CD0071"/>
    <w:rsid w:val="00CD1EC5"/>
    <w:rsid w:val="00CD2FD4"/>
    <w:rsid w:val="00CD346D"/>
    <w:rsid w:val="00CD4000"/>
    <w:rsid w:val="00CD65F7"/>
    <w:rsid w:val="00CD6EF8"/>
    <w:rsid w:val="00CD7375"/>
    <w:rsid w:val="00CE2071"/>
    <w:rsid w:val="00CE5E68"/>
    <w:rsid w:val="00CE656F"/>
    <w:rsid w:val="00CE68FC"/>
    <w:rsid w:val="00CE7222"/>
    <w:rsid w:val="00CF013B"/>
    <w:rsid w:val="00CF109F"/>
    <w:rsid w:val="00CF1C41"/>
    <w:rsid w:val="00CF447A"/>
    <w:rsid w:val="00CF4BE7"/>
    <w:rsid w:val="00CF5A1E"/>
    <w:rsid w:val="00CF6285"/>
    <w:rsid w:val="00D01F8B"/>
    <w:rsid w:val="00D0286D"/>
    <w:rsid w:val="00D0390E"/>
    <w:rsid w:val="00D049D3"/>
    <w:rsid w:val="00D04E98"/>
    <w:rsid w:val="00D05476"/>
    <w:rsid w:val="00D06517"/>
    <w:rsid w:val="00D06A73"/>
    <w:rsid w:val="00D07EA6"/>
    <w:rsid w:val="00D10A60"/>
    <w:rsid w:val="00D118B2"/>
    <w:rsid w:val="00D11C4A"/>
    <w:rsid w:val="00D129DD"/>
    <w:rsid w:val="00D13768"/>
    <w:rsid w:val="00D142AA"/>
    <w:rsid w:val="00D14795"/>
    <w:rsid w:val="00D15AD7"/>
    <w:rsid w:val="00D16B57"/>
    <w:rsid w:val="00D21726"/>
    <w:rsid w:val="00D21DC1"/>
    <w:rsid w:val="00D22A42"/>
    <w:rsid w:val="00D22D88"/>
    <w:rsid w:val="00D243D3"/>
    <w:rsid w:val="00D26C2F"/>
    <w:rsid w:val="00D34FD3"/>
    <w:rsid w:val="00D35E01"/>
    <w:rsid w:val="00D36556"/>
    <w:rsid w:val="00D377DE"/>
    <w:rsid w:val="00D417FD"/>
    <w:rsid w:val="00D41D0F"/>
    <w:rsid w:val="00D43E03"/>
    <w:rsid w:val="00D44C57"/>
    <w:rsid w:val="00D44D36"/>
    <w:rsid w:val="00D45438"/>
    <w:rsid w:val="00D46B14"/>
    <w:rsid w:val="00D46CB7"/>
    <w:rsid w:val="00D46EC5"/>
    <w:rsid w:val="00D47B2F"/>
    <w:rsid w:val="00D47F12"/>
    <w:rsid w:val="00D519C5"/>
    <w:rsid w:val="00D51ECF"/>
    <w:rsid w:val="00D52A58"/>
    <w:rsid w:val="00D53ED9"/>
    <w:rsid w:val="00D55238"/>
    <w:rsid w:val="00D564CA"/>
    <w:rsid w:val="00D6024C"/>
    <w:rsid w:val="00D61761"/>
    <w:rsid w:val="00D63C15"/>
    <w:rsid w:val="00D64928"/>
    <w:rsid w:val="00D70444"/>
    <w:rsid w:val="00D75CED"/>
    <w:rsid w:val="00D80D4D"/>
    <w:rsid w:val="00D81DB3"/>
    <w:rsid w:val="00D81F1F"/>
    <w:rsid w:val="00D8279E"/>
    <w:rsid w:val="00D83ED0"/>
    <w:rsid w:val="00D84206"/>
    <w:rsid w:val="00D848A7"/>
    <w:rsid w:val="00D850DA"/>
    <w:rsid w:val="00D85520"/>
    <w:rsid w:val="00D860C3"/>
    <w:rsid w:val="00D86291"/>
    <w:rsid w:val="00D86770"/>
    <w:rsid w:val="00D87F19"/>
    <w:rsid w:val="00D90A28"/>
    <w:rsid w:val="00D92867"/>
    <w:rsid w:val="00D96690"/>
    <w:rsid w:val="00D974D3"/>
    <w:rsid w:val="00D975E7"/>
    <w:rsid w:val="00DA0916"/>
    <w:rsid w:val="00DA2723"/>
    <w:rsid w:val="00DA5080"/>
    <w:rsid w:val="00DA6276"/>
    <w:rsid w:val="00DA6452"/>
    <w:rsid w:val="00DA695E"/>
    <w:rsid w:val="00DA6ADA"/>
    <w:rsid w:val="00DA6C53"/>
    <w:rsid w:val="00DA7DC5"/>
    <w:rsid w:val="00DB02AD"/>
    <w:rsid w:val="00DB071D"/>
    <w:rsid w:val="00DB10C6"/>
    <w:rsid w:val="00DB2081"/>
    <w:rsid w:val="00DB3635"/>
    <w:rsid w:val="00DB4AD1"/>
    <w:rsid w:val="00DC0B85"/>
    <w:rsid w:val="00DC18B4"/>
    <w:rsid w:val="00DC23C5"/>
    <w:rsid w:val="00DC2D2C"/>
    <w:rsid w:val="00DC6751"/>
    <w:rsid w:val="00DC7051"/>
    <w:rsid w:val="00DD0DB2"/>
    <w:rsid w:val="00DD1196"/>
    <w:rsid w:val="00DD1D64"/>
    <w:rsid w:val="00DD6B1F"/>
    <w:rsid w:val="00DD759C"/>
    <w:rsid w:val="00DD799E"/>
    <w:rsid w:val="00DE0AE4"/>
    <w:rsid w:val="00DE0BB8"/>
    <w:rsid w:val="00DE237D"/>
    <w:rsid w:val="00DE3399"/>
    <w:rsid w:val="00DE41DB"/>
    <w:rsid w:val="00DF27E2"/>
    <w:rsid w:val="00DF2896"/>
    <w:rsid w:val="00DF637A"/>
    <w:rsid w:val="00DF74C6"/>
    <w:rsid w:val="00E00B59"/>
    <w:rsid w:val="00E029A1"/>
    <w:rsid w:val="00E02D97"/>
    <w:rsid w:val="00E0577E"/>
    <w:rsid w:val="00E07816"/>
    <w:rsid w:val="00E117CD"/>
    <w:rsid w:val="00E11D84"/>
    <w:rsid w:val="00E1286F"/>
    <w:rsid w:val="00E12AFA"/>
    <w:rsid w:val="00E12B6B"/>
    <w:rsid w:val="00E13523"/>
    <w:rsid w:val="00E14A6F"/>
    <w:rsid w:val="00E14C5A"/>
    <w:rsid w:val="00E15E5F"/>
    <w:rsid w:val="00E167EC"/>
    <w:rsid w:val="00E2565F"/>
    <w:rsid w:val="00E34A48"/>
    <w:rsid w:val="00E3574E"/>
    <w:rsid w:val="00E363D5"/>
    <w:rsid w:val="00E36957"/>
    <w:rsid w:val="00E373F8"/>
    <w:rsid w:val="00E37982"/>
    <w:rsid w:val="00E379D9"/>
    <w:rsid w:val="00E41376"/>
    <w:rsid w:val="00E42FC6"/>
    <w:rsid w:val="00E43F1F"/>
    <w:rsid w:val="00E4494C"/>
    <w:rsid w:val="00E451A4"/>
    <w:rsid w:val="00E45B25"/>
    <w:rsid w:val="00E502BA"/>
    <w:rsid w:val="00E5360E"/>
    <w:rsid w:val="00E57595"/>
    <w:rsid w:val="00E617B0"/>
    <w:rsid w:val="00E6205C"/>
    <w:rsid w:val="00E6252B"/>
    <w:rsid w:val="00E62BC8"/>
    <w:rsid w:val="00E64653"/>
    <w:rsid w:val="00E65BBF"/>
    <w:rsid w:val="00E66729"/>
    <w:rsid w:val="00E67A36"/>
    <w:rsid w:val="00E71B25"/>
    <w:rsid w:val="00E71C71"/>
    <w:rsid w:val="00E746D4"/>
    <w:rsid w:val="00E749A3"/>
    <w:rsid w:val="00E749A5"/>
    <w:rsid w:val="00E74D1E"/>
    <w:rsid w:val="00E75779"/>
    <w:rsid w:val="00E7641F"/>
    <w:rsid w:val="00E811D2"/>
    <w:rsid w:val="00E8555E"/>
    <w:rsid w:val="00E867B8"/>
    <w:rsid w:val="00E87C00"/>
    <w:rsid w:val="00E87DB5"/>
    <w:rsid w:val="00E90DB1"/>
    <w:rsid w:val="00E92C7F"/>
    <w:rsid w:val="00E94C27"/>
    <w:rsid w:val="00E95454"/>
    <w:rsid w:val="00E9548A"/>
    <w:rsid w:val="00EA185B"/>
    <w:rsid w:val="00EA29A7"/>
    <w:rsid w:val="00EA384C"/>
    <w:rsid w:val="00EA3A97"/>
    <w:rsid w:val="00EA4049"/>
    <w:rsid w:val="00EA6C34"/>
    <w:rsid w:val="00EA78A8"/>
    <w:rsid w:val="00EA7D16"/>
    <w:rsid w:val="00EB0E3E"/>
    <w:rsid w:val="00EB1064"/>
    <w:rsid w:val="00EB12A4"/>
    <w:rsid w:val="00EB16BB"/>
    <w:rsid w:val="00EB1980"/>
    <w:rsid w:val="00EB2A53"/>
    <w:rsid w:val="00EB3AD6"/>
    <w:rsid w:val="00EB4EB8"/>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8DF"/>
    <w:rsid w:val="00EE2E38"/>
    <w:rsid w:val="00EE45E5"/>
    <w:rsid w:val="00EE4733"/>
    <w:rsid w:val="00EE4C5E"/>
    <w:rsid w:val="00EE547A"/>
    <w:rsid w:val="00EE582B"/>
    <w:rsid w:val="00EE7894"/>
    <w:rsid w:val="00EF0969"/>
    <w:rsid w:val="00EF22DD"/>
    <w:rsid w:val="00EF62FC"/>
    <w:rsid w:val="00EF6FB1"/>
    <w:rsid w:val="00EF7252"/>
    <w:rsid w:val="00F00EF4"/>
    <w:rsid w:val="00F021F4"/>
    <w:rsid w:val="00F02FB9"/>
    <w:rsid w:val="00F0301E"/>
    <w:rsid w:val="00F037D9"/>
    <w:rsid w:val="00F06DB3"/>
    <w:rsid w:val="00F07799"/>
    <w:rsid w:val="00F1100E"/>
    <w:rsid w:val="00F115D6"/>
    <w:rsid w:val="00F146EC"/>
    <w:rsid w:val="00F149F5"/>
    <w:rsid w:val="00F14A31"/>
    <w:rsid w:val="00F14F56"/>
    <w:rsid w:val="00F1617E"/>
    <w:rsid w:val="00F16303"/>
    <w:rsid w:val="00F16D9D"/>
    <w:rsid w:val="00F176B6"/>
    <w:rsid w:val="00F20002"/>
    <w:rsid w:val="00F232A6"/>
    <w:rsid w:val="00F251AF"/>
    <w:rsid w:val="00F25526"/>
    <w:rsid w:val="00F26B20"/>
    <w:rsid w:val="00F30DB5"/>
    <w:rsid w:val="00F3271C"/>
    <w:rsid w:val="00F32826"/>
    <w:rsid w:val="00F337DD"/>
    <w:rsid w:val="00F33E31"/>
    <w:rsid w:val="00F37769"/>
    <w:rsid w:val="00F41521"/>
    <w:rsid w:val="00F43740"/>
    <w:rsid w:val="00F43D0D"/>
    <w:rsid w:val="00F43EAE"/>
    <w:rsid w:val="00F454FF"/>
    <w:rsid w:val="00F45AC0"/>
    <w:rsid w:val="00F46378"/>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83534"/>
    <w:rsid w:val="00F905AB"/>
    <w:rsid w:val="00F961CE"/>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3BC4"/>
    <w:rsid w:val="00FC4F3C"/>
    <w:rsid w:val="00FC558C"/>
    <w:rsid w:val="00FC624B"/>
    <w:rsid w:val="00FC6C4A"/>
    <w:rsid w:val="00FD013C"/>
    <w:rsid w:val="00FD14D6"/>
    <w:rsid w:val="00FD43B7"/>
    <w:rsid w:val="00FD5ACD"/>
    <w:rsid w:val="00FD5D53"/>
    <w:rsid w:val="00FD5E28"/>
    <w:rsid w:val="00FE1C74"/>
    <w:rsid w:val="00FE2591"/>
    <w:rsid w:val="00FE289A"/>
    <w:rsid w:val="00FE307B"/>
    <w:rsid w:val="00FE353A"/>
    <w:rsid w:val="00FE4EBA"/>
    <w:rsid w:val="00FE53A8"/>
    <w:rsid w:val="00FE55B9"/>
    <w:rsid w:val="00FE5B68"/>
    <w:rsid w:val="00FE5C60"/>
    <w:rsid w:val="00FF0C63"/>
    <w:rsid w:val="00FF0EC6"/>
    <w:rsid w:val="00FF1DAB"/>
    <w:rsid w:val="00FF394A"/>
    <w:rsid w:val="00FF3DF8"/>
    <w:rsid w:val="00FF45D9"/>
    <w:rsid w:val="0F550748"/>
    <w:rsid w:val="23C104C2"/>
    <w:rsid w:val="245B20A7"/>
    <w:rsid w:val="28EE596F"/>
    <w:rsid w:val="2CE81BAF"/>
    <w:rsid w:val="38F33167"/>
    <w:rsid w:val="40D775F8"/>
    <w:rsid w:val="43D11D2D"/>
    <w:rsid w:val="450B0A1C"/>
    <w:rsid w:val="47A76967"/>
    <w:rsid w:val="489E2956"/>
    <w:rsid w:val="52B644A8"/>
    <w:rsid w:val="6142076F"/>
    <w:rsid w:val="62B021DD"/>
    <w:rsid w:val="6BC1702A"/>
    <w:rsid w:val="6C940752"/>
    <w:rsid w:val="75BE6EB5"/>
    <w:rsid w:val="7EEF6C2A"/>
    <w:rsid w:val="7F074C20"/>
    <w:rsid w:val="7F916773"/>
    <w:rsid w:val="7FC461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qFormat="1"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3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kern w:val="44"/>
      <w:sz w:val="44"/>
      <w:szCs w:val="20"/>
    </w:rPr>
  </w:style>
  <w:style w:type="paragraph" w:styleId="3">
    <w:name w:val="heading 2"/>
    <w:basedOn w:val="1"/>
    <w:next w:val="1"/>
    <w:link w:val="46"/>
    <w:unhideWhenUsed/>
    <w:qFormat/>
    <w:uiPriority w:val="9"/>
    <w:pPr>
      <w:keepNext/>
      <w:keepLines/>
      <w:numPr>
        <w:ilvl w:val="0"/>
        <w:numId w:val="1"/>
      </w:numPr>
      <w:spacing w:before="120" w:after="120" w:line="360" w:lineRule="auto"/>
      <w:ind w:firstLine="0"/>
      <w:outlineLvl w:val="1"/>
    </w:pPr>
    <w:rPr>
      <w:rFonts w:ascii="Calibri Light" w:hAnsi="Calibri Light" w:eastAsia="微软雅黑"/>
      <w:b/>
      <w:bCs/>
      <w:sz w:val="28"/>
      <w:szCs w:val="32"/>
    </w:rPr>
  </w:style>
  <w:style w:type="paragraph" w:styleId="4">
    <w:name w:val="heading 3"/>
    <w:basedOn w:val="1"/>
    <w:next w:val="1"/>
    <w:link w:val="47"/>
    <w:unhideWhenUsed/>
    <w:qFormat/>
    <w:uiPriority w:val="9"/>
    <w:pPr>
      <w:keepNext/>
      <w:keepLines/>
      <w:numPr>
        <w:ilvl w:val="1"/>
        <w:numId w:val="1"/>
      </w:numPr>
      <w:spacing w:before="120" w:after="120" w:line="360" w:lineRule="auto"/>
      <w:ind w:firstLine="0"/>
      <w:outlineLvl w:val="2"/>
    </w:pPr>
    <w:rPr>
      <w:rFonts w:ascii="微软雅黑" w:hAnsi="微软雅黑" w:eastAsia="微软雅黑"/>
      <w:b/>
      <w:bCs/>
      <w:sz w:val="24"/>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qFormat/>
    <w:uiPriority w:val="99"/>
    <w:pPr>
      <w:jc w:val="left"/>
    </w:pPr>
    <w:rPr>
      <w:sz w:val="24"/>
      <w:szCs w:val="20"/>
    </w:rPr>
  </w:style>
  <w:style w:type="paragraph" w:styleId="6">
    <w:name w:val="Body Text"/>
    <w:basedOn w:val="1"/>
    <w:link w:val="44"/>
    <w:unhideWhenUsed/>
    <w:qFormat/>
    <w:locked/>
    <w:uiPriority w:val="99"/>
    <w:pPr>
      <w:spacing w:after="120"/>
    </w:pPr>
  </w:style>
  <w:style w:type="paragraph" w:styleId="7">
    <w:name w:val="Body Text Indent"/>
    <w:basedOn w:val="1"/>
    <w:link w:val="26"/>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toc 3"/>
    <w:basedOn w:val="1"/>
    <w:next w:val="1"/>
    <w:unhideWhenUsed/>
    <w:qFormat/>
    <w:uiPriority w:val="39"/>
    <w:pPr>
      <w:ind w:left="482" w:firstLine="200" w:firstLineChars="200"/>
      <w:jc w:val="left"/>
    </w:pPr>
    <w:rPr>
      <w:rFonts w:ascii="Calibri" w:hAnsi="Calibri" w:cs="Calibri"/>
      <w:i/>
      <w:iCs/>
      <w:sz w:val="20"/>
      <w:szCs w:val="20"/>
    </w:rPr>
  </w:style>
  <w:style w:type="paragraph" w:styleId="11">
    <w:name w:val="Plain Text"/>
    <w:basedOn w:val="1"/>
    <w:link w:val="27"/>
    <w:qFormat/>
    <w:uiPriority w:val="0"/>
    <w:rPr>
      <w:rFonts w:ascii="宋体" w:hAnsi="Courier New"/>
      <w:szCs w:val="20"/>
    </w:rPr>
  </w:style>
  <w:style w:type="paragraph" w:styleId="12">
    <w:name w:val="Date"/>
    <w:basedOn w:val="1"/>
    <w:next w:val="1"/>
    <w:link w:val="28"/>
    <w:qFormat/>
    <w:uiPriority w:val="99"/>
    <w:pPr>
      <w:ind w:left="100" w:leftChars="2500"/>
    </w:pPr>
    <w:rPr>
      <w:sz w:val="24"/>
      <w:szCs w:val="20"/>
    </w:rPr>
  </w:style>
  <w:style w:type="paragraph" w:styleId="13">
    <w:name w:val="Balloon Text"/>
    <w:basedOn w:val="1"/>
    <w:link w:val="29"/>
    <w:semiHidden/>
    <w:qFormat/>
    <w:uiPriority w:val="99"/>
    <w:rPr>
      <w:kern w:val="0"/>
      <w:sz w:val="2"/>
      <w:szCs w:val="20"/>
    </w:rPr>
  </w:style>
  <w:style w:type="paragraph" w:styleId="14">
    <w:name w:val="footer"/>
    <w:basedOn w:val="1"/>
    <w:link w:val="30"/>
    <w:uiPriority w:val="99"/>
    <w:pPr>
      <w:tabs>
        <w:tab w:val="center" w:pos="4153"/>
        <w:tab w:val="right" w:pos="8306"/>
      </w:tabs>
      <w:snapToGrid w:val="0"/>
      <w:jc w:val="left"/>
    </w:pPr>
    <w:rPr>
      <w:kern w:val="0"/>
      <w:sz w:val="18"/>
      <w:szCs w:val="18"/>
    </w:rPr>
  </w:style>
  <w:style w:type="paragraph" w:styleId="15">
    <w:name w:val="header"/>
    <w:basedOn w:val="1"/>
    <w:link w:val="31"/>
    <w:qFormat/>
    <w:uiPriority w:val="99"/>
    <w:pPr>
      <w:pBdr>
        <w:bottom w:val="single" w:color="auto" w:sz="6" w:space="1"/>
      </w:pBdr>
      <w:tabs>
        <w:tab w:val="center" w:pos="4153"/>
        <w:tab w:val="right" w:pos="8306"/>
      </w:tabs>
      <w:snapToGrid w:val="0"/>
      <w:jc w:val="center"/>
    </w:pPr>
    <w:rPr>
      <w:sz w:val="18"/>
      <w:szCs w:val="20"/>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5"/>
    <w:next w:val="5"/>
    <w:link w:val="32"/>
    <w:qFormat/>
    <w:uiPriority w:val="99"/>
    <w:rPr>
      <w:b/>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semiHidden/>
    <w:unhideWhenUsed/>
    <w:qFormat/>
    <w:locked/>
    <w:uiPriority w:val="99"/>
    <w:rPr>
      <w:color w:val="800080" w:themeColor="followedHyperlink"/>
      <w:u w:val="single"/>
    </w:rPr>
  </w:style>
  <w:style w:type="character" w:styleId="22">
    <w:name w:val="Hyperlink"/>
    <w:qFormat/>
    <w:uiPriority w:val="99"/>
    <w:rPr>
      <w:rFonts w:cs="Times New Roman"/>
      <w:color w:val="0563C1"/>
      <w:u w:val="single"/>
    </w:rPr>
  </w:style>
  <w:style w:type="character" w:styleId="23">
    <w:name w:val="annotation reference"/>
    <w:qFormat/>
    <w:uiPriority w:val="99"/>
    <w:rPr>
      <w:rFonts w:cs="Times New Roman"/>
      <w:sz w:val="21"/>
    </w:rPr>
  </w:style>
  <w:style w:type="character" w:customStyle="1" w:styleId="24">
    <w:name w:val="标题 1 Char"/>
    <w:link w:val="2"/>
    <w:qFormat/>
    <w:locked/>
    <w:uiPriority w:val="99"/>
    <w:rPr>
      <w:rFonts w:cs="Times New Roman"/>
      <w:b/>
      <w:kern w:val="44"/>
      <w:sz w:val="44"/>
    </w:rPr>
  </w:style>
  <w:style w:type="character" w:customStyle="1" w:styleId="25">
    <w:name w:val="批注文字 Char"/>
    <w:link w:val="5"/>
    <w:qFormat/>
    <w:locked/>
    <w:uiPriority w:val="99"/>
    <w:rPr>
      <w:rFonts w:cs="Times New Roman"/>
      <w:kern w:val="2"/>
      <w:sz w:val="24"/>
    </w:rPr>
  </w:style>
  <w:style w:type="character" w:customStyle="1" w:styleId="26">
    <w:name w:val="正文文本缩进 Char"/>
    <w:link w:val="7"/>
    <w:locked/>
    <w:uiPriority w:val="99"/>
    <w:rPr>
      <w:rFonts w:ascii="等线" w:eastAsia="等线" w:cs="Times New Roman"/>
      <w:kern w:val="2"/>
      <w:sz w:val="22"/>
    </w:rPr>
  </w:style>
  <w:style w:type="character" w:customStyle="1" w:styleId="27">
    <w:name w:val="纯文本 Char"/>
    <w:link w:val="11"/>
    <w:qFormat/>
    <w:locked/>
    <w:uiPriority w:val="0"/>
    <w:rPr>
      <w:rFonts w:ascii="宋体" w:hAnsi="Courier New" w:cs="Times New Roman"/>
      <w:kern w:val="2"/>
      <w:sz w:val="21"/>
    </w:rPr>
  </w:style>
  <w:style w:type="character" w:customStyle="1" w:styleId="28">
    <w:name w:val="日期 Char"/>
    <w:link w:val="12"/>
    <w:qFormat/>
    <w:locked/>
    <w:uiPriority w:val="99"/>
    <w:rPr>
      <w:rFonts w:cs="Times New Roman"/>
      <w:kern w:val="2"/>
      <w:sz w:val="24"/>
    </w:rPr>
  </w:style>
  <w:style w:type="character" w:customStyle="1" w:styleId="29">
    <w:name w:val="批注框文本 Char"/>
    <w:link w:val="13"/>
    <w:semiHidden/>
    <w:qFormat/>
    <w:locked/>
    <w:uiPriority w:val="99"/>
    <w:rPr>
      <w:rFonts w:cs="Times New Roman"/>
      <w:sz w:val="2"/>
    </w:rPr>
  </w:style>
  <w:style w:type="character" w:customStyle="1" w:styleId="30">
    <w:name w:val="页脚 Char"/>
    <w:link w:val="14"/>
    <w:semiHidden/>
    <w:locked/>
    <w:uiPriority w:val="99"/>
    <w:rPr>
      <w:rFonts w:cs="Times New Roman"/>
      <w:sz w:val="18"/>
      <w:szCs w:val="18"/>
    </w:rPr>
  </w:style>
  <w:style w:type="character" w:customStyle="1" w:styleId="31">
    <w:name w:val="页眉 Char"/>
    <w:link w:val="15"/>
    <w:qFormat/>
    <w:locked/>
    <w:uiPriority w:val="99"/>
    <w:rPr>
      <w:rFonts w:cs="Times New Roman"/>
      <w:kern w:val="2"/>
      <w:sz w:val="18"/>
    </w:rPr>
  </w:style>
  <w:style w:type="character" w:customStyle="1" w:styleId="32">
    <w:name w:val="批注主题 Char"/>
    <w:link w:val="17"/>
    <w:qFormat/>
    <w:locked/>
    <w:uiPriority w:val="99"/>
    <w:rPr>
      <w:rFonts w:cs="Times New Roman"/>
      <w:b/>
      <w:kern w:val="2"/>
      <w:sz w:val="24"/>
    </w:rPr>
  </w:style>
  <w:style w:type="paragraph" w:customStyle="1" w:styleId="33">
    <w:name w:val="Char"/>
    <w:basedOn w:val="1"/>
    <w:qFormat/>
    <w:uiPriority w:val="99"/>
    <w:pPr>
      <w:tabs>
        <w:tab w:val="left" w:pos="360"/>
      </w:tabs>
    </w:pPr>
    <w:rPr>
      <w:sz w:val="24"/>
    </w:rPr>
  </w:style>
  <w:style w:type="character" w:customStyle="1" w:styleId="34">
    <w:name w:val="列出段落 Char"/>
    <w:link w:val="35"/>
    <w:qFormat/>
    <w:locked/>
    <w:uiPriority w:val="0"/>
  </w:style>
  <w:style w:type="paragraph" w:styleId="35">
    <w:name w:val="List Paragraph"/>
    <w:basedOn w:val="1"/>
    <w:link w:val="34"/>
    <w:qFormat/>
    <w:uiPriority w:val="34"/>
    <w:pPr>
      <w:widowControl/>
      <w:ind w:firstLine="420" w:firstLineChars="200"/>
      <w:jc w:val="left"/>
    </w:pPr>
    <w:rPr>
      <w:kern w:val="0"/>
      <w:sz w:val="20"/>
      <w:szCs w:val="20"/>
    </w:rPr>
  </w:style>
  <w:style w:type="table" w:customStyle="1" w:styleId="36">
    <w:name w:val="网格型1"/>
    <w:qFormat/>
    <w:uiPriority w:val="9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Placeholder Text"/>
    <w:semiHidden/>
    <w:qFormat/>
    <w:uiPriority w:val="99"/>
    <w:rPr>
      <w:rFonts w:cs="Times New Roman"/>
      <w:color w:val="808080"/>
    </w:rPr>
  </w:style>
  <w:style w:type="paragraph" w:customStyle="1" w:styleId="38">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9">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0">
    <w:name w:val="网格型11"/>
    <w:qFormat/>
    <w:uiPriority w:val="9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1">
    <w:name w:val="列出段落2"/>
    <w:basedOn w:val="1"/>
    <w:qFormat/>
    <w:uiPriority w:val="99"/>
    <w:pPr>
      <w:ind w:firstLine="420" w:firstLineChars="200"/>
    </w:pPr>
    <w:rPr>
      <w:rFonts w:ascii="Calibri" w:hAnsi="Calibri"/>
      <w:szCs w:val="22"/>
    </w:rPr>
  </w:style>
  <w:style w:type="character" w:customStyle="1" w:styleId="42">
    <w:name w:val="标题 2 Char Char Char"/>
    <w:qFormat/>
    <w:uiPriority w:val="99"/>
    <w:rPr>
      <w:rFonts w:ascii="Arial" w:hAnsi="Arial" w:eastAsia="黑体"/>
      <w:b/>
      <w:kern w:val="2"/>
      <w:sz w:val="32"/>
      <w:lang w:val="en-US" w:eastAsia="zh-CN"/>
    </w:rPr>
  </w:style>
  <w:style w:type="paragraph" w:customStyle="1" w:styleId="43">
    <w:name w:val="pp"/>
    <w:basedOn w:val="1"/>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4">
    <w:name w:val="正文文本 Char"/>
    <w:link w:val="6"/>
    <w:qFormat/>
    <w:uiPriority w:val="99"/>
    <w:rPr>
      <w:kern w:val="2"/>
      <w:sz w:val="21"/>
      <w:szCs w:val="24"/>
    </w:rPr>
  </w:style>
  <w:style w:type="paragraph" w:customStyle="1" w:styleId="45">
    <w:name w:val="正文1"/>
    <w:basedOn w:val="1"/>
    <w:qFormat/>
    <w:uiPriority w:val="0"/>
    <w:pPr>
      <w:widowControl/>
      <w:spacing w:after="200" w:line="300" w:lineRule="atLeast"/>
      <w:jc w:val="left"/>
    </w:pPr>
    <w:rPr>
      <w:rFonts w:ascii="Calibri" w:hAnsi="Calibri" w:cs="宋体"/>
      <w:kern w:val="0"/>
      <w:sz w:val="22"/>
      <w:szCs w:val="22"/>
    </w:rPr>
  </w:style>
  <w:style w:type="character" w:customStyle="1" w:styleId="46">
    <w:name w:val="标题 2 Char"/>
    <w:basedOn w:val="20"/>
    <w:link w:val="3"/>
    <w:qFormat/>
    <w:uiPriority w:val="9"/>
    <w:rPr>
      <w:rFonts w:ascii="Calibri Light" w:hAnsi="Calibri Light" w:eastAsia="微软雅黑"/>
      <w:b/>
      <w:bCs/>
      <w:kern w:val="2"/>
      <w:sz w:val="28"/>
      <w:szCs w:val="32"/>
    </w:rPr>
  </w:style>
  <w:style w:type="character" w:customStyle="1" w:styleId="47">
    <w:name w:val="标题 3 Char"/>
    <w:basedOn w:val="20"/>
    <w:link w:val="4"/>
    <w:qFormat/>
    <w:uiPriority w:val="9"/>
    <w:rPr>
      <w:rFonts w:ascii="微软雅黑" w:hAnsi="微软雅黑" w:eastAsia="微软雅黑"/>
      <w:b/>
      <w:bCs/>
      <w:kern w:val="2"/>
      <w:sz w:val="24"/>
      <w:szCs w:val="32"/>
    </w:rPr>
  </w:style>
  <w:style w:type="paragraph" w:customStyle="1" w:styleId="48">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89EE03-8BBA-46F4-818F-9BE4073768C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3590</Words>
  <Characters>20465</Characters>
  <Lines>170</Lines>
  <Paragraphs>48</Paragraphs>
  <TotalTime>8</TotalTime>
  <ScaleCrop>false</ScaleCrop>
  <LinksUpToDate>false</LinksUpToDate>
  <CharactersWithSpaces>24007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2020-03-30T08:32:00Z</dcterms:created>
  <dc:creator>微软用户</dc:creator>
  <cp:lastModifiedBy>nxdlu</cp:lastModifiedBy>
  <cp:lastPrinted>2019-05-30T06:49:00Z</cp:lastPrinted>
  <dcterms:modified xsi:type="dcterms:W3CDTF">2020-05-22T02:19:18Z</dcterms:modified>
  <dc:title>淮海工学院A8-10号楼学生宿舍家具招标书</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