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bookmarkStart w:id="0" w:name="OLE_LINK2"/>
      <w:bookmarkStart w:id="1" w:name="OLE_LINK1"/>
      <w:r>
        <w:rPr>
          <w:b/>
          <w:sz w:val="44"/>
          <w:szCs w:val="44"/>
        </w:rPr>
        <w:t>南京信息工程大学</w:t>
      </w:r>
      <w:bookmarkEnd w:id="0"/>
      <w:bookmarkEnd w:id="1"/>
      <w:r>
        <w:rPr>
          <w:rFonts w:hint="eastAsia" w:asciiTheme="majorEastAsia" w:hAnsiTheme="majorEastAsia" w:eastAsiaTheme="majorEastAsia" w:cstheme="majorEastAsia"/>
          <w:b/>
          <w:spacing w:val="-20"/>
          <w:sz w:val="44"/>
          <w:szCs w:val="44"/>
        </w:rPr>
        <w:t>滨江学院（无锡校区）3D图形机房与电竞实训室</w:t>
      </w:r>
      <w:r>
        <w:rPr>
          <w:b/>
          <w:sz w:val="44"/>
          <w:szCs w:val="44"/>
        </w:rPr>
        <w:t>项目招标文件</w:t>
      </w:r>
    </w:p>
    <w:p>
      <w:pPr>
        <w:jc w:val="center"/>
        <w:rPr>
          <w:b/>
          <w:sz w:val="44"/>
          <w:szCs w:val="44"/>
        </w:rPr>
      </w:pPr>
    </w:p>
    <w:p>
      <w:pPr>
        <w:adjustRightInd w:val="0"/>
        <w:snapToGrid w:val="0"/>
        <w:spacing w:line="360" w:lineRule="auto"/>
        <w:jc w:val="center"/>
        <w:rPr>
          <w:rFonts w:ascii="宋体" w:cs="仿宋"/>
          <w:sz w:val="28"/>
          <w:szCs w:val="28"/>
          <w:highlight w:val="none"/>
        </w:rPr>
      </w:pPr>
      <w:r>
        <w:rPr>
          <w:rFonts w:hint="eastAsia" w:ascii="宋体" w:hAnsi="宋体" w:cs="仿宋"/>
          <w:sz w:val="28"/>
          <w:szCs w:val="28"/>
          <w:highlight w:val="none"/>
        </w:rPr>
        <w:t>（招标编号：</w:t>
      </w:r>
      <w:r>
        <w:rPr>
          <w:rFonts w:hint="eastAsia" w:ascii="宋体" w:hAnsi="宋体" w:cs="仿宋"/>
          <w:sz w:val="28"/>
          <w:szCs w:val="28"/>
          <w:highlight w:val="none"/>
          <w:u w:val="single"/>
        </w:rPr>
        <w:t>BJ</w:t>
      </w:r>
      <w:r>
        <w:rPr>
          <w:rFonts w:ascii="宋体" w:hAnsi="宋体" w:cs="仿宋"/>
          <w:sz w:val="28"/>
          <w:szCs w:val="28"/>
          <w:highlight w:val="none"/>
          <w:u w:val="single"/>
        </w:rPr>
        <w:t>20</w:t>
      </w:r>
      <w:r>
        <w:rPr>
          <w:rFonts w:hint="eastAsia" w:ascii="宋体" w:hAnsi="宋体" w:cs="仿宋"/>
          <w:sz w:val="28"/>
          <w:szCs w:val="28"/>
          <w:highlight w:val="none"/>
          <w:u w:val="single"/>
        </w:rPr>
        <w:t>20008</w:t>
      </w:r>
      <w:r>
        <w:rPr>
          <w:rFonts w:hint="eastAsia" w:ascii="宋体" w:hAnsi="宋体" w:cs="仿宋"/>
          <w:sz w:val="28"/>
          <w:szCs w:val="28"/>
          <w:highlight w:val="none"/>
          <w:u w:val="single"/>
          <w:lang w:val="en-US" w:eastAsia="zh-CN"/>
        </w:rPr>
        <w:t>-1a</w:t>
      </w:r>
      <w:r>
        <w:rPr>
          <w:rFonts w:hint="eastAsia" w:ascii="宋体" w:hAnsi="宋体" w:cs="仿宋"/>
          <w:sz w:val="28"/>
          <w:szCs w:val="28"/>
          <w:highlight w:val="none"/>
        </w:rPr>
        <w:t>）</w:t>
      </w:r>
    </w:p>
    <w:p>
      <w:pPr>
        <w:adjustRightInd w:val="0"/>
        <w:snapToGrid w:val="0"/>
        <w:spacing w:line="360" w:lineRule="auto"/>
        <w:jc w:val="center"/>
        <w:rPr>
          <w:rFonts w:ascii="宋体" w:cs="仿宋"/>
          <w:sz w:val="28"/>
          <w:szCs w:val="28"/>
          <w:highlight w:val="none"/>
        </w:rPr>
      </w:pPr>
      <w:r>
        <w:rPr>
          <w:rFonts w:ascii="宋体" w:hAnsi="宋体" w:cs="仿宋"/>
          <w:sz w:val="28"/>
          <w:szCs w:val="28"/>
          <w:highlight w:val="none"/>
        </w:rPr>
        <w:t>(</w:t>
      </w:r>
      <w:r>
        <w:rPr>
          <w:rFonts w:ascii="宋体" w:hAnsi="宋体" w:cs="仿宋"/>
          <w:sz w:val="28"/>
          <w:szCs w:val="28"/>
          <w:highlight w:val="none"/>
          <w:u w:val="single"/>
        </w:rPr>
        <w:t>20</w:t>
      </w:r>
      <w:r>
        <w:rPr>
          <w:rFonts w:hint="eastAsia" w:ascii="宋体" w:hAnsi="宋体" w:cs="仿宋"/>
          <w:sz w:val="28"/>
          <w:szCs w:val="28"/>
          <w:highlight w:val="none"/>
          <w:u w:val="single"/>
        </w:rPr>
        <w:t>20年</w:t>
      </w:r>
      <w:r>
        <w:rPr>
          <w:rFonts w:hint="eastAsia" w:ascii="宋体" w:hAnsi="宋体" w:cs="仿宋"/>
          <w:sz w:val="28"/>
          <w:szCs w:val="28"/>
          <w:highlight w:val="none"/>
          <w:u w:val="single"/>
          <w:lang w:val="en-US" w:eastAsia="zh-CN"/>
        </w:rPr>
        <w:t>9</w:t>
      </w:r>
      <w:r>
        <w:rPr>
          <w:rFonts w:hint="eastAsia" w:ascii="宋体" w:hAnsi="宋体" w:cs="仿宋"/>
          <w:sz w:val="28"/>
          <w:szCs w:val="28"/>
          <w:highlight w:val="none"/>
          <w:u w:val="single"/>
        </w:rPr>
        <w:t>月</w:t>
      </w:r>
      <w:r>
        <w:rPr>
          <w:rFonts w:hint="eastAsia" w:ascii="宋体" w:hAnsi="宋体" w:cs="仿宋"/>
          <w:sz w:val="28"/>
          <w:szCs w:val="28"/>
          <w:highlight w:val="none"/>
          <w:u w:val="single"/>
          <w:lang w:val="en-US" w:eastAsia="zh-CN"/>
        </w:rPr>
        <w:t>23</w:t>
      </w:r>
      <w:r>
        <w:rPr>
          <w:rFonts w:hint="eastAsia" w:ascii="宋体" w:hAnsi="宋体" w:cs="仿宋"/>
          <w:sz w:val="28"/>
          <w:szCs w:val="28"/>
          <w:highlight w:val="none"/>
          <w:u w:val="single"/>
        </w:rPr>
        <w:t>日</w:t>
      </w:r>
      <w:r>
        <w:rPr>
          <w:rFonts w:hint="eastAsia" w:ascii="宋体" w:hAnsi="宋体" w:cs="仿宋"/>
          <w:sz w:val="28"/>
          <w:szCs w:val="28"/>
          <w:highlight w:val="none"/>
          <w:u w:val="single"/>
          <w:lang w:val="en-US" w:eastAsia="zh-CN"/>
        </w:rPr>
        <w:t>14</w:t>
      </w:r>
      <w:bookmarkStart w:id="10" w:name="_GoBack"/>
      <w:bookmarkEnd w:id="10"/>
      <w:r>
        <w:rPr>
          <w:rFonts w:hint="eastAsia" w:ascii="宋体" w:hAnsi="宋体" w:cs="仿宋"/>
          <w:sz w:val="28"/>
          <w:szCs w:val="28"/>
          <w:highlight w:val="none"/>
          <w:u w:val="single"/>
        </w:rPr>
        <w:t>：</w:t>
      </w:r>
      <w:r>
        <w:rPr>
          <w:rFonts w:ascii="宋体" w:cs="仿宋"/>
          <w:sz w:val="28"/>
          <w:szCs w:val="28"/>
          <w:highlight w:val="none"/>
          <w:u w:val="single"/>
        </w:rPr>
        <w:t>00</w:t>
      </w:r>
      <w:r>
        <w:rPr>
          <w:rFonts w:hint="eastAsia" w:ascii="宋体" w:hAnsi="宋体" w:cs="仿宋"/>
          <w:sz w:val="28"/>
          <w:szCs w:val="28"/>
          <w:highlight w:val="none"/>
          <w:u w:val="single"/>
        </w:rPr>
        <w:t>定标发标版</w:t>
      </w:r>
      <w:r>
        <w:rPr>
          <w:rFonts w:ascii="宋体" w:hAnsi="宋体" w:cs="仿宋"/>
          <w:sz w:val="28"/>
          <w:szCs w:val="28"/>
          <w:highlight w:val="none"/>
        </w:rPr>
        <w:t>)</w:t>
      </w:r>
    </w:p>
    <w:p>
      <w:pPr>
        <w:jc w:val="left"/>
        <w:rPr>
          <w:kern w:val="0"/>
          <w:sz w:val="28"/>
          <w:szCs w:val="28"/>
        </w:rPr>
      </w:pPr>
      <w:r>
        <w:rPr>
          <w:b/>
          <w:sz w:val="28"/>
          <w:szCs w:val="28"/>
        </w:rPr>
        <w:t xml:space="preserve"> </w:t>
      </w:r>
      <w:r>
        <w:rPr>
          <w:rFonts w:hint="eastAsia"/>
          <w:b/>
          <w:sz w:val="28"/>
          <w:szCs w:val="28"/>
        </w:rPr>
        <w:t xml:space="preserve">  </w:t>
      </w:r>
      <w:r>
        <w:rPr>
          <w:rFonts w:hint="eastAsia"/>
          <w:kern w:val="0"/>
          <w:sz w:val="28"/>
          <w:szCs w:val="28"/>
        </w:rPr>
        <w:t>为满足学生培养需要，受滨江学院（无锡校区）委托，就其3D图形机房与电竞实训室实训室采购项目</w:t>
      </w:r>
      <w:r>
        <w:rPr>
          <w:rFonts w:hint="eastAsia"/>
          <w:kern w:val="0"/>
          <w:sz w:val="28"/>
          <w:szCs w:val="28"/>
          <w:lang w:val="en-US" w:eastAsia="zh-CN"/>
        </w:rPr>
        <w:t>再次</w:t>
      </w:r>
      <w:r>
        <w:rPr>
          <w:rFonts w:hint="eastAsia"/>
          <w:kern w:val="0"/>
          <w:sz w:val="28"/>
          <w:szCs w:val="28"/>
        </w:rPr>
        <w:t>进行公开招标，欢迎符合条件的供应商报名投标，现将有关情况说明如下：</w:t>
      </w:r>
    </w:p>
    <w:p>
      <w:pPr>
        <w:pStyle w:val="34"/>
        <w:spacing w:line="360" w:lineRule="auto"/>
        <w:ind w:firstLine="0" w:firstLineChars="0"/>
        <w:jc w:val="center"/>
        <w:rPr>
          <w:rFonts w:eastAsia="黑体"/>
          <w:sz w:val="28"/>
          <w:szCs w:val="28"/>
        </w:rPr>
      </w:pPr>
      <w:r>
        <w:rPr>
          <w:rFonts w:eastAsia="黑体"/>
          <w:sz w:val="28"/>
          <w:szCs w:val="28"/>
        </w:rPr>
        <w:t>一、招标项目名称及简要说明</w:t>
      </w:r>
    </w:p>
    <w:p>
      <w:pPr>
        <w:spacing w:line="360" w:lineRule="auto"/>
        <w:ind w:firstLine="570"/>
        <w:jc w:val="left"/>
        <w:rPr>
          <w:rFonts w:ascii="宋体" w:hAnsi="宋体"/>
          <w:sz w:val="28"/>
          <w:szCs w:val="28"/>
        </w:rPr>
      </w:pPr>
      <w:r>
        <w:rPr>
          <w:rFonts w:hint="eastAsia" w:ascii="宋体" w:hAnsi="宋体"/>
          <w:sz w:val="28"/>
          <w:szCs w:val="28"/>
        </w:rPr>
        <w:t>1.招标项目名称：南京信息工程大学滨江学院</w:t>
      </w:r>
      <w:r>
        <w:rPr>
          <w:rFonts w:hint="eastAsia"/>
          <w:kern w:val="0"/>
          <w:sz w:val="28"/>
          <w:szCs w:val="28"/>
        </w:rPr>
        <w:t>（无锡校区）</w:t>
      </w:r>
      <w:r>
        <w:rPr>
          <w:rFonts w:hint="eastAsia" w:ascii="宋体" w:hAnsi="宋体"/>
          <w:sz w:val="28"/>
          <w:szCs w:val="28"/>
        </w:rPr>
        <w:t>3D图形机房与电竞实训室项目。</w:t>
      </w:r>
    </w:p>
    <w:p>
      <w:pPr>
        <w:adjustRightInd w:val="0"/>
        <w:snapToGrid w:val="0"/>
        <w:spacing w:line="360" w:lineRule="auto"/>
        <w:ind w:firstLine="560" w:firstLineChars="200"/>
        <w:rPr>
          <w:rFonts w:ascii="宋体" w:cs="仿宋"/>
          <w:sz w:val="28"/>
          <w:szCs w:val="28"/>
        </w:rPr>
      </w:pPr>
      <w:r>
        <w:rPr>
          <w:rFonts w:hint="eastAsia" w:ascii="宋体" w:hAnsi="宋体"/>
          <w:sz w:val="28"/>
          <w:szCs w:val="28"/>
        </w:rPr>
        <w:t>2.项目说明：本次招标</w:t>
      </w:r>
      <w:r>
        <w:rPr>
          <w:rFonts w:hint="eastAsia" w:ascii="宋体" w:hAnsi="宋体" w:cs="仿宋"/>
          <w:sz w:val="28"/>
          <w:szCs w:val="28"/>
        </w:rPr>
        <w:t>项目必须由中标单位自行完成，严禁转包和擅自分包。否则我校有权单方面终止本合同的执行，并且中标人支付按合同价款</w:t>
      </w:r>
      <w:r>
        <w:rPr>
          <w:rFonts w:ascii="宋体" w:hAnsi="宋体" w:cs="仿宋"/>
          <w:sz w:val="28"/>
          <w:szCs w:val="28"/>
        </w:rPr>
        <w:t>20%</w:t>
      </w:r>
      <w:r>
        <w:rPr>
          <w:rFonts w:hint="eastAsia" w:ascii="宋体" w:hAnsi="宋体" w:cs="仿宋"/>
          <w:sz w:val="28"/>
          <w:szCs w:val="28"/>
        </w:rPr>
        <w:t>的违约金，由此所造成的一切后果和经济损失均由中标人自行负责和承担。</w:t>
      </w:r>
    </w:p>
    <w:p>
      <w:pPr>
        <w:spacing w:line="360" w:lineRule="auto"/>
        <w:ind w:firstLine="570"/>
        <w:jc w:val="left"/>
        <w:rPr>
          <w:rFonts w:ascii="宋体" w:hAnsi="宋体"/>
          <w:sz w:val="28"/>
          <w:szCs w:val="28"/>
        </w:rPr>
      </w:pPr>
      <w:r>
        <w:rPr>
          <w:rFonts w:hint="eastAsia" w:ascii="宋体" w:hAnsi="宋体"/>
          <w:sz w:val="28"/>
          <w:szCs w:val="28"/>
        </w:rPr>
        <w:t>项目地址：无锡市锡山区锡山大道333号滨江学院校内；</w:t>
      </w:r>
    </w:p>
    <w:p>
      <w:pPr>
        <w:spacing w:line="360" w:lineRule="auto"/>
        <w:ind w:firstLine="570"/>
        <w:jc w:val="left"/>
        <w:rPr>
          <w:rFonts w:ascii="宋体"/>
          <w:sz w:val="28"/>
          <w:szCs w:val="28"/>
        </w:rPr>
      </w:pPr>
      <w:r>
        <w:rPr>
          <w:rFonts w:ascii="宋体" w:hAnsi="宋体"/>
          <w:sz w:val="28"/>
          <w:szCs w:val="28"/>
        </w:rPr>
        <w:t>3.</w:t>
      </w:r>
      <w:bookmarkStart w:id="2" w:name="_Hlk9865971"/>
      <w:r>
        <w:rPr>
          <w:rFonts w:hint="eastAsia" w:ascii="宋体" w:hAnsi="宋体"/>
          <w:sz w:val="28"/>
          <w:szCs w:val="28"/>
        </w:rPr>
        <w:t>本次招标采取公开招标方式，不承诺最低价（最高价）中标。招标公告和中标公示信息均在</w:t>
      </w:r>
      <w:r>
        <w:fldChar w:fldCharType="begin"/>
      </w:r>
      <w:r>
        <w:instrText xml:space="preserve"> HYPERLINK "https://bulletin.nuist.edu.cn/779/list.htm" </w:instrText>
      </w:r>
      <w:r>
        <w:fldChar w:fldCharType="separate"/>
      </w:r>
      <w:r>
        <w:rPr>
          <w:rStyle w:val="21"/>
          <w:b/>
          <w:color w:val="auto"/>
          <w:sz w:val="24"/>
          <w:u w:val="none"/>
        </w:rPr>
        <w:t>https://bulletin.nuist.edu.cn/779/lis</w:t>
      </w:r>
      <w:r>
        <w:rPr>
          <w:rStyle w:val="21"/>
          <w:color w:val="auto"/>
          <w:sz w:val="24"/>
          <w:u w:val="none"/>
        </w:rPr>
        <w:t>t.htm</w:t>
      </w:r>
      <w:r>
        <w:rPr>
          <w:rStyle w:val="21"/>
          <w:color w:val="auto"/>
          <w:sz w:val="24"/>
          <w:u w:val="none"/>
        </w:rPr>
        <w:fldChar w:fldCharType="end"/>
      </w:r>
      <w:r>
        <w:rPr>
          <w:rFonts w:hint="eastAsia" w:ascii="宋体" w:hAnsi="宋体"/>
          <w:sz w:val="28"/>
          <w:szCs w:val="28"/>
        </w:rPr>
        <w:t>和</w:t>
      </w:r>
      <w:r>
        <w:fldChar w:fldCharType="begin"/>
      </w:r>
      <w:r>
        <w:instrText xml:space="preserve"> HYPERLINK "http://zbc.nuist.edu.cn" </w:instrText>
      </w:r>
      <w:r>
        <w:fldChar w:fldCharType="separate"/>
      </w:r>
      <w:r>
        <w:rPr>
          <w:rFonts w:ascii="宋体" w:hAnsi="宋体"/>
          <w:sz w:val="24"/>
          <w:szCs w:val="28"/>
        </w:rPr>
        <w:t>zbc.nuist.edu.cn</w:t>
      </w:r>
      <w:r>
        <w:rPr>
          <w:rFonts w:ascii="宋体" w:hAnsi="宋体"/>
          <w:sz w:val="24"/>
          <w:szCs w:val="28"/>
        </w:rPr>
        <w:fldChar w:fldCharType="end"/>
      </w:r>
      <w:r>
        <w:rPr>
          <w:rFonts w:hint="eastAsia" w:ascii="宋体" w:hAnsi="宋体"/>
          <w:sz w:val="28"/>
          <w:szCs w:val="28"/>
        </w:rPr>
        <w:t>网页上公开发布</w:t>
      </w:r>
      <w:r>
        <w:rPr>
          <w:rFonts w:ascii="宋体"/>
          <w:sz w:val="28"/>
          <w:szCs w:val="28"/>
        </w:rPr>
        <w:t>,</w:t>
      </w:r>
      <w:r>
        <w:rPr>
          <w:rFonts w:hint="eastAsia" w:ascii="宋体" w:hAnsi="宋体"/>
          <w:sz w:val="28"/>
          <w:szCs w:val="28"/>
        </w:rPr>
        <w:t>接受监督。欢迎社会招标机构和网站转载，转载信息与我校网站信息不一致时，以我校网站为准。</w:t>
      </w:r>
    </w:p>
    <w:bookmarkEnd w:id="2"/>
    <w:p>
      <w:pPr>
        <w:adjustRightInd w:val="0"/>
        <w:snapToGrid w:val="0"/>
        <w:spacing w:line="360" w:lineRule="auto"/>
        <w:ind w:firstLine="570"/>
        <w:jc w:val="left"/>
        <w:rPr>
          <w:rFonts w:ascii="宋体" w:cs="宋体"/>
          <w:sz w:val="28"/>
          <w:szCs w:val="28"/>
        </w:rPr>
      </w:pPr>
      <w:r>
        <w:rPr>
          <w:rFonts w:ascii="宋体" w:hAnsi="宋体"/>
          <w:sz w:val="28"/>
          <w:szCs w:val="28"/>
        </w:rPr>
        <w:t>4.</w:t>
      </w:r>
      <w:bookmarkStart w:id="3" w:name="_Hlk9866054"/>
      <w:r>
        <w:rPr>
          <w:rFonts w:hint="eastAsia" w:ascii="宋体" w:hAnsi="宋体"/>
          <w:sz w:val="28"/>
          <w:szCs w:val="28"/>
        </w:rPr>
        <w:t>招标文件由我校项目使用单位、项目归口管理部门和招标办联合起草,经学校相关职能部门会审通过形成正式招标文件。同时打印</w:t>
      </w:r>
      <w:r>
        <w:rPr>
          <w:rFonts w:ascii="宋体" w:hAnsi="宋体"/>
          <w:sz w:val="28"/>
          <w:szCs w:val="28"/>
        </w:rPr>
        <w:t>3份纸质的正式招标文件，由学校招标办工作人员和财务处负责人同时签字</w:t>
      </w:r>
      <w:r>
        <w:rPr>
          <w:rFonts w:hint="eastAsia" w:ascii="宋体" w:hAnsi="宋体"/>
          <w:sz w:val="28"/>
          <w:szCs w:val="28"/>
        </w:rPr>
        <w:t>并加盖学校招标办骑缝章后，分别交学校招标办和滨江学院（无锡校区）财务处、项目使用单位各</w:t>
      </w:r>
      <w:r>
        <w:rPr>
          <w:rFonts w:ascii="宋体" w:hAnsi="宋体"/>
          <w:sz w:val="28"/>
          <w:szCs w:val="28"/>
        </w:rPr>
        <w:t>1份，</w:t>
      </w:r>
      <w:r>
        <w:rPr>
          <w:rFonts w:hint="eastAsia" w:ascii="宋体" w:hAnsi="宋体"/>
          <w:sz w:val="28"/>
          <w:szCs w:val="28"/>
        </w:rPr>
        <w:t>作为相关部门存档、合同签订、项目考核验收，以及处理纠纷的依据。</w:t>
      </w:r>
    </w:p>
    <w:bookmarkEnd w:id="3"/>
    <w:p>
      <w:pPr>
        <w:spacing w:line="360" w:lineRule="auto"/>
        <w:ind w:firstLine="570"/>
        <w:jc w:val="left"/>
        <w:rPr>
          <w:rFonts w:ascii="宋体" w:hAnsi="宋体"/>
          <w:sz w:val="28"/>
          <w:szCs w:val="28"/>
        </w:rPr>
      </w:pPr>
      <w:r>
        <w:rPr>
          <w:rFonts w:ascii="宋体" w:hAnsi="宋体"/>
          <w:sz w:val="28"/>
          <w:szCs w:val="28"/>
        </w:rPr>
        <w:t>5.</w:t>
      </w:r>
      <w:r>
        <w:rPr>
          <w:rFonts w:hint="eastAsia" w:ascii="宋体" w:hAnsi="宋体"/>
          <w:sz w:val="28"/>
          <w:szCs w:val="28"/>
        </w:rPr>
        <w:t>正式的答疑回复文件也按上述方式处理留存。</w:t>
      </w:r>
    </w:p>
    <w:p>
      <w:pPr>
        <w:pStyle w:val="42"/>
        <w:adjustRightInd w:val="0"/>
        <w:snapToGrid w:val="0"/>
        <w:spacing w:before="0" w:beforeAutospacing="0" w:after="0" w:afterAutospacing="0" w:line="360" w:lineRule="auto"/>
        <w:ind w:firstLine="560" w:firstLineChars="200"/>
        <w:rPr>
          <w:rFonts w:cs="Times New Roman"/>
          <w:color w:val="auto"/>
          <w:kern w:val="2"/>
          <w:sz w:val="28"/>
          <w:szCs w:val="28"/>
        </w:rPr>
      </w:pPr>
      <w:r>
        <w:rPr>
          <w:rFonts w:cs="Times New Roman"/>
          <w:color w:val="auto"/>
          <w:kern w:val="2"/>
          <w:sz w:val="28"/>
          <w:szCs w:val="28"/>
        </w:rPr>
        <w:t>6.</w:t>
      </w:r>
      <w:r>
        <w:rPr>
          <w:rFonts w:hint="eastAsia" w:cs="Times New Roman"/>
          <w:color w:val="auto"/>
          <w:kern w:val="2"/>
          <w:sz w:val="28"/>
          <w:szCs w:val="28"/>
        </w:rPr>
        <w:t>投标有效期：自开标之日起90天内投标有效。</w:t>
      </w:r>
    </w:p>
    <w:p>
      <w:pPr>
        <w:pStyle w:val="42"/>
        <w:adjustRightInd w:val="0"/>
        <w:snapToGrid w:val="0"/>
        <w:spacing w:before="0" w:beforeAutospacing="0" w:after="0" w:afterAutospacing="0" w:line="360" w:lineRule="auto"/>
        <w:ind w:firstLine="560" w:firstLineChars="200"/>
        <w:rPr>
          <w:rFonts w:cs="Times New Roman"/>
          <w:color w:val="auto"/>
          <w:sz w:val="28"/>
          <w:szCs w:val="28"/>
        </w:rPr>
      </w:pPr>
      <w:r>
        <w:rPr>
          <w:rFonts w:hint="eastAsia" w:cs="Times New Roman"/>
          <w:color w:val="auto"/>
          <w:kern w:val="2"/>
          <w:sz w:val="28"/>
          <w:szCs w:val="28"/>
        </w:rPr>
        <w:t>7.</w:t>
      </w:r>
      <w:r>
        <w:rPr>
          <w:rFonts w:hint="eastAsia" w:cs="Times New Roman"/>
          <w:color w:val="auto"/>
          <w:sz w:val="28"/>
          <w:szCs w:val="28"/>
        </w:rPr>
        <w:t>招标过程接受学校纪检监察部门监督检查。</w:t>
      </w:r>
    </w:p>
    <w:p>
      <w:pPr>
        <w:adjustRightInd w:val="0"/>
        <w:snapToGrid w:val="0"/>
        <w:spacing w:beforeLines="100" w:afterLines="100" w:line="360" w:lineRule="auto"/>
        <w:jc w:val="center"/>
        <w:rPr>
          <w:rFonts w:ascii="宋体" w:cs="仿宋"/>
          <w:b/>
          <w:bCs/>
          <w:sz w:val="28"/>
          <w:szCs w:val="28"/>
        </w:rPr>
      </w:pPr>
      <w:r>
        <w:rPr>
          <w:rFonts w:hint="eastAsia" w:ascii="宋体" w:hAnsi="宋体" w:cs="仿宋"/>
          <w:b/>
          <w:bCs/>
          <w:sz w:val="28"/>
          <w:szCs w:val="28"/>
        </w:rPr>
        <w:t>二、</w:t>
      </w:r>
      <w:r>
        <w:rPr>
          <w:rFonts w:ascii="宋体" w:hAnsi="宋体" w:cs="仿宋"/>
          <w:b/>
          <w:bCs/>
          <w:sz w:val="28"/>
          <w:szCs w:val="28"/>
        </w:rPr>
        <w:t xml:space="preserve"> </w:t>
      </w:r>
      <w:r>
        <w:rPr>
          <w:rFonts w:hint="eastAsia" w:ascii="宋体" w:hAnsi="宋体" w:cs="仿宋"/>
          <w:b/>
          <w:bCs/>
          <w:sz w:val="28"/>
          <w:szCs w:val="28"/>
        </w:rPr>
        <w:t>对投标人及投标报价的要求</w:t>
      </w:r>
    </w:p>
    <w:p>
      <w:pPr>
        <w:snapToGrid w:val="0"/>
        <w:spacing w:line="360" w:lineRule="auto"/>
        <w:ind w:firstLine="540" w:firstLineChars="192"/>
        <w:rPr>
          <w:rFonts w:ascii="宋体" w:hAnsi="宋体"/>
          <w:b/>
          <w:kern w:val="0"/>
          <w:sz w:val="28"/>
          <w:szCs w:val="28"/>
        </w:rPr>
      </w:pPr>
      <w:r>
        <w:rPr>
          <w:rFonts w:hint="eastAsia" w:ascii="宋体" w:hAnsi="宋体"/>
          <w:b/>
          <w:kern w:val="0"/>
          <w:sz w:val="28"/>
          <w:szCs w:val="28"/>
        </w:rPr>
        <w:t>一、投标人必须符合以下能力、信誉和资质要求：</w:t>
      </w:r>
    </w:p>
    <w:p>
      <w:pPr>
        <w:widowControl/>
        <w:snapToGrid w:val="0"/>
        <w:spacing w:line="360" w:lineRule="auto"/>
        <w:ind w:firstLine="560" w:firstLineChars="200"/>
        <w:jc w:val="left"/>
        <w:rPr>
          <w:rFonts w:ascii="宋体" w:hAnsi="宋体" w:cs="宋体"/>
          <w:b/>
          <w:bCs/>
          <w:i/>
          <w:kern w:val="0"/>
          <w:sz w:val="28"/>
          <w:szCs w:val="28"/>
          <w:u w:val="single"/>
        </w:rPr>
      </w:pPr>
      <w:r>
        <w:rPr>
          <w:rFonts w:hint="eastAsia" w:ascii="宋体" w:hAnsi="宋体" w:cs="Arial"/>
          <w:i/>
          <w:sz w:val="28"/>
          <w:szCs w:val="28"/>
          <w:u w:val="single"/>
        </w:rPr>
        <w:t>（一）参加政府采购的供应商应当具备政府采购法</w:t>
      </w:r>
      <w:r>
        <w:rPr>
          <w:rFonts w:ascii="宋体" w:hAnsi="宋体" w:cs="Arial"/>
          <w:i/>
          <w:sz w:val="28"/>
          <w:szCs w:val="28"/>
          <w:u w:val="single"/>
        </w:rPr>
        <w:t>第二十二条</w:t>
      </w:r>
      <w:r>
        <w:rPr>
          <w:rFonts w:hint="eastAsia" w:ascii="宋体" w:hAnsi="宋体" w:cs="Arial"/>
          <w:i/>
          <w:sz w:val="28"/>
          <w:szCs w:val="28"/>
          <w:u w:val="single"/>
        </w:rPr>
        <w:t>第一款</w:t>
      </w:r>
      <w:r>
        <w:rPr>
          <w:rFonts w:ascii="宋体" w:hAnsi="宋体" w:cs="Arial"/>
          <w:i/>
          <w:sz w:val="28"/>
          <w:szCs w:val="28"/>
          <w:u w:val="single"/>
        </w:rPr>
        <w:t>规定</w:t>
      </w:r>
      <w:r>
        <w:rPr>
          <w:rFonts w:hint="eastAsia" w:ascii="宋体" w:hAnsi="宋体" w:cs="Arial"/>
          <w:i/>
          <w:sz w:val="28"/>
          <w:szCs w:val="28"/>
          <w:u w:val="single"/>
        </w:rPr>
        <w:t>的条件，并依照政府采购法实施条例第十七条规定提供下列材料：</w:t>
      </w:r>
    </w:p>
    <w:p>
      <w:pPr>
        <w:adjustRightInd w:val="0"/>
        <w:snapToGrid w:val="0"/>
        <w:spacing w:line="360" w:lineRule="auto"/>
        <w:ind w:firstLine="560" w:firstLineChars="200"/>
        <w:rPr>
          <w:rFonts w:ascii="宋体" w:hAnsi="宋体"/>
          <w:i/>
          <w:sz w:val="28"/>
          <w:szCs w:val="28"/>
          <w:u w:val="single"/>
        </w:rPr>
      </w:pPr>
      <w:r>
        <w:rPr>
          <w:rFonts w:hint="eastAsia" w:ascii="宋体" w:hAnsi="宋体" w:cs="Arial"/>
          <w:i/>
          <w:sz w:val="28"/>
          <w:szCs w:val="28"/>
          <w:u w:val="single"/>
        </w:rPr>
        <w:t>1.具有独立承担民事责任的能力</w:t>
      </w:r>
      <w:r>
        <w:rPr>
          <w:rFonts w:hint="eastAsia" w:ascii="宋体" w:hAnsi="宋体"/>
          <w:i/>
          <w:sz w:val="28"/>
          <w:szCs w:val="28"/>
          <w:u w:val="single"/>
        </w:rPr>
        <w:t>：须为独立法人企业，需提供企业法人营业执照；</w:t>
      </w:r>
    </w:p>
    <w:p>
      <w:pPr>
        <w:adjustRightInd w:val="0"/>
        <w:snapToGrid w:val="0"/>
        <w:spacing w:line="360" w:lineRule="auto"/>
        <w:ind w:firstLine="560" w:firstLineChars="200"/>
        <w:rPr>
          <w:rFonts w:ascii="宋体" w:hAnsi="宋体"/>
          <w:i/>
          <w:sz w:val="28"/>
          <w:szCs w:val="28"/>
          <w:u w:val="single"/>
        </w:rPr>
      </w:pPr>
      <w:r>
        <w:rPr>
          <w:rFonts w:hint="eastAsia" w:ascii="宋体" w:hAnsi="宋体" w:cs="宋体"/>
          <w:i/>
          <w:kern w:val="0"/>
          <w:sz w:val="28"/>
          <w:szCs w:val="28"/>
          <w:u w:val="single"/>
        </w:rPr>
        <w:t>2.具有良好的商业信誉和健全的财务会计制度</w:t>
      </w:r>
      <w:r>
        <w:rPr>
          <w:rFonts w:hint="eastAsia" w:ascii="宋体" w:hAnsi="宋体"/>
          <w:i/>
          <w:sz w:val="28"/>
          <w:szCs w:val="28"/>
          <w:u w:val="single"/>
        </w:rPr>
        <w:t>：需提供参加本次投标活动前近六个月内（</w:t>
      </w:r>
      <w:r>
        <w:rPr>
          <w:rFonts w:ascii="宋体" w:hAnsi="宋体"/>
          <w:i/>
          <w:sz w:val="28"/>
          <w:szCs w:val="28"/>
          <w:u w:val="single"/>
        </w:rPr>
        <w:t>2020</w:t>
      </w:r>
      <w:r>
        <w:rPr>
          <w:rFonts w:hint="eastAsia" w:ascii="宋体" w:hAnsi="宋体"/>
          <w:i/>
          <w:sz w:val="28"/>
          <w:szCs w:val="28"/>
          <w:u w:val="single"/>
        </w:rPr>
        <w:t>年</w:t>
      </w:r>
      <w:r>
        <w:rPr>
          <w:rFonts w:hint="eastAsia" w:ascii="宋体" w:hAnsi="宋体"/>
          <w:i/>
          <w:sz w:val="28"/>
          <w:szCs w:val="28"/>
          <w:u w:val="single"/>
          <w:lang w:val="en-US" w:eastAsia="zh-CN"/>
        </w:rPr>
        <w:t>03</w:t>
      </w:r>
      <w:r>
        <w:rPr>
          <w:rFonts w:hint="eastAsia" w:ascii="宋体" w:hAnsi="宋体"/>
          <w:i/>
          <w:sz w:val="28"/>
          <w:szCs w:val="28"/>
          <w:u w:val="single"/>
        </w:rPr>
        <w:t>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pPr>
        <w:snapToGrid w:val="0"/>
        <w:spacing w:line="360" w:lineRule="auto"/>
        <w:ind w:firstLine="560" w:firstLineChars="200"/>
        <w:rPr>
          <w:rFonts w:ascii="宋体" w:hAnsi="宋体" w:cs="宋体"/>
          <w:i/>
          <w:kern w:val="0"/>
          <w:sz w:val="28"/>
          <w:szCs w:val="28"/>
          <w:u w:val="single"/>
        </w:rPr>
      </w:pPr>
      <w:r>
        <w:rPr>
          <w:rFonts w:hint="eastAsia" w:ascii="宋体" w:hAnsi="宋体" w:cs="宋体"/>
          <w:i/>
          <w:kern w:val="0"/>
          <w:sz w:val="28"/>
          <w:szCs w:val="28"/>
          <w:u w:val="single"/>
        </w:rPr>
        <w:t>3.具有履行合同所必需的设备和专业技术能力：供应商根据履行采购项目合同需要，提供履行合同所必需的设备和专业技术能力的证明材料；</w:t>
      </w:r>
    </w:p>
    <w:p>
      <w:pPr>
        <w:adjustRightInd w:val="0"/>
        <w:snapToGrid w:val="0"/>
        <w:spacing w:line="360" w:lineRule="auto"/>
        <w:ind w:firstLine="560" w:firstLineChars="200"/>
        <w:rPr>
          <w:rFonts w:ascii="宋体" w:hAnsi="宋体"/>
          <w:i/>
          <w:sz w:val="28"/>
          <w:szCs w:val="28"/>
          <w:u w:val="single"/>
        </w:rPr>
      </w:pPr>
      <w:r>
        <w:rPr>
          <w:rFonts w:hint="eastAsia" w:ascii="宋体" w:hAnsi="宋体" w:cs="宋体"/>
          <w:i/>
          <w:kern w:val="0"/>
          <w:sz w:val="28"/>
          <w:szCs w:val="28"/>
          <w:u w:val="single"/>
        </w:rPr>
        <w:t>4.有依法缴纳税收和社会保障资金的良好记录</w:t>
      </w:r>
      <w:r>
        <w:rPr>
          <w:rFonts w:hint="eastAsia" w:ascii="宋体" w:hAnsi="宋体"/>
          <w:i/>
          <w:sz w:val="28"/>
          <w:szCs w:val="28"/>
          <w:u w:val="single"/>
        </w:rPr>
        <w:t>：提供参加本次投标活动前近六个月内（</w:t>
      </w:r>
      <w:r>
        <w:rPr>
          <w:rFonts w:ascii="宋体" w:hAnsi="宋体"/>
          <w:i/>
          <w:sz w:val="28"/>
          <w:szCs w:val="28"/>
          <w:u w:val="single"/>
        </w:rPr>
        <w:t>2020</w:t>
      </w:r>
      <w:r>
        <w:rPr>
          <w:rFonts w:hint="eastAsia" w:ascii="宋体" w:hAnsi="宋体"/>
          <w:i/>
          <w:sz w:val="28"/>
          <w:szCs w:val="28"/>
          <w:u w:val="single"/>
        </w:rPr>
        <w:t>年</w:t>
      </w:r>
      <w:r>
        <w:rPr>
          <w:rFonts w:hint="eastAsia" w:ascii="宋体" w:hAnsi="宋体"/>
          <w:i/>
          <w:sz w:val="28"/>
          <w:szCs w:val="28"/>
          <w:u w:val="single"/>
          <w:lang w:val="en-US" w:eastAsia="zh-CN"/>
        </w:rPr>
        <w:t>03</w:t>
      </w:r>
      <w:r>
        <w:rPr>
          <w:rFonts w:ascii="宋体" w:hAnsi="宋体"/>
          <w:i/>
          <w:sz w:val="28"/>
          <w:szCs w:val="28"/>
          <w:u w:val="single"/>
        </w:rPr>
        <w:t>月至今</w:t>
      </w:r>
      <w:r>
        <w:rPr>
          <w:rFonts w:hint="eastAsia" w:ascii="宋体" w:hAnsi="宋体"/>
          <w:i/>
          <w:sz w:val="28"/>
          <w:szCs w:val="28"/>
          <w:u w:val="single"/>
        </w:rPr>
        <w:t>）任一月份依法缴纳税收的凭据，以及缴纳社会保险的凭据（专用收据或社会保险的凭据）；依法免税或不需要缴纳社会保障资金的投标人，应提供相应文件证明；</w:t>
      </w:r>
    </w:p>
    <w:p>
      <w:pPr>
        <w:adjustRightInd w:val="0"/>
        <w:snapToGrid w:val="0"/>
        <w:spacing w:line="360" w:lineRule="auto"/>
        <w:ind w:firstLine="560" w:firstLineChars="200"/>
        <w:rPr>
          <w:rFonts w:ascii="宋体" w:hAnsi="宋体"/>
          <w:i/>
          <w:sz w:val="28"/>
          <w:szCs w:val="28"/>
          <w:u w:val="single"/>
        </w:rPr>
      </w:pPr>
      <w:r>
        <w:rPr>
          <w:rFonts w:hint="eastAsia" w:ascii="宋体" w:hAnsi="宋体" w:cs="宋体"/>
          <w:i/>
          <w:kern w:val="0"/>
          <w:sz w:val="28"/>
          <w:szCs w:val="28"/>
          <w:u w:val="single"/>
        </w:rPr>
        <w:t>5.参加政府采购活动前三年内，在经营活动中没有重大违法记录</w:t>
      </w:r>
      <w:r>
        <w:rPr>
          <w:rFonts w:hint="eastAsia" w:ascii="宋体" w:hAnsi="宋体"/>
          <w:i/>
          <w:sz w:val="28"/>
          <w:szCs w:val="28"/>
          <w:u w:val="single"/>
        </w:rPr>
        <w:t>：需提供参加本次投标活动前3年内在经营活动中没有重大违法记录的书面声明；</w:t>
      </w:r>
    </w:p>
    <w:p>
      <w:pPr>
        <w:snapToGrid w:val="0"/>
        <w:spacing w:line="360" w:lineRule="auto"/>
        <w:ind w:firstLine="560" w:firstLineChars="200"/>
        <w:rPr>
          <w:rFonts w:ascii="宋体" w:hAnsi="宋体" w:cs="宋体"/>
          <w:i/>
          <w:kern w:val="0"/>
          <w:sz w:val="28"/>
          <w:szCs w:val="28"/>
          <w:u w:val="single"/>
        </w:rPr>
      </w:pPr>
      <w:r>
        <w:rPr>
          <w:rFonts w:hint="eastAsia" w:ascii="宋体" w:hAnsi="宋体" w:cs="宋体"/>
          <w:i/>
          <w:kern w:val="0"/>
          <w:sz w:val="28"/>
          <w:szCs w:val="28"/>
          <w:u w:val="single"/>
        </w:rPr>
        <w:t>6.法律、行政法规规定的其他条件：无。</w:t>
      </w:r>
    </w:p>
    <w:p>
      <w:pPr>
        <w:snapToGrid w:val="0"/>
        <w:spacing w:line="360" w:lineRule="auto"/>
        <w:ind w:firstLine="560" w:firstLineChars="200"/>
        <w:rPr>
          <w:rFonts w:ascii="宋体" w:hAnsi="宋体" w:cs="宋体"/>
          <w:i/>
          <w:kern w:val="0"/>
          <w:sz w:val="28"/>
          <w:szCs w:val="28"/>
          <w:u w:val="single"/>
        </w:rPr>
      </w:pPr>
      <w:r>
        <w:rPr>
          <w:rFonts w:hint="eastAsia" w:ascii="宋体" w:hAnsi="宋体" w:cs="宋体"/>
          <w:i/>
          <w:kern w:val="0"/>
          <w:sz w:val="28"/>
          <w:szCs w:val="28"/>
          <w:u w:val="single"/>
        </w:rPr>
        <w:t>（二）投标人不得存在下列情形之一</w:t>
      </w:r>
      <w:r>
        <w:rPr>
          <w:rFonts w:hint="eastAsia" w:ascii="宋体" w:hAnsi="宋体"/>
          <w:i/>
          <w:sz w:val="28"/>
          <w:szCs w:val="28"/>
          <w:u w:val="single"/>
        </w:rPr>
        <w:t>（提供加盖投标人公章的承诺书）</w:t>
      </w:r>
      <w:r>
        <w:rPr>
          <w:rFonts w:hint="eastAsia" w:ascii="宋体" w:hAnsi="宋体" w:cs="宋体"/>
          <w:i/>
          <w:kern w:val="0"/>
          <w:sz w:val="28"/>
          <w:szCs w:val="28"/>
          <w:u w:val="single"/>
        </w:rPr>
        <w:t>：</w:t>
      </w:r>
    </w:p>
    <w:p>
      <w:pPr>
        <w:snapToGrid w:val="0"/>
        <w:spacing w:line="360" w:lineRule="auto"/>
        <w:ind w:firstLine="560" w:firstLineChars="200"/>
        <w:rPr>
          <w:rFonts w:ascii="宋体" w:hAnsi="宋体" w:cs="宋体"/>
          <w:i/>
          <w:kern w:val="0"/>
          <w:sz w:val="28"/>
          <w:szCs w:val="28"/>
          <w:u w:val="single"/>
        </w:rPr>
      </w:pPr>
      <w:r>
        <w:rPr>
          <w:rFonts w:hint="eastAsia" w:ascii="宋体" w:hAnsi="宋体" w:cs="宋体"/>
          <w:i/>
          <w:kern w:val="0"/>
          <w:sz w:val="28"/>
          <w:szCs w:val="28"/>
          <w:u w:val="single"/>
        </w:rPr>
        <w:t>（1）为招标人不具有独立法人资格的附属机构（单位）；</w:t>
      </w:r>
    </w:p>
    <w:p>
      <w:pPr>
        <w:snapToGrid w:val="0"/>
        <w:spacing w:line="360" w:lineRule="auto"/>
        <w:ind w:firstLine="560" w:firstLineChars="200"/>
        <w:rPr>
          <w:rFonts w:ascii="宋体" w:hAnsi="宋体" w:cs="宋体"/>
          <w:i/>
          <w:kern w:val="0"/>
          <w:sz w:val="28"/>
          <w:szCs w:val="28"/>
          <w:u w:val="single"/>
        </w:rPr>
      </w:pPr>
      <w:r>
        <w:rPr>
          <w:rFonts w:hint="eastAsia" w:ascii="宋体" w:hAnsi="宋体" w:cs="宋体"/>
          <w:i/>
          <w:kern w:val="0"/>
          <w:sz w:val="28"/>
          <w:szCs w:val="28"/>
          <w:u w:val="single"/>
        </w:rPr>
        <w:t>（2）与招标人存在利害关系可能影响招标公正性的；</w:t>
      </w:r>
    </w:p>
    <w:p>
      <w:pPr>
        <w:snapToGrid w:val="0"/>
        <w:spacing w:line="360" w:lineRule="auto"/>
        <w:ind w:firstLine="560" w:firstLineChars="200"/>
        <w:rPr>
          <w:rFonts w:ascii="宋体" w:hAnsi="宋体" w:cs="宋体"/>
          <w:i/>
          <w:kern w:val="0"/>
          <w:sz w:val="28"/>
          <w:szCs w:val="28"/>
          <w:u w:val="single"/>
        </w:rPr>
      </w:pPr>
      <w:r>
        <w:rPr>
          <w:rFonts w:hint="eastAsia" w:ascii="宋体" w:hAnsi="宋体" w:cs="宋体"/>
          <w:i/>
          <w:kern w:val="0"/>
          <w:sz w:val="28"/>
          <w:szCs w:val="28"/>
          <w:u w:val="single"/>
        </w:rPr>
        <w:t>（3）单位负责人为同一人或者存在控股、管理关系的不同单位；</w:t>
      </w:r>
    </w:p>
    <w:p>
      <w:pPr>
        <w:snapToGrid w:val="0"/>
        <w:spacing w:line="360" w:lineRule="auto"/>
        <w:ind w:firstLine="560" w:firstLineChars="200"/>
        <w:rPr>
          <w:rFonts w:ascii="宋体" w:hAnsi="宋体" w:cs="宋体"/>
          <w:i/>
          <w:kern w:val="0"/>
          <w:sz w:val="28"/>
          <w:szCs w:val="28"/>
          <w:u w:val="single"/>
        </w:rPr>
      </w:pPr>
      <w:r>
        <w:rPr>
          <w:rFonts w:hint="eastAsia" w:ascii="宋体" w:hAnsi="宋体" w:cs="宋体"/>
          <w:i/>
          <w:kern w:val="0"/>
          <w:sz w:val="28"/>
          <w:szCs w:val="28"/>
          <w:u w:val="single"/>
        </w:rPr>
        <w:t>（4）处于被责令停业、财产被接管、冻结和破产状态，以及投标资格被取消或者被暂停且在暂停期内；</w:t>
      </w:r>
    </w:p>
    <w:p>
      <w:pPr>
        <w:snapToGrid w:val="0"/>
        <w:spacing w:line="360" w:lineRule="auto"/>
        <w:ind w:firstLine="560" w:firstLineChars="200"/>
        <w:rPr>
          <w:rFonts w:ascii="宋体" w:hAnsi="宋体" w:cs="宋体"/>
          <w:i/>
          <w:kern w:val="0"/>
          <w:sz w:val="28"/>
          <w:szCs w:val="28"/>
          <w:u w:val="single"/>
        </w:rPr>
      </w:pPr>
      <w:r>
        <w:rPr>
          <w:rFonts w:hint="eastAsia" w:ascii="宋体" w:hAnsi="宋体" w:cs="宋体"/>
          <w:i/>
          <w:kern w:val="0"/>
          <w:sz w:val="28"/>
          <w:szCs w:val="28"/>
          <w:u w:val="single"/>
        </w:rPr>
        <w:t>（5）投标人近3年内有行贿犯罪行为且被记录，或者法定代表人有行贿犯罪记录且自记录之日起未超过5年的。</w:t>
      </w:r>
    </w:p>
    <w:p>
      <w:pPr>
        <w:snapToGrid w:val="0"/>
        <w:spacing w:line="360" w:lineRule="auto"/>
        <w:ind w:firstLine="560" w:firstLineChars="200"/>
        <w:rPr>
          <w:rFonts w:ascii="宋体" w:hAnsi="宋体" w:cs="宋体"/>
          <w:i/>
          <w:kern w:val="0"/>
          <w:sz w:val="28"/>
          <w:szCs w:val="28"/>
          <w:u w:val="single"/>
        </w:rPr>
      </w:pPr>
      <w:r>
        <w:rPr>
          <w:rFonts w:hint="eastAsia" w:ascii="宋体" w:hAnsi="宋体" w:cs="宋体"/>
          <w:i/>
          <w:kern w:val="0"/>
          <w:sz w:val="28"/>
          <w:szCs w:val="28"/>
          <w:u w:val="single"/>
        </w:rPr>
        <w:t>（三）</w:t>
      </w:r>
      <w:r>
        <w:rPr>
          <w:rFonts w:hint="eastAsia" w:ascii="宋体" w:hAnsi="宋体" w:cs="宋体"/>
          <w:bCs/>
          <w:i/>
          <w:kern w:val="0"/>
          <w:sz w:val="28"/>
          <w:szCs w:val="28"/>
          <w:u w:val="single"/>
        </w:rPr>
        <w:t>拒绝下述供应商参加本次采购活动：</w:t>
      </w:r>
    </w:p>
    <w:p>
      <w:pPr>
        <w:spacing w:line="360" w:lineRule="auto"/>
        <w:ind w:firstLine="548" w:firstLineChars="196"/>
        <w:rPr>
          <w:rFonts w:ascii="宋体" w:hAnsi="宋体" w:cs="宋体"/>
          <w:i/>
          <w:iCs/>
          <w:sz w:val="28"/>
          <w:szCs w:val="28"/>
          <w:u w:val="single"/>
        </w:rPr>
      </w:pPr>
      <w:r>
        <w:rPr>
          <w:rFonts w:hint="eastAsia" w:ascii="宋体" w:hAnsi="宋体" w:cs="宋体"/>
          <w:i/>
          <w:sz w:val="28"/>
          <w:szCs w:val="28"/>
          <w:u w:val="single"/>
        </w:rPr>
        <w:t>供应商被“信用中国”网站（www.creditchina.gov.cn）、“中国政府采购网"(www.ccgp.gov.cn)列入失信被执行人、重大税收违法案件当事人名单、政府采购严重违法失信行为记录名单</w:t>
      </w:r>
      <w:r>
        <w:rPr>
          <w:rFonts w:hint="eastAsia" w:ascii="宋体" w:hAnsi="宋体" w:cs="宋体"/>
          <w:i/>
          <w:iCs/>
          <w:sz w:val="28"/>
          <w:szCs w:val="28"/>
          <w:u w:val="single"/>
        </w:rPr>
        <w:t>。</w:t>
      </w:r>
    </w:p>
    <w:p>
      <w:pPr>
        <w:spacing w:line="360" w:lineRule="auto"/>
        <w:ind w:firstLine="548" w:firstLineChars="196"/>
        <w:rPr>
          <w:rFonts w:ascii="宋体" w:cs="宋体"/>
          <w:sz w:val="28"/>
          <w:szCs w:val="28"/>
        </w:rPr>
      </w:pPr>
      <w:r>
        <w:rPr>
          <w:rFonts w:hint="eastAsia" w:ascii="宋体" w:hAnsi="宋体" w:cs="宋体"/>
          <w:sz w:val="28"/>
          <w:szCs w:val="28"/>
        </w:rPr>
        <w:t>二、本项目采用资格后审法，唱标后，进行资格审定。</w:t>
      </w:r>
    </w:p>
    <w:p>
      <w:pPr>
        <w:spacing w:line="360" w:lineRule="auto"/>
        <w:ind w:firstLine="548" w:firstLineChars="196"/>
        <w:rPr>
          <w:rFonts w:ascii="宋体" w:cs="宋体"/>
          <w:sz w:val="28"/>
          <w:szCs w:val="28"/>
        </w:rPr>
      </w:pPr>
      <w:r>
        <w:rPr>
          <w:rFonts w:hint="eastAsia" w:ascii="宋体" w:hAnsi="宋体" w:cs="宋体"/>
          <w:sz w:val="28"/>
          <w:szCs w:val="28"/>
        </w:rPr>
        <w:t>三、投标人应按附件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rPr>
      </w:pPr>
      <w:r>
        <w:rPr>
          <w:rFonts w:hint="eastAsia" w:ascii="宋体" w:hAnsi="宋体" w:cs="宋体"/>
          <w:sz w:val="28"/>
          <w:szCs w:val="28"/>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cs="宋体"/>
          <w:sz w:val="28"/>
          <w:szCs w:val="28"/>
          <w:highlight w:val="none"/>
        </w:rPr>
      </w:pPr>
      <w:r>
        <w:rPr>
          <w:rFonts w:hint="eastAsia" w:ascii="宋体" w:hAnsi="宋体" w:cs="宋体"/>
          <w:sz w:val="28"/>
          <w:szCs w:val="28"/>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w:t>
      </w:r>
      <w:r>
        <w:rPr>
          <w:rFonts w:hint="eastAsia" w:ascii="宋体" w:hAnsi="宋体" w:cs="宋体"/>
          <w:sz w:val="28"/>
          <w:szCs w:val="28"/>
          <w:highlight w:val="none"/>
        </w:rPr>
        <w:t>所有费用包含在内，一旦确定中标，不得另行提出其他费用要求。供方于合同生效之日起40天内完成设备运输（含上、下力）、安装调试等，所有费用由供方承担，安装调试完毕后需方用户负责试用并签收。</w:t>
      </w:r>
    </w:p>
    <w:p>
      <w:pPr>
        <w:pStyle w:val="42"/>
        <w:adjustRightInd w:val="0"/>
        <w:snapToGrid w:val="0"/>
        <w:spacing w:before="0" w:beforeAutospacing="0" w:after="0" w:afterAutospacing="0" w:line="360" w:lineRule="auto"/>
        <w:ind w:firstLine="560" w:firstLineChars="200"/>
        <w:rPr>
          <w:color w:val="auto"/>
          <w:sz w:val="28"/>
          <w:szCs w:val="28"/>
          <w:highlight w:val="none"/>
        </w:rPr>
      </w:pPr>
      <w:r>
        <w:rPr>
          <w:rFonts w:hint="eastAsia"/>
          <w:color w:val="auto"/>
          <w:sz w:val="28"/>
          <w:szCs w:val="28"/>
          <w:highlight w:val="none"/>
        </w:rPr>
        <w:t>六、</w:t>
      </w:r>
      <w:r>
        <w:rPr>
          <w:rFonts w:hint="eastAsia" w:cs="Times New Roman"/>
          <w:color w:val="auto"/>
          <w:kern w:val="2"/>
          <w:sz w:val="28"/>
          <w:szCs w:val="28"/>
          <w:highlight w:val="none"/>
        </w:rPr>
        <w:t>本项目预算价为91.19万元，</w:t>
      </w:r>
      <w:r>
        <w:rPr>
          <w:rFonts w:hint="eastAsia"/>
          <w:color w:val="auto"/>
          <w:sz w:val="28"/>
          <w:szCs w:val="28"/>
          <w:highlight w:val="none"/>
        </w:rPr>
        <w:t>本项目只接受人民币报价。</w:t>
      </w:r>
    </w:p>
    <w:p>
      <w:pPr>
        <w:spacing w:beforeLines="100" w:afterLines="100" w:line="360" w:lineRule="auto"/>
        <w:ind w:firstLine="548" w:firstLineChars="196"/>
        <w:jc w:val="center"/>
        <w:rPr>
          <w:rFonts w:ascii="黑体" w:hAnsi="黑体" w:eastAsia="黑体" w:cs="宋体"/>
          <w:sz w:val="28"/>
          <w:szCs w:val="28"/>
          <w:highlight w:val="none"/>
        </w:rPr>
      </w:pPr>
      <w:bookmarkStart w:id="4" w:name="_Hlk9866140"/>
      <w:r>
        <w:rPr>
          <w:rFonts w:hint="eastAsia" w:ascii="黑体" w:hAnsi="黑体" w:eastAsia="黑体" w:cs="宋体"/>
          <w:sz w:val="28"/>
          <w:szCs w:val="28"/>
          <w:highlight w:val="none"/>
        </w:rPr>
        <w:t>三、对投标文件的要求</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投标人根据招标公告向我校提出报名后，从我校取得正式招标文件（纸质或电子版），并按招标文件的要求认真编制投标文件。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投标文件一正四副，正、副本均须列出目录，内容不得有插行、涂抹、粘贴等，并打印装订成册。</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为便于唱标和减少浪费，请将</w:t>
      </w:r>
      <w:r>
        <w:rPr>
          <w:rFonts w:ascii="宋体" w:hAnsi="宋体" w:cs="宋体"/>
          <w:sz w:val="28"/>
          <w:szCs w:val="28"/>
        </w:rPr>
        <w:t>1</w:t>
      </w:r>
      <w:r>
        <w:rPr>
          <w:rFonts w:hint="eastAsia" w:ascii="宋体" w:hAnsi="宋体" w:cs="宋体"/>
          <w:sz w:val="28"/>
          <w:szCs w:val="28"/>
        </w:rPr>
        <w:t>份正本单独封装，另外</w:t>
      </w:r>
      <w:r>
        <w:rPr>
          <w:rFonts w:ascii="宋体" w:hAnsi="宋体" w:cs="宋体"/>
          <w:sz w:val="28"/>
          <w:szCs w:val="28"/>
        </w:rPr>
        <w:t>4</w:t>
      </w:r>
      <w:r>
        <w:rPr>
          <w:rFonts w:hint="eastAsia" w:ascii="宋体" w:hAnsi="宋体" w:cs="宋体"/>
          <w:sz w:val="28"/>
          <w:szCs w:val="28"/>
        </w:rPr>
        <w:t>份副本可叠加封装在一个大的档案袋中（</w:t>
      </w:r>
      <w:r>
        <w:rPr>
          <w:rFonts w:ascii="宋体" w:hAnsi="宋体" w:cs="宋体"/>
          <w:sz w:val="28"/>
          <w:szCs w:val="28"/>
        </w:rPr>
        <w:t>4</w:t>
      </w:r>
      <w:r>
        <w:rPr>
          <w:rFonts w:hint="eastAsia" w:ascii="宋体" w:hAnsi="宋体" w:cs="宋体"/>
          <w:sz w:val="28"/>
          <w:szCs w:val="28"/>
        </w:rPr>
        <w:t>份副本无需分别封装在</w:t>
      </w:r>
      <w:r>
        <w:rPr>
          <w:rFonts w:ascii="宋体" w:hAnsi="宋体" w:cs="宋体"/>
          <w:sz w:val="28"/>
          <w:szCs w:val="28"/>
        </w:rPr>
        <w:t>4</w:t>
      </w:r>
      <w:r>
        <w:rPr>
          <w:rFonts w:hint="eastAsia" w:ascii="宋体" w:hAnsi="宋体" w:cs="宋体"/>
          <w:sz w:val="28"/>
          <w:szCs w:val="28"/>
        </w:rPr>
        <w:t>个档案袋中，一个大档案袋封装不下的除外）。每家投标人在送交投标文件时，只需交</w:t>
      </w:r>
      <w:r>
        <w:rPr>
          <w:rFonts w:ascii="宋体" w:hAnsi="宋体" w:cs="宋体"/>
          <w:sz w:val="28"/>
          <w:szCs w:val="28"/>
        </w:rPr>
        <w:t>2</w:t>
      </w:r>
      <w:r>
        <w:rPr>
          <w:rFonts w:hint="eastAsia" w:ascii="宋体" w:hAnsi="宋体" w:cs="宋体"/>
          <w:sz w:val="28"/>
          <w:szCs w:val="28"/>
        </w:rPr>
        <w:t>个档案袋即可，即</w:t>
      </w:r>
      <w:r>
        <w:rPr>
          <w:rFonts w:ascii="宋体" w:hAnsi="宋体" w:cs="宋体"/>
          <w:sz w:val="28"/>
          <w:szCs w:val="28"/>
        </w:rPr>
        <w:t>1</w:t>
      </w:r>
      <w:r>
        <w:rPr>
          <w:rFonts w:hint="eastAsia" w:ascii="宋体" w:hAnsi="宋体" w:cs="宋体"/>
          <w:sz w:val="28"/>
          <w:szCs w:val="28"/>
        </w:rPr>
        <w:t>个正本档案袋，</w:t>
      </w:r>
      <w:r>
        <w:rPr>
          <w:rFonts w:ascii="宋体" w:hAnsi="宋体" w:cs="宋体"/>
          <w:sz w:val="28"/>
          <w:szCs w:val="28"/>
        </w:rPr>
        <w:t>1</w:t>
      </w:r>
      <w:r>
        <w:rPr>
          <w:rFonts w:hint="eastAsia" w:ascii="宋体" w:hAnsi="宋体" w:cs="宋体"/>
          <w:sz w:val="28"/>
          <w:szCs w:val="28"/>
        </w:rPr>
        <w:t>个大的副本档案袋。</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投标文件应包含以下内容（所有材料必须加盖投标单位公章）：</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）经投标单位法人或委托代理人代表签字并加盖单位公章的投标函（附件</w:t>
      </w:r>
      <w:r>
        <w:rPr>
          <w:rFonts w:ascii="宋体" w:hAnsi="宋体" w:cs="宋体"/>
          <w:sz w:val="28"/>
          <w:szCs w:val="28"/>
        </w:rPr>
        <w:t>2</w:t>
      </w:r>
      <w:r>
        <w:rPr>
          <w:rFonts w:hint="eastAsia" w:ascii="宋体" w:hAnsi="宋体" w:cs="宋体"/>
          <w:sz w:val="28"/>
          <w:szCs w:val="28"/>
        </w:rPr>
        <w:t>格式，为便于唱标，此函件请务必放置在投标文件内页的第一页）；</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）投标价格明细表；</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w:t>
      </w:r>
      <w:r>
        <w:rPr>
          <w:rFonts w:ascii="宋体" w:hAnsi="宋体" w:cs="宋体"/>
          <w:sz w:val="28"/>
          <w:szCs w:val="28"/>
        </w:rPr>
        <w:t>300</w:t>
      </w:r>
      <w:r>
        <w:rPr>
          <w:rFonts w:hint="eastAsia" w:ascii="宋体" w:hAnsi="宋体" w:cs="宋体"/>
          <w:sz w:val="28"/>
          <w:szCs w:val="28"/>
        </w:rPr>
        <w:t>元报名资料费银行转账回单（复印件）；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）授权委托书、被委托人身份证复印件；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）产品（或服务，下同）技术性能参数的详细描述一览表（投标文件在对投标标的物进行技术和商务描述时，必须完全按照招标文件附件</w:t>
      </w:r>
      <w:r>
        <w:rPr>
          <w:rFonts w:ascii="宋体" w:hAnsi="宋体" w:cs="宋体"/>
          <w:sz w:val="28"/>
          <w:szCs w:val="28"/>
        </w:rPr>
        <w:t>1</w:t>
      </w:r>
      <w:r>
        <w:rPr>
          <w:rFonts w:hint="eastAsia" w:ascii="宋体" w:hAnsi="宋体" w:cs="宋体"/>
          <w:sz w:val="28"/>
          <w:szCs w:val="28"/>
        </w:rPr>
        <w:t>中的章节顺序依次逐条响应，不得颠倒顺序，不得有漏项，不得原封不动地引用招标文件附件</w:t>
      </w:r>
      <w:r>
        <w:rPr>
          <w:rFonts w:ascii="宋体" w:hAnsi="宋体" w:cs="宋体"/>
          <w:sz w:val="28"/>
          <w:szCs w:val="28"/>
        </w:rPr>
        <w:t>1</w:t>
      </w:r>
      <w:r>
        <w:rPr>
          <w:rFonts w:hint="eastAsia" w:ascii="宋体" w:hAnsi="宋体" w:cs="宋体"/>
          <w:sz w:val="28"/>
          <w:szCs w:val="28"/>
        </w:rPr>
        <w:t>中的章节、句段；投标文件应采用文字加图片或图形描述的方式对标的物进行必要的、详尽的说明；</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）产品技术和商务指标偏差表；</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）产品服务方案；</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9</w:t>
      </w:r>
      <w:r>
        <w:rPr>
          <w:rFonts w:hint="eastAsia" w:ascii="宋体" w:hAnsi="宋体" w:cs="宋体"/>
          <w:sz w:val="28"/>
          <w:szCs w:val="28"/>
        </w:rPr>
        <w:t>）产品销售授权书或代理证书（如系代理公司的）；</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10)</w:t>
      </w:r>
      <w:r>
        <w:rPr>
          <w:rFonts w:hint="eastAsia" w:ascii="宋体" w:hAnsi="宋体" w:cs="宋体"/>
          <w:sz w:val="28"/>
          <w:szCs w:val="28"/>
        </w:rPr>
        <w:t>产品质量、工期、安全、管理及售后服务承诺书；</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11</w:t>
      </w:r>
      <w:r>
        <w:rPr>
          <w:rFonts w:hint="eastAsia" w:ascii="宋体" w:hAnsi="宋体" w:cs="宋体"/>
          <w:sz w:val="28"/>
          <w:szCs w:val="28"/>
        </w:rPr>
        <w:t>）产品质量检测报告、质保、认证等证书；</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12</w:t>
      </w:r>
      <w:r>
        <w:rPr>
          <w:rFonts w:hint="eastAsia" w:ascii="宋体" w:hAnsi="宋体" w:cs="宋体"/>
          <w:sz w:val="28"/>
          <w:szCs w:val="28"/>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13</w:t>
      </w:r>
      <w:r>
        <w:rPr>
          <w:rFonts w:hint="eastAsia" w:ascii="宋体" w:hAnsi="宋体" w:cs="宋体"/>
          <w:sz w:val="28"/>
          <w:szCs w:val="28"/>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14</w:t>
      </w:r>
      <w:r>
        <w:rPr>
          <w:rFonts w:hint="eastAsia" w:ascii="宋体" w:hAnsi="宋体" w:cs="宋体"/>
          <w:sz w:val="28"/>
          <w:szCs w:val="28"/>
        </w:rPr>
        <w:t>）招标文件规定或投标人对照评标办法的得分因素以及附件</w:t>
      </w:r>
      <w:r>
        <w:rPr>
          <w:rFonts w:ascii="宋体" w:hAnsi="宋体" w:cs="宋体"/>
          <w:sz w:val="28"/>
          <w:szCs w:val="28"/>
        </w:rPr>
        <w:t>1</w:t>
      </w:r>
      <w:r>
        <w:rPr>
          <w:rFonts w:hint="eastAsia" w:ascii="宋体" w:hAnsi="宋体" w:cs="宋体"/>
          <w:sz w:val="28"/>
          <w:szCs w:val="28"/>
        </w:rPr>
        <w:t>相关要求认为应提交的其他资料和文件。</w:t>
      </w:r>
    </w:p>
    <w:p>
      <w:pPr>
        <w:spacing w:line="360" w:lineRule="auto"/>
        <w:ind w:firstLine="548" w:firstLineChars="196"/>
        <w:rPr>
          <w:rFonts w:ascii="宋体" w:cs="宋体"/>
          <w:sz w:val="28"/>
          <w:szCs w:val="28"/>
          <w:highlight w:val="none"/>
        </w:rPr>
      </w:pPr>
      <w:r>
        <w:rPr>
          <w:rFonts w:hint="eastAsia" w:ascii="宋体" w:hAnsi="宋体" w:cs="宋体"/>
          <w:sz w:val="28"/>
          <w:szCs w:val="28"/>
        </w:rPr>
        <w:t>（</w:t>
      </w:r>
      <w:r>
        <w:rPr>
          <w:rFonts w:ascii="宋体" w:hAnsi="宋体" w:cs="宋体"/>
          <w:sz w:val="28"/>
          <w:szCs w:val="28"/>
        </w:rPr>
        <w:t>15</w:t>
      </w:r>
      <w:r>
        <w:rPr>
          <w:rFonts w:hint="eastAsia" w:ascii="宋体" w:hAnsi="宋体" w:cs="宋体"/>
          <w:sz w:val="28"/>
          <w:szCs w:val="28"/>
        </w:rPr>
        <w:t>）</w:t>
      </w:r>
      <w:r>
        <w:rPr>
          <w:rFonts w:hint="eastAsia"/>
          <w:sz w:val="28"/>
          <w:szCs w:val="28"/>
        </w:rPr>
        <w:t>投标人必须投本标书所有标段的设备，不允许分标段投标；</w:t>
      </w:r>
      <w:r>
        <w:rPr>
          <w:rFonts w:hint="eastAsia"/>
          <w:color w:val="000000" w:themeColor="text1"/>
          <w:sz w:val="28"/>
          <w:szCs w:val="28"/>
        </w:rPr>
        <w:t>标书中标</w:t>
      </w:r>
      <w:r>
        <w:rPr>
          <w:rFonts w:hint="eastAsia" w:ascii="宋体" w:hAnsi="宋体" w:cs="Arial"/>
          <w:color w:val="000000" w:themeColor="text1"/>
          <w:kern w:val="0"/>
          <w:sz w:val="18"/>
          <w:szCs w:val="18"/>
        </w:rPr>
        <w:t>“★”</w:t>
      </w:r>
      <w:r>
        <w:rPr>
          <w:rFonts w:hint="eastAsia"/>
          <w:color w:val="000000" w:themeColor="text1"/>
          <w:sz w:val="28"/>
          <w:szCs w:val="28"/>
        </w:rPr>
        <w:t>的参数为实质性参数，必须满足，否则视为无效标书；标书中标“▲”的参数为重要参数</w:t>
      </w:r>
      <w:r>
        <w:rPr>
          <w:rFonts w:hint="eastAsia" w:ascii="宋体" w:cs="宋体"/>
          <w:color w:val="000000" w:themeColor="text1"/>
          <w:sz w:val="28"/>
          <w:szCs w:val="28"/>
        </w:rPr>
        <w:t>；本次采购的项目免费保质期为2年，</w:t>
      </w:r>
      <w:r>
        <w:rPr>
          <w:rFonts w:hint="eastAsia" w:ascii="宋体" w:cs="宋体"/>
          <w:sz w:val="28"/>
          <w:szCs w:val="28"/>
        </w:rPr>
        <w:t>中标后在签订合同前必须</w:t>
      </w:r>
      <w:r>
        <w:rPr>
          <w:rFonts w:hint="eastAsia" w:ascii="宋体" w:cs="宋体"/>
          <w:sz w:val="28"/>
          <w:szCs w:val="28"/>
          <w:highlight w:val="none"/>
        </w:rPr>
        <w:t>提供原厂质保书，否则取消中标资格。</w:t>
      </w:r>
    </w:p>
    <w:p>
      <w:pPr>
        <w:spacing w:line="360" w:lineRule="auto"/>
        <w:ind w:firstLine="548" w:firstLineChars="196"/>
        <w:rPr>
          <w:rFonts w:ascii="宋体" w:cs="宋体"/>
          <w:sz w:val="28"/>
          <w:szCs w:val="28"/>
        </w:rPr>
      </w:pPr>
      <w:r>
        <w:rPr>
          <w:rFonts w:ascii="宋体" w:cs="宋体"/>
          <w:sz w:val="28"/>
          <w:szCs w:val="28"/>
        </w:rPr>
        <w:t>6.</w:t>
      </w:r>
      <w:r>
        <w:rPr>
          <w:rFonts w:hint="eastAsia" w:ascii="宋体" w:cs="宋体"/>
          <w:sz w:val="28"/>
          <w:szCs w:val="28"/>
        </w:rPr>
        <w:t>投标人在投</w:t>
      </w:r>
      <w:r>
        <w:rPr>
          <w:rFonts w:hint="eastAsia" w:ascii="宋体" w:hAnsi="宋体" w:cs="宋体"/>
          <w:sz w:val="28"/>
          <w:szCs w:val="28"/>
        </w:rPr>
        <w:t>标文件中应承诺对如下内容已完全理解，如不承诺，视为认可：</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）在参与我校相关项目的招投标活动中，遵纪守法，诚信经营，公平竞争；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）不采取不正当手段诋毁、排挤其他投标人；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）本项目的中标单位由本校评标专家组按规定程序确定（采用“评定分离”制的项目除外）；</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）未能中标单位，本校对其原因不作解释；</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）投标单位对本文件其他内容已充分理解，并承诺一经中标即严格按合同执行，合同附件与合同有同等法律效力。</w:t>
      </w:r>
    </w:p>
    <w:bookmarkEnd w:id="4"/>
    <w:p>
      <w:pPr>
        <w:spacing w:beforeLines="100" w:afterLines="100" w:line="360" w:lineRule="auto"/>
        <w:ind w:firstLine="548" w:firstLineChars="196"/>
        <w:jc w:val="center"/>
        <w:rPr>
          <w:rFonts w:ascii="黑体" w:hAnsi="黑体" w:eastAsia="黑体" w:cs="宋体"/>
          <w:sz w:val="28"/>
          <w:szCs w:val="28"/>
        </w:rPr>
      </w:pPr>
      <w:bookmarkStart w:id="5" w:name="_Hlk9866206"/>
      <w:r>
        <w:rPr>
          <w:rFonts w:hint="eastAsia" w:ascii="黑体" w:hAnsi="黑体" w:eastAsia="黑体" w:cs="宋体"/>
          <w:sz w:val="28"/>
          <w:szCs w:val="28"/>
        </w:rPr>
        <w:t>四、开标程序</w:t>
      </w:r>
    </w:p>
    <w:bookmarkEnd w:id="5"/>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招标文件给出评标办法（见附件4）</w:t>
      </w:r>
      <w:r>
        <w:rPr>
          <w:rFonts w:ascii="宋体" w:cs="宋体"/>
          <w:sz w:val="28"/>
          <w:szCs w:val="28"/>
        </w:rPr>
        <w:t>,</w:t>
      </w:r>
      <w:r>
        <w:rPr>
          <w:rFonts w:hint="eastAsia" w:ascii="宋体" w:hAnsi="宋体" w:cs="宋体"/>
          <w:sz w:val="28"/>
          <w:szCs w:val="28"/>
        </w:rPr>
        <w:t>供投标人和评标专家组参考。</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）投标文件中的大写金额与小写金额不一致的，以大写金额为准；正本和副本不一致的，以正本为准。</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招标办根据评标专家组综合排序，在学校网站和招标办网站对拟中标单位进行公示。公示结束，无异议，确定中标单位。</w:t>
      </w:r>
    </w:p>
    <w:p>
      <w:pPr>
        <w:spacing w:beforeLines="100"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五、无效投标</w:t>
      </w:r>
    </w:p>
    <w:p>
      <w:pPr>
        <w:spacing w:line="360" w:lineRule="auto"/>
        <w:ind w:firstLine="548" w:firstLineChars="196"/>
        <w:rPr>
          <w:rFonts w:ascii="宋体" w:cs="宋体"/>
          <w:sz w:val="28"/>
          <w:szCs w:val="28"/>
        </w:rPr>
      </w:pPr>
      <w:r>
        <w:rPr>
          <w:rFonts w:hint="eastAsia" w:ascii="宋体" w:hAnsi="宋体" w:cs="宋体"/>
          <w:sz w:val="28"/>
          <w:szCs w:val="28"/>
        </w:rPr>
        <w:t>投标文件出现下列情形的，将作为无效投标文件，不得进入评标：</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投标文件未按照招标文件的要求予以密封的；</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投标文件少项漏项，或关键内容字迹模糊、无法辨认的；</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有</w:t>
      </w:r>
      <w:r>
        <w:rPr>
          <w:rFonts w:ascii="宋体" w:hAnsi="宋体" w:cs="宋体"/>
          <w:sz w:val="28"/>
          <w:szCs w:val="28"/>
        </w:rPr>
        <w:t>1</w:t>
      </w:r>
      <w:r>
        <w:rPr>
          <w:rFonts w:hint="eastAsia" w:ascii="宋体" w:hAnsi="宋体" w:cs="宋体"/>
          <w:sz w:val="28"/>
          <w:szCs w:val="28"/>
        </w:rPr>
        <w:t>个核心指标或有</w:t>
      </w:r>
      <w:r>
        <w:rPr>
          <w:rFonts w:ascii="宋体" w:hAnsi="宋体" w:cs="宋体"/>
          <w:sz w:val="28"/>
          <w:szCs w:val="28"/>
        </w:rPr>
        <w:t>5</w:t>
      </w:r>
      <w:r>
        <w:rPr>
          <w:rFonts w:hint="eastAsia" w:ascii="宋体" w:hAnsi="宋体" w:cs="宋体"/>
          <w:sz w:val="28"/>
          <w:szCs w:val="28"/>
        </w:rPr>
        <w:t>个及以上非核心指标未能满足的；</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技术指标响应内容未按照招标文件附件</w:t>
      </w:r>
      <w:r>
        <w:rPr>
          <w:rFonts w:ascii="宋体" w:hAnsi="宋体" w:cs="宋体"/>
          <w:sz w:val="28"/>
          <w:szCs w:val="28"/>
        </w:rPr>
        <w:t>1</w:t>
      </w:r>
      <w:r>
        <w:rPr>
          <w:rFonts w:hint="eastAsia" w:ascii="宋体" w:hAnsi="宋体" w:cs="宋体"/>
          <w:sz w:val="28"/>
          <w:szCs w:val="28"/>
        </w:rPr>
        <w:t>中的章节顺序依次逐条响应；投标文件未采用文字加图片或图形描述的方式对货物进行必要的、详尽的说明，原封不动地引用招标文件附件</w:t>
      </w:r>
      <w:r>
        <w:rPr>
          <w:rFonts w:ascii="宋体" w:hAnsi="宋体" w:cs="宋体"/>
          <w:sz w:val="28"/>
          <w:szCs w:val="28"/>
        </w:rPr>
        <w:t>1</w:t>
      </w:r>
      <w:r>
        <w:rPr>
          <w:rFonts w:hint="eastAsia" w:ascii="宋体" w:hAnsi="宋体" w:cs="宋体"/>
          <w:sz w:val="28"/>
          <w:szCs w:val="28"/>
        </w:rPr>
        <w:t>中的章节、句段的；</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rPr>
      </w:pPr>
      <w:r>
        <w:rPr>
          <w:rFonts w:ascii="宋体" w:hAnsi="宋体" w:cs="宋体"/>
          <w:sz w:val="28"/>
          <w:szCs w:val="28"/>
        </w:rPr>
        <w:t>8.</w:t>
      </w:r>
      <w:r>
        <w:rPr>
          <w:rFonts w:hint="eastAsia" w:ascii="宋体" w:hAnsi="宋体" w:cs="宋体"/>
          <w:sz w:val="28"/>
          <w:szCs w:val="28"/>
        </w:rPr>
        <w:t>报价超过预算金额，或以人民币之外的币种报价的；</w:t>
      </w:r>
    </w:p>
    <w:p>
      <w:pPr>
        <w:spacing w:line="360" w:lineRule="auto"/>
        <w:ind w:firstLine="548" w:firstLineChars="196"/>
        <w:rPr>
          <w:rFonts w:ascii="宋体" w:cs="宋体"/>
          <w:sz w:val="28"/>
          <w:szCs w:val="28"/>
        </w:rPr>
      </w:pPr>
      <w:r>
        <w:rPr>
          <w:rFonts w:ascii="宋体" w:hAnsi="宋体" w:cs="宋体"/>
          <w:sz w:val="28"/>
          <w:szCs w:val="28"/>
        </w:rPr>
        <w:t>9.</w:t>
      </w:r>
      <w:r>
        <w:rPr>
          <w:rFonts w:hint="eastAsia" w:ascii="宋体" w:hAnsi="宋体" w:cs="宋体"/>
          <w:sz w:val="28"/>
          <w:szCs w:val="28"/>
        </w:rPr>
        <w:t>无</w:t>
      </w:r>
      <w:r>
        <w:rPr>
          <w:rFonts w:ascii="宋体" w:hAnsi="宋体" w:cs="宋体"/>
          <w:sz w:val="28"/>
          <w:szCs w:val="28"/>
        </w:rPr>
        <w:t>300</w:t>
      </w:r>
      <w:r>
        <w:rPr>
          <w:rFonts w:hint="eastAsia" w:ascii="宋体" w:hAnsi="宋体" w:cs="宋体"/>
          <w:sz w:val="28"/>
          <w:szCs w:val="28"/>
        </w:rPr>
        <w:t>元报名资料费银行转账回单复印件的，或报名资料费银行转账回单中无</w:t>
      </w:r>
      <w:r>
        <w:rPr>
          <w:rFonts w:hint="eastAsia" w:ascii="宋体" w:hAnsi="宋体" w:cs="宋体"/>
          <w:b/>
          <w:sz w:val="28"/>
          <w:szCs w:val="28"/>
          <w:highlight w:val="none"/>
        </w:rPr>
        <w:t>“</w:t>
      </w:r>
      <w:r>
        <w:rPr>
          <w:rFonts w:ascii="宋体" w:hAnsi="宋体" w:cs="宋体"/>
          <w:b/>
          <w:sz w:val="28"/>
          <w:szCs w:val="28"/>
          <w:highlight w:val="none"/>
        </w:rPr>
        <w:t>BJ20</w:t>
      </w:r>
      <w:r>
        <w:rPr>
          <w:rFonts w:hint="eastAsia" w:ascii="宋体" w:hAnsi="宋体" w:cs="宋体"/>
          <w:b/>
          <w:sz w:val="28"/>
          <w:szCs w:val="28"/>
          <w:highlight w:val="none"/>
        </w:rPr>
        <w:t>20008</w:t>
      </w:r>
      <w:r>
        <w:rPr>
          <w:rFonts w:hint="eastAsia" w:ascii="宋体" w:hAnsi="宋体" w:cs="宋体"/>
          <w:b/>
          <w:sz w:val="28"/>
          <w:szCs w:val="28"/>
          <w:highlight w:val="none"/>
          <w:lang w:val="en-US" w:eastAsia="zh-CN"/>
        </w:rPr>
        <w:t>-1a</w:t>
      </w:r>
      <w:r>
        <w:rPr>
          <w:rFonts w:hint="eastAsia" w:ascii="宋体" w:hAnsi="宋体" w:cs="宋体"/>
          <w:b/>
          <w:sz w:val="28"/>
          <w:szCs w:val="28"/>
          <w:highlight w:val="none"/>
        </w:rPr>
        <w:t>资料费”</w:t>
      </w:r>
      <w:r>
        <w:rPr>
          <w:rFonts w:hint="eastAsia" w:ascii="宋体" w:hAnsi="宋体" w:cs="宋体"/>
          <w:sz w:val="28"/>
          <w:szCs w:val="28"/>
          <w:highlight w:val="none"/>
        </w:rPr>
        <w:t>字样的；</w:t>
      </w:r>
    </w:p>
    <w:p>
      <w:pPr>
        <w:spacing w:line="360" w:lineRule="auto"/>
        <w:ind w:firstLine="548" w:firstLineChars="196"/>
        <w:rPr>
          <w:rFonts w:ascii="宋体" w:cs="宋体"/>
          <w:sz w:val="28"/>
          <w:szCs w:val="28"/>
        </w:rPr>
      </w:pPr>
      <w:r>
        <w:rPr>
          <w:rFonts w:ascii="宋体" w:hAnsi="宋体" w:cs="宋体"/>
          <w:sz w:val="28"/>
          <w:szCs w:val="28"/>
        </w:rPr>
        <w:t>10.</w:t>
      </w:r>
      <w:r>
        <w:rPr>
          <w:rFonts w:hint="eastAsia" w:ascii="宋体" w:hAnsi="宋体" w:cs="宋体"/>
          <w:sz w:val="28"/>
          <w:szCs w:val="28"/>
        </w:rPr>
        <w:t>招标文件中虽没明确，但经评标专家组讨论通过的符合无效投标情形的其他条件。</w:t>
      </w:r>
    </w:p>
    <w:p>
      <w:pPr>
        <w:spacing w:beforeLines="100"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六、评标办法</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本着“质量第一、价格合理、服务优异、保障有力”的原则，由采购人、项目归口管理部门和招标办从报价、技术、服务、业绩、信誉等五个方面提出评标办法（见附件4）。</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为保证招标质量，在评标办法中设核心指标。每个分包的核心指标不超过</w:t>
      </w:r>
      <w:r>
        <w:rPr>
          <w:rFonts w:ascii="宋体" w:hAnsi="宋体" w:cs="宋体"/>
          <w:sz w:val="28"/>
          <w:szCs w:val="28"/>
        </w:rPr>
        <w:t>5</w:t>
      </w:r>
      <w:r>
        <w:rPr>
          <w:rFonts w:hint="eastAsia" w:ascii="宋体" w:hAnsi="宋体" w:cs="宋体"/>
          <w:sz w:val="28"/>
          <w:szCs w:val="28"/>
        </w:rPr>
        <w:t>个。</w:t>
      </w:r>
    </w:p>
    <w:p>
      <w:pPr>
        <w:spacing w:beforeLines="100"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七、合同、履约、验收及结算等事项</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合同：</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）中标公示结束无异议后</w:t>
      </w:r>
      <w:r>
        <w:rPr>
          <w:rFonts w:ascii="宋体" w:hAnsi="宋体" w:cs="宋体"/>
          <w:sz w:val="28"/>
          <w:szCs w:val="28"/>
        </w:rPr>
        <w:t>5</w:t>
      </w:r>
      <w:r>
        <w:rPr>
          <w:rFonts w:hint="eastAsia" w:ascii="宋体" w:hAnsi="宋体" w:cs="宋体"/>
          <w:sz w:val="28"/>
          <w:szCs w:val="28"/>
        </w:rPr>
        <w:t>个工作日内，中标单位须及时缴纳5</w:t>
      </w:r>
      <w:r>
        <w:rPr>
          <w:rFonts w:ascii="宋体" w:hAnsi="宋体" w:cs="宋体"/>
          <w:sz w:val="28"/>
          <w:szCs w:val="28"/>
        </w:rPr>
        <w:t>000</w:t>
      </w:r>
      <w:r>
        <w:rPr>
          <w:rFonts w:hint="eastAsia" w:ascii="宋体" w:hAnsi="宋体" w:cs="宋体"/>
          <w:sz w:val="28"/>
          <w:szCs w:val="28"/>
        </w:rPr>
        <w:t>元履约保证金并前来我校领取《中标通知书》（一式二份）。</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）中标单位须在接《中标通知书》起</w:t>
      </w:r>
      <w:r>
        <w:rPr>
          <w:rFonts w:ascii="宋体" w:hAnsi="宋体" w:cs="宋体"/>
          <w:sz w:val="28"/>
          <w:szCs w:val="28"/>
        </w:rPr>
        <w:t>7</w:t>
      </w:r>
      <w:r>
        <w:rPr>
          <w:rFonts w:hint="eastAsia" w:ascii="宋体" w:hAnsi="宋体" w:cs="宋体"/>
          <w:sz w:val="28"/>
          <w:szCs w:val="28"/>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spacing w:line="360" w:lineRule="auto"/>
        <w:ind w:firstLine="548" w:firstLineChars="196"/>
        <w:rPr>
          <w:rFonts w:ascii="宋体" w:cs="宋体"/>
          <w:sz w:val="28"/>
          <w:szCs w:val="28"/>
        </w:rPr>
      </w:pPr>
      <w:r>
        <w:rPr>
          <w:rFonts w:ascii="宋体" w:hAnsi="宋体" w:cs="宋体"/>
          <w:sz w:val="28"/>
          <w:szCs w:val="28"/>
        </w:rPr>
        <w:t xml:space="preserve"> 2.</w:t>
      </w:r>
      <w:r>
        <w:rPr>
          <w:rFonts w:hint="eastAsia" w:ascii="宋体" w:hAnsi="宋体" w:cs="宋体"/>
          <w:sz w:val="28"/>
          <w:szCs w:val="28"/>
        </w:rPr>
        <w:t>服务地点：南京信息工程大学滨江学院（无锡校区）内。</w:t>
      </w:r>
    </w:p>
    <w:p>
      <w:pPr>
        <w:spacing w:line="360" w:lineRule="auto"/>
        <w:ind w:firstLine="548" w:firstLineChars="196"/>
        <w:rPr>
          <w:rFonts w:ascii="宋体" w:hAnsi="宋体" w:cs="宋体"/>
          <w:sz w:val="28"/>
          <w:szCs w:val="28"/>
        </w:rPr>
      </w:pPr>
      <w:r>
        <w:rPr>
          <w:rFonts w:ascii="宋体" w:hAnsi="宋体" w:cs="宋体"/>
          <w:sz w:val="28"/>
          <w:szCs w:val="28"/>
        </w:rPr>
        <w:t xml:space="preserve"> 3.</w:t>
      </w:r>
      <w:r>
        <w:rPr>
          <w:rFonts w:hint="eastAsia" w:ascii="宋体" w:hAnsi="宋体" w:cs="宋体"/>
          <w:sz w:val="28"/>
          <w:szCs w:val="28"/>
        </w:rPr>
        <w:t>付款方式：</w:t>
      </w:r>
    </w:p>
    <w:p>
      <w:pPr>
        <w:adjustRightInd w:val="0"/>
        <w:snapToGrid w:val="0"/>
        <w:spacing w:line="360" w:lineRule="auto"/>
        <w:ind w:firstLine="480"/>
        <w:rPr>
          <w:rFonts w:ascii="宋体" w:hAnsi="宋体" w:cs="宋体"/>
          <w:sz w:val="28"/>
          <w:szCs w:val="28"/>
        </w:rPr>
      </w:pPr>
      <w:r>
        <w:rPr>
          <w:rFonts w:hint="eastAsia" w:ascii="宋体" w:hAnsi="宋体" w:cs="宋体"/>
          <w:sz w:val="28"/>
          <w:szCs w:val="28"/>
        </w:rPr>
        <w:t>现场安装调试，验收合格后，提供全额税务发票，凭最终签字和盖章的验收合格报告，付款至合同价的95%，余款5%在质保期满后，并经有关单位确认无质量问题后，一次性无息支付完毕。具体内容以最终签署的合同约定为准。</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资料费：</w:t>
      </w:r>
      <w:r>
        <w:rPr>
          <w:rFonts w:ascii="宋体" w:hAnsi="宋体" w:cs="宋体"/>
          <w:sz w:val="28"/>
          <w:szCs w:val="28"/>
        </w:rPr>
        <w:t>300</w:t>
      </w:r>
      <w:r>
        <w:rPr>
          <w:rFonts w:hint="eastAsia" w:ascii="宋体" w:hAnsi="宋体" w:cs="宋体"/>
          <w:sz w:val="28"/>
          <w:szCs w:val="28"/>
        </w:rPr>
        <w:t>元</w:t>
      </w:r>
      <w:r>
        <w:rPr>
          <w:rFonts w:ascii="宋体" w:hAnsi="宋体" w:cs="宋体"/>
          <w:sz w:val="28"/>
          <w:szCs w:val="28"/>
        </w:rPr>
        <w:t>/</w:t>
      </w:r>
      <w:r>
        <w:rPr>
          <w:rFonts w:hint="eastAsia" w:ascii="宋体" w:hAnsi="宋体" w:cs="宋体"/>
          <w:sz w:val="28"/>
          <w:szCs w:val="28"/>
        </w:rPr>
        <w:t>家。</w:t>
      </w:r>
    </w:p>
    <w:p>
      <w:pPr>
        <w:spacing w:line="360" w:lineRule="auto"/>
        <w:ind w:firstLine="548" w:firstLineChars="196"/>
        <w:rPr>
          <w:rFonts w:ascii="宋体" w:hAnsi="宋体" w:cs="宋体"/>
          <w:color w:val="000000"/>
          <w:sz w:val="28"/>
          <w:szCs w:val="28"/>
        </w:rPr>
      </w:pPr>
      <w:r>
        <w:rPr>
          <w:rFonts w:hint="eastAsia" w:ascii="宋体" w:hAnsi="宋体"/>
          <w:color w:val="000000"/>
          <w:sz w:val="28"/>
          <w:szCs w:val="28"/>
          <w:shd w:val="clear" w:color="auto" w:fill="FFFFFF"/>
        </w:rPr>
        <w:t>（1）</w:t>
      </w:r>
      <w:r>
        <w:rPr>
          <w:rFonts w:hint="eastAsia" w:ascii="宋体" w:hAnsi="宋体" w:cs="宋体"/>
          <w:color w:val="000000"/>
          <w:sz w:val="28"/>
          <w:szCs w:val="28"/>
        </w:rPr>
        <w:t>我校不接收现金或支付宝等方式交费。各投标人务必通过单位银行基本账户提前将资料费汇至我校以下账号：户名：南京信息工程大学；账号：</w:t>
      </w:r>
      <w:r>
        <w:rPr>
          <w:rFonts w:ascii="宋体" w:hAnsi="宋体" w:cs="宋体"/>
          <w:color w:val="000000"/>
          <w:sz w:val="28"/>
          <w:szCs w:val="28"/>
        </w:rPr>
        <w:t>10115401040000228</w:t>
      </w:r>
      <w:r>
        <w:rPr>
          <w:rFonts w:hint="eastAsia" w:ascii="宋体" w:hAnsi="宋体" w:cs="宋体"/>
          <w:color w:val="000000"/>
          <w:sz w:val="28"/>
          <w:szCs w:val="28"/>
        </w:rPr>
        <w:t>；开户银行：中国农业银行南京盘城支行。请各投标人务必在转账留言栏备注填写</w:t>
      </w:r>
      <w:r>
        <w:rPr>
          <w:rFonts w:hint="eastAsia" w:ascii="宋体" w:hAnsi="宋体" w:cs="宋体"/>
          <w:b/>
          <w:color w:val="000000"/>
          <w:sz w:val="28"/>
          <w:szCs w:val="28"/>
        </w:rPr>
        <w:t>“BJ2020008</w:t>
      </w:r>
      <w:r>
        <w:rPr>
          <w:rFonts w:hint="eastAsia" w:ascii="宋体" w:hAnsi="宋体" w:cs="宋体"/>
          <w:b/>
          <w:color w:val="000000"/>
          <w:sz w:val="28"/>
          <w:szCs w:val="28"/>
          <w:lang w:val="en-US" w:eastAsia="zh-CN"/>
        </w:rPr>
        <w:t>-1a</w:t>
      </w:r>
      <w:r>
        <w:rPr>
          <w:rFonts w:hint="eastAsia" w:ascii="宋体" w:hAnsi="宋体" w:cs="宋体"/>
          <w:b/>
          <w:color w:val="000000"/>
          <w:sz w:val="28"/>
          <w:szCs w:val="28"/>
        </w:rPr>
        <w:t>资料费”</w:t>
      </w:r>
      <w:r>
        <w:rPr>
          <w:rFonts w:hint="eastAsia" w:ascii="宋体" w:hAnsi="宋体" w:cs="宋体"/>
          <w:color w:val="000000"/>
          <w:sz w:val="28"/>
          <w:szCs w:val="28"/>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w:t>
      </w:r>
      <w:r>
        <w:rPr>
          <w:rFonts w:hint="eastAsia" w:ascii="宋体" w:hAnsi="宋体" w:cs="宋体"/>
          <w:b/>
          <w:bCs/>
          <w:sz w:val="28"/>
          <w:szCs w:val="28"/>
        </w:rPr>
        <w:t>我校提供电子普通发票，招标办定期到财务结算中心对账（时间约半个月）。请投标单位在邮件报名时提供单位纳税人识别号，并确保联系人手机号及邮箱状态正常，以便接收电子发票信息。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履约保证金（或投标保证金）：</w:t>
      </w:r>
      <w:r>
        <w:rPr>
          <w:rFonts w:ascii="宋体" w:hAnsi="宋体" w:cs="宋体"/>
          <w:sz w:val="28"/>
          <w:szCs w:val="28"/>
          <w:u w:val="single"/>
        </w:rPr>
        <w:t>5000</w:t>
      </w:r>
      <w:r>
        <w:rPr>
          <w:rFonts w:hint="eastAsia" w:ascii="宋体" w:hAnsi="宋体" w:cs="宋体"/>
          <w:sz w:val="28"/>
          <w:szCs w:val="28"/>
          <w:u w:val="single"/>
        </w:rPr>
        <w:t>元</w:t>
      </w:r>
      <w:r>
        <w:rPr>
          <w:rFonts w:hint="eastAsia" w:ascii="宋体" w:hAnsi="宋体" w:cs="宋体"/>
          <w:sz w:val="28"/>
          <w:szCs w:val="28"/>
        </w:rPr>
        <w:t>整。</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sz w:val="28"/>
          <w:szCs w:val="28"/>
        </w:rPr>
        <w:t>300</w:t>
      </w:r>
      <w:r>
        <w:rPr>
          <w:rFonts w:hint="eastAsia" w:ascii="宋体" w:hAnsi="宋体" w:cs="宋体"/>
          <w:sz w:val="28"/>
          <w:szCs w:val="28"/>
        </w:rPr>
        <w:t>元资料费。</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）履约保证金交退咨询：财务处结算中心（体育馆北面，南气宾馆东侧的大学生创业中心</w:t>
      </w:r>
      <w:r>
        <w:rPr>
          <w:rFonts w:ascii="宋体" w:hAnsi="宋体" w:cs="宋体"/>
          <w:sz w:val="28"/>
          <w:szCs w:val="28"/>
        </w:rPr>
        <w:t>3</w:t>
      </w:r>
      <w:r>
        <w:rPr>
          <w:rFonts w:hint="eastAsia" w:ascii="宋体" w:hAnsi="宋体" w:cs="宋体"/>
          <w:sz w:val="28"/>
          <w:szCs w:val="28"/>
        </w:rPr>
        <w:t>号楼二楼201）。</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）如中标单位有下列情况之一，不予退还履约保证金，我校将其列入招投标诚信“黑名单”，</w:t>
      </w:r>
      <w:r>
        <w:rPr>
          <w:rFonts w:ascii="宋体" w:hAnsi="宋体" w:cs="宋体"/>
          <w:sz w:val="28"/>
          <w:szCs w:val="28"/>
        </w:rPr>
        <w:t>3</w:t>
      </w:r>
      <w:r>
        <w:rPr>
          <w:rFonts w:hint="eastAsia" w:ascii="宋体" w:hAnsi="宋体" w:cs="宋体"/>
          <w:sz w:val="28"/>
          <w:szCs w:val="28"/>
        </w:rPr>
        <w:t>年内不得到我校从事任何投标活动。</w:t>
      </w:r>
    </w:p>
    <w:p>
      <w:pPr>
        <w:spacing w:line="360" w:lineRule="auto"/>
        <w:ind w:firstLine="548" w:firstLineChars="196"/>
        <w:rPr>
          <w:rFonts w:ascii="宋体" w:cs="宋体"/>
          <w:sz w:val="28"/>
          <w:szCs w:val="28"/>
        </w:rPr>
      </w:pPr>
      <w:r>
        <w:rPr>
          <w:rFonts w:ascii="宋体" w:hAnsi="宋体" w:cs="宋体"/>
          <w:sz w:val="28"/>
          <w:szCs w:val="28"/>
        </w:rPr>
        <w:t>a.</w:t>
      </w:r>
      <w:r>
        <w:rPr>
          <w:rFonts w:hint="eastAsia" w:ascii="宋体" w:hAnsi="宋体" w:cs="宋体"/>
          <w:sz w:val="28"/>
          <w:szCs w:val="28"/>
        </w:rPr>
        <w:t>中标单位未能按学校通知，在规定时间内签署合同；或签署合同后未能履约、单方撕毁合同等；</w:t>
      </w:r>
    </w:p>
    <w:p>
      <w:pPr>
        <w:spacing w:line="360" w:lineRule="auto"/>
        <w:ind w:firstLine="548" w:firstLineChars="196"/>
        <w:rPr>
          <w:rFonts w:ascii="宋体" w:cs="宋体"/>
          <w:sz w:val="28"/>
          <w:szCs w:val="28"/>
        </w:rPr>
      </w:pPr>
      <w:r>
        <w:rPr>
          <w:rFonts w:ascii="宋体" w:hAnsi="宋体" w:cs="宋体"/>
          <w:sz w:val="28"/>
          <w:szCs w:val="28"/>
        </w:rPr>
        <w:t>b.</w:t>
      </w:r>
      <w:r>
        <w:rPr>
          <w:rFonts w:hint="eastAsia" w:ascii="宋体" w:hAnsi="宋体" w:cs="宋体"/>
          <w:sz w:val="28"/>
          <w:szCs w:val="28"/>
        </w:rPr>
        <w:t>中标单位在投标过程中存在串通投标等违规或舞弊行为；或中标单位借用其他公司相关资质的；</w:t>
      </w:r>
    </w:p>
    <w:p>
      <w:pPr>
        <w:spacing w:line="360" w:lineRule="auto"/>
        <w:ind w:firstLine="548" w:firstLineChars="196"/>
        <w:rPr>
          <w:rFonts w:ascii="宋体" w:cs="宋体"/>
          <w:sz w:val="28"/>
          <w:szCs w:val="28"/>
        </w:rPr>
      </w:pPr>
      <w:r>
        <w:rPr>
          <w:rFonts w:ascii="宋体" w:hAnsi="宋体" w:cs="宋体"/>
          <w:sz w:val="28"/>
          <w:szCs w:val="28"/>
        </w:rPr>
        <w:t>c.</w:t>
      </w:r>
      <w:r>
        <w:rPr>
          <w:rFonts w:hint="eastAsia" w:ascii="宋体" w:hAnsi="宋体" w:cs="宋体"/>
          <w:sz w:val="28"/>
          <w:szCs w:val="28"/>
        </w:rPr>
        <w:t>出现其他不予退还履约保证金情形的。</w:t>
      </w:r>
    </w:p>
    <w:p>
      <w:pPr>
        <w:spacing w:line="360" w:lineRule="auto"/>
        <w:ind w:firstLine="548" w:firstLineChars="196"/>
      </w:pPr>
      <w:r>
        <w:rPr>
          <w:rFonts w:ascii="宋体" w:hAnsi="宋体" w:cs="宋体"/>
          <w:sz w:val="28"/>
          <w:szCs w:val="28"/>
        </w:rPr>
        <w:t>6.</w:t>
      </w:r>
      <w:r>
        <w:rPr>
          <w:rFonts w:hint="eastAsia" w:ascii="宋体" w:hAnsi="宋体" w:cs="宋体"/>
          <w:sz w:val="28"/>
          <w:szCs w:val="28"/>
        </w:rPr>
        <w:t>验收：按学校验收规定执行，项目合同是验收的主要依据。</w:t>
      </w:r>
    </w:p>
    <w:p>
      <w:pPr>
        <w:pStyle w:val="2"/>
        <w:jc w:val="both"/>
        <w:rPr>
          <w:lang w:val="en-US"/>
        </w:rPr>
      </w:pPr>
      <w:r>
        <w:rPr>
          <w:rFonts w:hint="eastAsia"/>
          <w:lang w:val="en-US"/>
        </w:rPr>
        <w:t xml:space="preserve">    </w:t>
      </w:r>
      <w:r>
        <w:rPr>
          <w:rFonts w:hint="eastAsia" w:cs="宋体"/>
          <w:b w:val="0"/>
          <w:bCs w:val="0"/>
          <w:szCs w:val="28"/>
          <w:lang w:val="en-US"/>
        </w:rPr>
        <w:t>7</w:t>
      </w:r>
      <w:r>
        <w:rPr>
          <w:rFonts w:cs="宋体"/>
          <w:b w:val="0"/>
          <w:bCs w:val="0"/>
          <w:szCs w:val="28"/>
        </w:rPr>
        <w:t>.</w:t>
      </w:r>
      <w:r>
        <w:rPr>
          <w:rFonts w:hint="eastAsia" w:cs="宋体"/>
          <w:b w:val="0"/>
          <w:bCs w:val="0"/>
          <w:color w:val="000000" w:themeColor="text1"/>
          <w:szCs w:val="28"/>
        </w:rPr>
        <w:t>本次采购的</w:t>
      </w:r>
      <w:r>
        <w:rPr>
          <w:rFonts w:hint="eastAsia" w:cs="宋体"/>
          <w:b w:val="0"/>
          <w:bCs w:val="0"/>
          <w:color w:val="000000" w:themeColor="text1"/>
          <w:szCs w:val="28"/>
          <w:lang w:val="en-US"/>
        </w:rPr>
        <w:t>项目</w:t>
      </w:r>
      <w:r>
        <w:rPr>
          <w:rFonts w:hint="eastAsia" w:cs="宋体"/>
          <w:b w:val="0"/>
          <w:bCs w:val="0"/>
          <w:color w:val="000000" w:themeColor="text1"/>
          <w:szCs w:val="28"/>
        </w:rPr>
        <w:t>免费保质期为</w:t>
      </w:r>
      <w:r>
        <w:rPr>
          <w:rFonts w:hint="eastAsia" w:cs="宋体"/>
          <w:b w:val="0"/>
          <w:bCs w:val="0"/>
          <w:color w:val="000000" w:themeColor="text1"/>
          <w:szCs w:val="28"/>
          <w:lang w:val="en-US"/>
        </w:rPr>
        <w:t>2</w:t>
      </w:r>
      <w:r>
        <w:rPr>
          <w:rFonts w:hint="eastAsia" w:cs="宋体"/>
          <w:b w:val="0"/>
          <w:bCs w:val="0"/>
          <w:color w:val="000000" w:themeColor="text1"/>
          <w:szCs w:val="28"/>
        </w:rPr>
        <w:t>年。</w:t>
      </w:r>
    </w:p>
    <w:p>
      <w:pPr>
        <w:spacing w:beforeLines="100" w:afterLines="100" w:line="360" w:lineRule="auto"/>
        <w:jc w:val="center"/>
        <w:rPr>
          <w:rFonts w:ascii="黑体" w:hAnsi="黑体" w:eastAsia="黑体"/>
          <w:sz w:val="28"/>
          <w:szCs w:val="28"/>
        </w:rPr>
      </w:pPr>
      <w:bookmarkStart w:id="6" w:name="_Hlk9866833"/>
      <w:r>
        <w:rPr>
          <w:rFonts w:hint="eastAsia" w:ascii="黑体" w:hAnsi="黑体" w:eastAsia="黑体"/>
          <w:sz w:val="28"/>
          <w:szCs w:val="28"/>
        </w:rPr>
        <w:t>八、日程安排和联系方式</w:t>
      </w:r>
    </w:p>
    <w:p>
      <w:pPr>
        <w:spacing w:line="360" w:lineRule="auto"/>
        <w:ind w:firstLine="560" w:firstLineChars="200"/>
        <w:rPr>
          <w:rFonts w:ascii="宋体"/>
          <w:sz w:val="28"/>
          <w:szCs w:val="28"/>
        </w:rPr>
      </w:pPr>
      <w:r>
        <w:rPr>
          <w:rFonts w:ascii="宋体" w:hAnsi="宋体"/>
          <w:sz w:val="28"/>
          <w:szCs w:val="28"/>
        </w:rPr>
        <w:t>1.</w:t>
      </w:r>
      <w:r>
        <w:rPr>
          <w:rFonts w:hint="eastAsia" w:ascii="宋体" w:hAnsi="宋体"/>
          <w:sz w:val="28"/>
          <w:szCs w:val="28"/>
        </w:rPr>
        <w:t>报名时间：招标信息发布后。</w:t>
      </w:r>
    </w:p>
    <w:p>
      <w:pPr>
        <w:spacing w:line="360" w:lineRule="auto"/>
        <w:ind w:firstLine="560" w:firstLineChars="200"/>
        <w:rPr>
          <w:rFonts w:ascii="宋体" w:cs="宋体"/>
          <w:sz w:val="28"/>
          <w:szCs w:val="28"/>
        </w:rPr>
      </w:pPr>
      <w:r>
        <w:rPr>
          <w:rFonts w:ascii="宋体" w:hAnsi="宋体"/>
          <w:sz w:val="28"/>
          <w:szCs w:val="28"/>
        </w:rPr>
        <w:t>2.</w:t>
      </w:r>
      <w:r>
        <w:rPr>
          <w:rFonts w:hint="eastAsia" w:ascii="宋体" w:hAnsi="宋体"/>
          <w:sz w:val="28"/>
          <w:szCs w:val="28"/>
        </w:rPr>
        <w:t>领取招标文件：</w:t>
      </w:r>
      <w:r>
        <w:rPr>
          <w:rFonts w:hint="eastAsia" w:ascii="宋体" w:hAnsi="宋体"/>
          <w:sz w:val="28"/>
          <w:szCs w:val="28"/>
          <w:u w:val="single"/>
        </w:rPr>
        <w:t>自行下载</w:t>
      </w:r>
      <w:r>
        <w:rPr>
          <w:rFonts w:hint="eastAsia" w:ascii="宋体" w:hAnsi="宋体" w:cs="宋体"/>
          <w:kern w:val="0"/>
          <w:sz w:val="28"/>
          <w:szCs w:val="28"/>
        </w:rPr>
        <w:t>。</w:t>
      </w:r>
    </w:p>
    <w:p>
      <w:pPr>
        <w:spacing w:line="360" w:lineRule="auto"/>
        <w:ind w:firstLine="560" w:firstLineChars="200"/>
        <w:rPr>
          <w:rFonts w:ascii="宋体"/>
          <w:sz w:val="28"/>
          <w:szCs w:val="28"/>
        </w:rPr>
      </w:pPr>
      <w:r>
        <w:rPr>
          <w:rFonts w:ascii="宋体" w:hAnsi="宋体"/>
          <w:sz w:val="28"/>
          <w:szCs w:val="28"/>
        </w:rPr>
        <w:t>3.</w:t>
      </w:r>
      <w:r>
        <w:rPr>
          <w:rFonts w:hint="eastAsia" w:ascii="宋体" w:hAnsi="宋体"/>
          <w:sz w:val="28"/>
          <w:szCs w:val="28"/>
        </w:rPr>
        <w:t>答疑时间</w:t>
      </w:r>
    </w:p>
    <w:p>
      <w:pPr>
        <w:spacing w:line="360" w:lineRule="auto"/>
        <w:rPr>
          <w:rFonts w:ascii="宋体" w:hAnsi="宋体"/>
          <w:sz w:val="28"/>
          <w:szCs w:val="28"/>
        </w:rPr>
      </w:pPr>
      <w:r>
        <w:rPr>
          <w:rFonts w:ascii="宋体" w:hAnsi="宋体"/>
          <w:sz w:val="28"/>
          <w:szCs w:val="28"/>
        </w:rPr>
        <w:t xml:space="preserve">   </w:t>
      </w:r>
      <w:r>
        <w:rPr>
          <w:rFonts w:hint="eastAsia" w:ascii="宋体" w:hAnsi="宋体"/>
          <w:sz w:val="28"/>
          <w:szCs w:val="28"/>
        </w:rPr>
        <w:t>（</w:t>
      </w:r>
      <w:r>
        <w:rPr>
          <w:rFonts w:ascii="宋体" w:hAnsi="宋体"/>
          <w:sz w:val="28"/>
          <w:szCs w:val="28"/>
        </w:rPr>
        <w:t>1</w:t>
      </w:r>
      <w:r>
        <w:rPr>
          <w:rFonts w:hint="eastAsia" w:ascii="宋体" w:hAnsi="宋体"/>
          <w:sz w:val="28"/>
          <w:szCs w:val="28"/>
        </w:rPr>
        <w:t>）投标人如有疑问，请在</w:t>
      </w:r>
      <w:r>
        <w:rPr>
          <w:rFonts w:ascii="宋体" w:hAnsi="宋体"/>
          <w:sz w:val="28"/>
          <w:szCs w:val="28"/>
        </w:rPr>
        <w:t>2</w:t>
      </w:r>
      <w:r>
        <w:rPr>
          <w:rFonts w:ascii="宋体" w:hAnsi="宋体"/>
          <w:sz w:val="28"/>
          <w:szCs w:val="28"/>
          <w:highlight w:val="none"/>
        </w:rPr>
        <w:t>0</w:t>
      </w:r>
      <w:r>
        <w:rPr>
          <w:rFonts w:hint="eastAsia" w:ascii="宋体" w:hAnsi="宋体"/>
          <w:sz w:val="28"/>
          <w:szCs w:val="28"/>
          <w:highlight w:val="none"/>
        </w:rPr>
        <w:t>20年</w:t>
      </w:r>
      <w:r>
        <w:rPr>
          <w:rFonts w:hint="eastAsia" w:ascii="宋体" w:hAnsi="宋体"/>
          <w:sz w:val="28"/>
          <w:szCs w:val="28"/>
          <w:highlight w:val="none"/>
          <w:lang w:val="en-US" w:eastAsia="zh-CN"/>
        </w:rPr>
        <w:t>9</w:t>
      </w:r>
      <w:r>
        <w:rPr>
          <w:rFonts w:hint="eastAsia" w:ascii="宋体" w:hAnsi="宋体"/>
          <w:sz w:val="28"/>
          <w:szCs w:val="28"/>
          <w:highlight w:val="none"/>
        </w:rPr>
        <w:t>月</w:t>
      </w:r>
      <w:r>
        <w:rPr>
          <w:rFonts w:hint="eastAsia" w:ascii="宋体" w:hAnsi="宋体"/>
          <w:sz w:val="28"/>
          <w:szCs w:val="28"/>
          <w:highlight w:val="none"/>
          <w:lang w:val="en-US" w:eastAsia="zh-CN"/>
        </w:rPr>
        <w:t>29</w:t>
      </w:r>
      <w:r>
        <w:rPr>
          <w:rFonts w:hint="eastAsia" w:ascii="宋体" w:hAnsi="宋体"/>
          <w:sz w:val="28"/>
          <w:szCs w:val="28"/>
          <w:highlight w:val="none"/>
        </w:rPr>
        <w:t>日</w:t>
      </w:r>
      <w:r>
        <w:rPr>
          <w:rFonts w:ascii="宋体" w:hAnsi="宋体"/>
          <w:sz w:val="28"/>
          <w:szCs w:val="28"/>
          <w:highlight w:val="none"/>
        </w:rPr>
        <w:t>11</w:t>
      </w:r>
      <w:r>
        <w:rPr>
          <w:rFonts w:hint="eastAsia" w:ascii="宋体" w:hAnsi="宋体"/>
          <w:sz w:val="28"/>
          <w:szCs w:val="28"/>
          <w:highlight w:val="none"/>
        </w:rPr>
        <w:t>：</w:t>
      </w:r>
      <w:r>
        <w:rPr>
          <w:rFonts w:ascii="宋体" w:hAnsi="宋体"/>
          <w:sz w:val="28"/>
          <w:szCs w:val="28"/>
        </w:rPr>
        <w:t>3</w:t>
      </w:r>
      <w:r>
        <w:fldChar w:fldCharType="begin"/>
      </w:r>
      <w:r>
        <w:instrText xml:space="preserve"> HYPERLINK "mailto:0前将问题发至2483567991@qq.com" </w:instrText>
      </w:r>
      <w:r>
        <w:fldChar w:fldCharType="separate"/>
      </w:r>
      <w:r>
        <w:rPr>
          <w:rFonts w:ascii="宋体" w:hAnsi="宋体"/>
          <w:sz w:val="28"/>
          <w:szCs w:val="28"/>
        </w:rPr>
        <w:t>0</w:t>
      </w:r>
      <w:r>
        <w:rPr>
          <w:rFonts w:hint="eastAsia" w:ascii="宋体" w:hAnsi="宋体"/>
          <w:sz w:val="28"/>
          <w:szCs w:val="28"/>
        </w:rPr>
        <w:t>前将问题发至</w:t>
      </w:r>
      <w:r>
        <w:rPr>
          <w:rFonts w:ascii="宋体" w:hAnsi="宋体"/>
          <w:sz w:val="28"/>
          <w:szCs w:val="28"/>
        </w:rPr>
        <w:t>2483567991@qq.com</w:t>
      </w:r>
      <w:r>
        <w:rPr>
          <w:rFonts w:ascii="宋体" w:hAnsi="宋体"/>
          <w:sz w:val="28"/>
          <w:szCs w:val="28"/>
        </w:rPr>
        <w:fldChar w:fldCharType="end"/>
      </w:r>
      <w:r>
        <w:rPr>
          <w:rFonts w:hint="eastAsia" w:ascii="宋体" w:hAnsi="宋体"/>
          <w:sz w:val="28"/>
          <w:szCs w:val="28"/>
        </w:rPr>
        <w:t>。</w:t>
      </w:r>
    </w:p>
    <w:p>
      <w:pPr>
        <w:spacing w:line="360" w:lineRule="auto"/>
        <w:rPr>
          <w:rFonts w:ascii="宋体"/>
          <w:sz w:val="28"/>
          <w:szCs w:val="28"/>
        </w:rPr>
      </w:pPr>
      <w:r>
        <w:rPr>
          <w:rFonts w:ascii="宋体" w:hAnsi="宋体"/>
          <w:sz w:val="28"/>
          <w:szCs w:val="28"/>
        </w:rPr>
        <w:t xml:space="preserve">   </w:t>
      </w:r>
      <w:r>
        <w:rPr>
          <w:rFonts w:hint="eastAsia" w:ascii="宋体" w:hAnsi="宋体"/>
          <w:sz w:val="28"/>
          <w:szCs w:val="28"/>
        </w:rPr>
        <w:t>（</w:t>
      </w:r>
      <w:r>
        <w:rPr>
          <w:rFonts w:ascii="宋体" w:hAnsi="宋体"/>
          <w:sz w:val="28"/>
          <w:szCs w:val="28"/>
        </w:rPr>
        <w:t>2</w:t>
      </w:r>
      <w:r>
        <w:rPr>
          <w:rFonts w:hint="eastAsia" w:ascii="宋体" w:hAnsi="宋体"/>
          <w:sz w:val="28"/>
          <w:szCs w:val="28"/>
        </w:rPr>
        <w:t>）我校项目归口管理部门将通过招标办向各投标人统一进行书面（或电子版）答疑回复。</w:t>
      </w:r>
    </w:p>
    <w:p>
      <w:pPr>
        <w:widowControl/>
        <w:spacing w:line="360" w:lineRule="auto"/>
        <w:ind w:firstLine="548" w:firstLineChars="196"/>
        <w:rPr>
          <w:rFonts w:ascii="宋体"/>
          <w:sz w:val="28"/>
          <w:szCs w:val="28"/>
        </w:rPr>
      </w:pPr>
      <w:r>
        <w:rPr>
          <w:rFonts w:ascii="宋体" w:hAnsi="宋体"/>
          <w:sz w:val="28"/>
          <w:szCs w:val="28"/>
        </w:rPr>
        <w:t>4.</w:t>
      </w:r>
      <w:r>
        <w:rPr>
          <w:rFonts w:hint="eastAsia" w:ascii="宋体" w:hAnsi="宋体"/>
          <w:sz w:val="28"/>
          <w:szCs w:val="28"/>
        </w:rPr>
        <w:t>投标文件送达</w:t>
      </w:r>
    </w:p>
    <w:p>
      <w:pPr>
        <w:widowControl/>
        <w:spacing w:line="360" w:lineRule="auto"/>
        <w:ind w:firstLine="560" w:firstLineChars="200"/>
        <w:rPr>
          <w:rFonts w:ascii="宋体" w:hAnsi="宋体"/>
          <w:color w:val="000000"/>
          <w:sz w:val="28"/>
          <w:szCs w:val="28"/>
        </w:rPr>
      </w:pPr>
      <w:r>
        <w:rPr>
          <w:rFonts w:hint="eastAsia" w:ascii="宋体" w:hAnsi="宋体"/>
          <w:color w:val="000000"/>
          <w:sz w:val="28"/>
          <w:szCs w:val="28"/>
        </w:rPr>
        <w:t>（1）投标送达方式：</w:t>
      </w:r>
      <w:r>
        <w:rPr>
          <w:rFonts w:hint="eastAsia" w:ascii="宋体" w:hAnsi="宋体"/>
          <w:b/>
          <w:color w:val="000000"/>
          <w:sz w:val="28"/>
          <w:szCs w:val="28"/>
        </w:rPr>
        <w:t>只接受以邮寄方式送达，并请务必用顺丰快递</w:t>
      </w:r>
      <w:r>
        <w:rPr>
          <w:rFonts w:hint="eastAsia" w:ascii="宋体" w:hAnsi="宋体"/>
          <w:color w:val="000000"/>
          <w:sz w:val="28"/>
          <w:szCs w:val="28"/>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color w:val="000000"/>
          <w:sz w:val="28"/>
          <w:szCs w:val="28"/>
        </w:rPr>
        <w:t>（若后期有调整，会将调整信息发送到各投标单位报名邮箱，请各投标单位在投标前密切关注报名邮箱）</w:t>
      </w:r>
    </w:p>
    <w:p>
      <w:pPr>
        <w:widowControl/>
        <w:spacing w:line="360" w:lineRule="auto"/>
        <w:ind w:firstLine="560" w:firstLineChars="200"/>
        <w:rPr>
          <w:rFonts w:ascii="宋体" w:hAnsi="宋体"/>
          <w:color w:val="000000"/>
          <w:sz w:val="28"/>
          <w:szCs w:val="28"/>
        </w:rPr>
      </w:pPr>
      <w:r>
        <w:rPr>
          <w:rFonts w:hint="eastAsia" w:ascii="宋体" w:hAnsi="宋体"/>
          <w:color w:val="000000"/>
          <w:sz w:val="28"/>
          <w:szCs w:val="28"/>
        </w:rPr>
        <w:t>（2）投标截止时间：2020年</w:t>
      </w:r>
      <w:r>
        <w:rPr>
          <w:rFonts w:hint="eastAsia" w:ascii="宋体" w:hAnsi="宋体"/>
          <w:color w:val="000000"/>
          <w:sz w:val="28"/>
          <w:szCs w:val="28"/>
          <w:highlight w:val="none"/>
          <w:lang w:val="en-US" w:eastAsia="zh-CN"/>
        </w:rPr>
        <w:t>10</w:t>
      </w:r>
      <w:r>
        <w:rPr>
          <w:rFonts w:hint="eastAsia" w:ascii="宋体" w:hAnsi="宋体"/>
          <w:color w:val="000000"/>
          <w:sz w:val="28"/>
          <w:szCs w:val="28"/>
          <w:highlight w:val="none"/>
        </w:rPr>
        <w:t>月</w:t>
      </w:r>
      <w:r>
        <w:rPr>
          <w:rFonts w:hint="eastAsia" w:ascii="宋体" w:hAnsi="宋体"/>
          <w:sz w:val="28"/>
          <w:szCs w:val="28"/>
          <w:highlight w:val="none"/>
          <w:lang w:val="en-US" w:eastAsia="zh-CN"/>
        </w:rPr>
        <w:t>13</w:t>
      </w:r>
      <w:r>
        <w:rPr>
          <w:rFonts w:hint="eastAsia" w:ascii="宋体" w:hAnsi="宋体"/>
          <w:color w:val="000000"/>
          <w:sz w:val="28"/>
          <w:szCs w:val="28"/>
          <w:highlight w:val="none"/>
        </w:rPr>
        <w:t>日</w:t>
      </w:r>
      <w:r>
        <w:rPr>
          <w:rFonts w:hint="eastAsia" w:ascii="宋体" w:hAnsi="宋体"/>
          <w:color w:val="000000"/>
          <w:sz w:val="28"/>
          <w:szCs w:val="28"/>
          <w:highlight w:val="none"/>
          <w:lang w:val="en-US" w:eastAsia="zh-CN"/>
        </w:rPr>
        <w:t>13</w:t>
      </w:r>
      <w:r>
        <w:rPr>
          <w:rFonts w:hint="eastAsia" w:ascii="宋体" w:hAnsi="宋体"/>
          <w:color w:val="000000"/>
          <w:sz w:val="28"/>
          <w:szCs w:val="28"/>
        </w:rPr>
        <w:t>：00。</w:t>
      </w:r>
    </w:p>
    <w:p>
      <w:pPr>
        <w:widowControl/>
        <w:adjustRightInd w:val="0"/>
        <w:snapToGrid w:val="0"/>
        <w:spacing w:line="360" w:lineRule="auto"/>
        <w:ind w:firstLine="560" w:firstLineChars="200"/>
        <w:rPr>
          <w:rFonts w:ascii="宋体" w:hAnsi="宋体"/>
          <w:color w:val="000000"/>
          <w:sz w:val="28"/>
          <w:szCs w:val="28"/>
        </w:rPr>
      </w:pPr>
      <w:r>
        <w:rPr>
          <w:rFonts w:hint="eastAsia" w:ascii="宋体" w:hAnsi="宋体"/>
          <w:color w:val="000000"/>
          <w:sz w:val="28"/>
          <w:szCs w:val="28"/>
        </w:rPr>
        <w:t>（3）邮寄送达地点：</w:t>
      </w:r>
      <w:r>
        <w:rPr>
          <w:rFonts w:hint="eastAsia" w:ascii="宋体" w:hAnsi="宋体" w:cs="宋体"/>
          <w:color w:val="000000"/>
          <w:kern w:val="0"/>
          <w:sz w:val="28"/>
          <w:szCs w:val="28"/>
        </w:rPr>
        <w:t>南京市浦口区宁六路219号</w:t>
      </w:r>
      <w:r>
        <w:rPr>
          <w:rFonts w:ascii="宋体" w:hAnsi="宋体" w:cs="宋体"/>
          <w:color w:val="000000"/>
          <w:kern w:val="0"/>
          <w:sz w:val="28"/>
          <w:szCs w:val="28"/>
        </w:rPr>
        <w:t>南京信息工程大学</w:t>
      </w:r>
      <w:r>
        <w:rPr>
          <w:rFonts w:hint="eastAsia" w:ascii="宋体" w:hAnsi="宋体"/>
          <w:color w:val="000000"/>
          <w:sz w:val="28"/>
          <w:szCs w:val="28"/>
        </w:rPr>
        <w:t>东苑大学生创业中心3号楼（体育馆北面三层小楼）210室</w:t>
      </w:r>
      <w:r>
        <w:rPr>
          <w:rFonts w:hint="eastAsia" w:ascii="宋体" w:hAnsi="宋体" w:cs="宋体"/>
          <w:color w:val="000000"/>
          <w:kern w:val="0"/>
          <w:sz w:val="28"/>
          <w:szCs w:val="28"/>
        </w:rPr>
        <w:t>招标办。联系人：马老师、罗老师；联系电话：025-58731441。</w:t>
      </w:r>
    </w:p>
    <w:p>
      <w:pPr>
        <w:widowControl/>
        <w:spacing w:line="360" w:lineRule="auto"/>
        <w:rPr>
          <w:rFonts w:ascii="宋体"/>
          <w:sz w:val="28"/>
          <w:szCs w:val="28"/>
        </w:rPr>
      </w:pPr>
      <w:r>
        <w:rPr>
          <w:rFonts w:ascii="宋体" w:hAnsi="宋体"/>
          <w:sz w:val="28"/>
          <w:szCs w:val="28"/>
        </w:rPr>
        <w:t>5.</w:t>
      </w:r>
      <w:r>
        <w:rPr>
          <w:rFonts w:hint="eastAsia" w:ascii="宋体" w:hAnsi="宋体"/>
          <w:sz w:val="28"/>
          <w:szCs w:val="28"/>
        </w:rPr>
        <w:t>开标和唱标</w:t>
      </w:r>
    </w:p>
    <w:p>
      <w:pPr>
        <w:widowControl/>
        <w:spacing w:line="360" w:lineRule="auto"/>
        <w:ind w:firstLine="560" w:firstLineChars="200"/>
        <w:rPr>
          <w:rFonts w:ascii="宋体" w:hAnsi="宋体"/>
          <w:color w:val="000000"/>
          <w:sz w:val="28"/>
          <w:szCs w:val="28"/>
        </w:rPr>
      </w:pPr>
      <w:r>
        <w:rPr>
          <w:rFonts w:hint="eastAsia" w:ascii="宋体" w:hAnsi="宋体"/>
          <w:color w:val="000000"/>
          <w:sz w:val="28"/>
          <w:szCs w:val="28"/>
        </w:rPr>
        <w:t>（1）开标、唱标：2020</w:t>
      </w:r>
      <w:r>
        <w:rPr>
          <w:rFonts w:hint="eastAsia" w:ascii="宋体" w:hAnsi="宋体"/>
          <w:color w:val="000000"/>
          <w:sz w:val="28"/>
          <w:szCs w:val="28"/>
          <w:highlight w:val="none"/>
        </w:rPr>
        <w:t>年</w:t>
      </w:r>
      <w:r>
        <w:rPr>
          <w:rFonts w:hint="eastAsia" w:ascii="宋体" w:hAnsi="宋体"/>
          <w:color w:val="000000"/>
          <w:sz w:val="28"/>
          <w:szCs w:val="28"/>
          <w:highlight w:val="none"/>
          <w:lang w:val="en-US" w:eastAsia="zh-CN"/>
        </w:rPr>
        <w:t>10</w:t>
      </w:r>
      <w:r>
        <w:rPr>
          <w:rFonts w:hint="eastAsia" w:ascii="宋体" w:hAnsi="宋体"/>
          <w:color w:val="000000"/>
          <w:sz w:val="28"/>
          <w:szCs w:val="28"/>
          <w:highlight w:val="none"/>
        </w:rPr>
        <w:t>月</w:t>
      </w:r>
      <w:r>
        <w:rPr>
          <w:rFonts w:hint="eastAsia" w:ascii="宋体" w:hAnsi="宋体"/>
          <w:sz w:val="28"/>
          <w:szCs w:val="28"/>
          <w:highlight w:val="none"/>
          <w:lang w:val="en-US" w:eastAsia="zh-CN"/>
        </w:rPr>
        <w:t>13</w:t>
      </w:r>
      <w:r>
        <w:rPr>
          <w:rFonts w:hint="eastAsia" w:ascii="宋体" w:hAnsi="宋体"/>
          <w:color w:val="000000"/>
          <w:sz w:val="28"/>
          <w:szCs w:val="28"/>
          <w:highlight w:val="none"/>
        </w:rPr>
        <w:t>日</w:t>
      </w:r>
      <w:r>
        <w:rPr>
          <w:rFonts w:hint="eastAsia" w:ascii="宋体" w:hAnsi="宋体"/>
          <w:color w:val="000000"/>
          <w:sz w:val="28"/>
          <w:szCs w:val="28"/>
          <w:highlight w:val="none"/>
          <w:lang w:val="en-US" w:eastAsia="zh-CN"/>
        </w:rPr>
        <w:t>13</w:t>
      </w:r>
      <w:r>
        <w:rPr>
          <w:rFonts w:hint="eastAsia" w:ascii="宋体" w:hAnsi="宋体"/>
          <w:color w:val="000000"/>
          <w:sz w:val="28"/>
          <w:szCs w:val="28"/>
          <w:highlight w:val="none"/>
        </w:rPr>
        <w:t>：00；(不安</w:t>
      </w:r>
      <w:r>
        <w:rPr>
          <w:rFonts w:hint="eastAsia" w:ascii="宋体" w:hAnsi="宋体"/>
          <w:color w:val="000000"/>
          <w:sz w:val="28"/>
          <w:szCs w:val="28"/>
        </w:rPr>
        <w:t>排公开开标、唱标，由招标办工作人员在我校纪检监察部门监督见证下进行，开标、唱标工作全程视频监控并录像)。</w:t>
      </w:r>
    </w:p>
    <w:p>
      <w:pPr>
        <w:snapToGrid w:val="0"/>
        <w:spacing w:line="360" w:lineRule="auto"/>
        <w:ind w:firstLine="560" w:firstLineChars="200"/>
        <w:rPr>
          <w:rFonts w:ascii="宋体" w:hAnsi="宋体"/>
          <w:color w:val="000000"/>
          <w:sz w:val="28"/>
          <w:szCs w:val="28"/>
        </w:rPr>
      </w:pPr>
      <w:r>
        <w:rPr>
          <w:rFonts w:hint="eastAsia" w:ascii="宋体" w:hAnsi="宋体"/>
          <w:color w:val="000000"/>
          <w:sz w:val="28"/>
          <w:szCs w:val="28"/>
        </w:rPr>
        <w:t>（2）唱标和开标地点：南京信息工程大学东苑大学生创业中心</w:t>
      </w:r>
      <w:r>
        <w:rPr>
          <w:rFonts w:ascii="宋体" w:hAnsi="宋体"/>
          <w:color w:val="000000"/>
          <w:sz w:val="28"/>
          <w:szCs w:val="28"/>
        </w:rPr>
        <w:t>3</w:t>
      </w:r>
      <w:r>
        <w:rPr>
          <w:rFonts w:hint="eastAsia" w:ascii="宋体" w:hAnsi="宋体"/>
          <w:color w:val="000000"/>
          <w:sz w:val="28"/>
          <w:szCs w:val="28"/>
        </w:rPr>
        <w:t>号楼（体育馆北面三层小楼）</w:t>
      </w:r>
      <w:r>
        <w:rPr>
          <w:rFonts w:ascii="宋体" w:hAnsi="宋体"/>
          <w:color w:val="000000"/>
          <w:sz w:val="28"/>
          <w:szCs w:val="28"/>
        </w:rPr>
        <w:t>210</w:t>
      </w:r>
      <w:r>
        <w:rPr>
          <w:rFonts w:hint="eastAsia" w:ascii="宋体" w:hAnsi="宋体"/>
          <w:color w:val="000000"/>
          <w:sz w:val="28"/>
          <w:szCs w:val="28"/>
        </w:rPr>
        <w:t>室。</w:t>
      </w:r>
    </w:p>
    <w:p>
      <w:pPr>
        <w:spacing w:line="360" w:lineRule="auto"/>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相关单位联系人及电话</w:t>
      </w:r>
    </w:p>
    <w:p>
      <w:pPr>
        <w:spacing w:line="360" w:lineRule="auto"/>
        <w:rPr>
          <w:rFonts w:ascii="宋体" w:hAnsi="宋体"/>
          <w:sz w:val="28"/>
          <w:szCs w:val="28"/>
        </w:rPr>
      </w:pPr>
      <w:r>
        <w:rPr>
          <w:rFonts w:ascii="宋体" w:hAnsi="宋体"/>
          <w:sz w:val="28"/>
          <w:szCs w:val="28"/>
        </w:rPr>
        <w:t xml:space="preserve">   </w:t>
      </w:r>
      <w:r>
        <w:rPr>
          <w:rFonts w:hint="eastAsia" w:ascii="宋体" w:hAnsi="宋体"/>
          <w:sz w:val="28"/>
          <w:szCs w:val="28"/>
        </w:rPr>
        <w:t>（</w:t>
      </w:r>
      <w:r>
        <w:rPr>
          <w:rFonts w:ascii="宋体" w:hAnsi="宋体"/>
          <w:sz w:val="28"/>
          <w:szCs w:val="28"/>
        </w:rPr>
        <w:t>1</w:t>
      </w:r>
      <w:r>
        <w:rPr>
          <w:rFonts w:hint="eastAsia" w:ascii="宋体" w:hAnsi="宋体"/>
          <w:sz w:val="28"/>
          <w:szCs w:val="28"/>
        </w:rPr>
        <w:t>）财务处招标科（招投标管理业务单位）：联系电话：</w:t>
      </w:r>
      <w:r>
        <w:rPr>
          <w:rFonts w:ascii="宋体" w:hAnsi="宋体"/>
          <w:sz w:val="28"/>
          <w:szCs w:val="28"/>
        </w:rPr>
        <w:t>025-58731441</w:t>
      </w:r>
      <w:r>
        <w:rPr>
          <w:rFonts w:hint="eastAsia" w:ascii="宋体" w:hAnsi="宋体"/>
          <w:sz w:val="28"/>
          <w:szCs w:val="28"/>
        </w:rPr>
        <w:t>，联系人：马老师、罗老师</w:t>
      </w:r>
      <w:r>
        <w:rPr>
          <w:rFonts w:ascii="宋体" w:hAnsi="宋体"/>
          <w:sz w:val="28"/>
          <w:szCs w:val="28"/>
        </w:rPr>
        <w:t>。</w:t>
      </w:r>
    </w:p>
    <w:p>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rPr>
        <w:t>（</w:t>
      </w:r>
      <w:r>
        <w:rPr>
          <w:rFonts w:ascii="宋体" w:hAnsi="宋体"/>
          <w:sz w:val="28"/>
          <w:szCs w:val="28"/>
        </w:rPr>
        <w:t>2</w:t>
      </w:r>
      <w:r>
        <w:rPr>
          <w:rFonts w:hint="eastAsia" w:ascii="宋体" w:hAnsi="宋体"/>
          <w:sz w:val="28"/>
          <w:szCs w:val="28"/>
        </w:rPr>
        <w:t>）</w:t>
      </w:r>
      <w:bookmarkEnd w:id="6"/>
      <w:r>
        <w:rPr>
          <w:rFonts w:hint="eastAsia" w:ascii="宋体" w:hAnsi="宋体"/>
          <w:sz w:val="28"/>
          <w:szCs w:val="28"/>
        </w:rPr>
        <w:t>用户单位（滨江学院）：联系</w:t>
      </w:r>
      <w:r>
        <w:rPr>
          <w:rFonts w:hint="eastAsia" w:ascii="宋体" w:hAnsi="宋体"/>
          <w:sz w:val="28"/>
          <w:szCs w:val="28"/>
          <w:highlight w:val="none"/>
        </w:rPr>
        <w:t>电话：</w:t>
      </w:r>
      <w:r>
        <w:rPr>
          <w:rFonts w:hint="eastAsia" w:ascii="宋体" w:hAnsi="宋体"/>
          <w:sz w:val="28"/>
          <w:szCs w:val="28"/>
          <w:highlight w:val="none"/>
          <w:lang w:val="en-US" w:eastAsia="zh-CN"/>
        </w:rPr>
        <w:t>17701595373</w:t>
      </w:r>
      <w:r>
        <w:rPr>
          <w:rFonts w:hint="eastAsia" w:ascii="宋体" w:hAnsi="宋体"/>
          <w:sz w:val="28"/>
          <w:szCs w:val="28"/>
          <w:highlight w:val="none"/>
        </w:rPr>
        <w:t xml:space="preserve"> ，联系人：</w:t>
      </w:r>
      <w:r>
        <w:rPr>
          <w:rFonts w:hint="eastAsia" w:ascii="宋体" w:hAnsi="宋体"/>
          <w:sz w:val="28"/>
          <w:szCs w:val="28"/>
          <w:highlight w:val="none"/>
          <w:lang w:val="en-US" w:eastAsia="zh-CN"/>
        </w:rPr>
        <w:t>陈老师</w:t>
      </w:r>
      <w:r>
        <w:rPr>
          <w:rFonts w:hint="eastAsia" w:ascii="宋体" w:hAnsi="宋体"/>
          <w:sz w:val="28"/>
          <w:szCs w:val="28"/>
          <w:highlight w:val="none"/>
        </w:rPr>
        <w:t>。</w:t>
      </w:r>
    </w:p>
    <w:p>
      <w:pPr>
        <w:adjustRightInd w:val="0"/>
        <w:snapToGrid w:val="0"/>
        <w:spacing w:line="360" w:lineRule="auto"/>
        <w:ind w:firstLine="560" w:firstLineChars="200"/>
        <w:rPr>
          <w:rFonts w:ascii="仿宋" w:hAnsi="仿宋" w:eastAsia="仿宋" w:cs="仿宋"/>
          <w:sz w:val="28"/>
          <w:szCs w:val="28"/>
        </w:rPr>
      </w:pP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附件1：招标项目设备名称、数量、主要技术要求及其他要求（电子版）</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附件2：投标函格式</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附件3：服务要求</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附件4：评标办法</w:t>
      </w:r>
    </w:p>
    <w:p>
      <w:pPr>
        <w:adjustRightInd w:val="0"/>
        <w:snapToGrid w:val="0"/>
        <w:spacing w:line="360" w:lineRule="auto"/>
        <w:ind w:firstLine="562" w:firstLineChars="200"/>
        <w:rPr>
          <w:rFonts w:ascii="宋体" w:hAnsi="宋体"/>
          <w:b/>
          <w:bCs/>
          <w:sz w:val="28"/>
          <w:szCs w:val="28"/>
        </w:rPr>
      </w:pPr>
    </w:p>
    <w:p>
      <w:pPr>
        <w:adjustRightInd w:val="0"/>
        <w:snapToGrid w:val="0"/>
        <w:spacing w:line="360" w:lineRule="auto"/>
        <w:ind w:firstLine="5060" w:firstLineChars="1800"/>
        <w:rPr>
          <w:rFonts w:ascii="宋体" w:hAnsi="宋体"/>
          <w:b/>
          <w:bCs/>
          <w:sz w:val="28"/>
          <w:szCs w:val="28"/>
        </w:rPr>
      </w:pPr>
      <w:bookmarkStart w:id="7" w:name="_Hlk9866962"/>
      <w:r>
        <w:rPr>
          <w:rFonts w:hint="eastAsia" w:ascii="宋体" w:hAnsi="宋体"/>
          <w:b/>
          <w:bCs/>
          <w:sz w:val="28"/>
          <w:szCs w:val="28"/>
        </w:rPr>
        <w:t>南京信息工程大学招标办</w:t>
      </w:r>
    </w:p>
    <w:p>
      <w:pPr>
        <w:adjustRightInd w:val="0"/>
        <w:snapToGrid w:val="0"/>
        <w:spacing w:line="360" w:lineRule="auto"/>
        <w:ind w:firstLine="5341" w:firstLineChars="1900"/>
        <w:rPr>
          <w:sz w:val="28"/>
          <w:szCs w:val="28"/>
        </w:rPr>
      </w:pPr>
      <w:r>
        <w:rPr>
          <w:rFonts w:hint="eastAsia" w:ascii="宋体" w:hAnsi="宋体"/>
          <w:b/>
          <w:bCs/>
          <w:sz w:val="28"/>
          <w:szCs w:val="28"/>
        </w:rPr>
        <w:t>2020年</w:t>
      </w:r>
      <w:r>
        <w:rPr>
          <w:rFonts w:hint="eastAsia" w:ascii="宋体" w:hAnsi="宋体"/>
          <w:b/>
          <w:bCs/>
          <w:sz w:val="28"/>
          <w:szCs w:val="28"/>
          <w:lang w:val="en-US" w:eastAsia="zh-CN"/>
        </w:rPr>
        <w:t>9</w:t>
      </w:r>
      <w:r>
        <w:rPr>
          <w:rFonts w:hint="eastAsia" w:ascii="宋体" w:hAnsi="宋体"/>
          <w:b/>
          <w:bCs/>
          <w:sz w:val="28"/>
          <w:szCs w:val="28"/>
        </w:rPr>
        <w:t>月</w:t>
      </w:r>
      <w:r>
        <w:rPr>
          <w:rFonts w:hint="eastAsia" w:ascii="宋体" w:hAnsi="宋体"/>
          <w:b/>
          <w:bCs/>
          <w:sz w:val="28"/>
          <w:szCs w:val="28"/>
          <w:lang w:val="en-US" w:eastAsia="zh-CN"/>
        </w:rPr>
        <w:t>23</w:t>
      </w:r>
      <w:r>
        <w:rPr>
          <w:rFonts w:hint="eastAsia" w:ascii="宋体" w:hAnsi="宋体"/>
          <w:b/>
          <w:bCs/>
          <w:sz w:val="28"/>
          <w:szCs w:val="28"/>
        </w:rPr>
        <w:t>日</w:t>
      </w:r>
      <w:bookmarkEnd w:id="7"/>
      <w:r>
        <w:rPr>
          <w:rFonts w:hint="eastAsia" w:ascii="宋体" w:hAnsi="宋体"/>
          <w:b/>
          <w:bCs/>
          <w:sz w:val="28"/>
          <w:szCs w:val="28"/>
        </w:rPr>
        <w:br w:type="page"/>
      </w:r>
      <w:r>
        <w:rPr>
          <w:sz w:val="28"/>
          <w:szCs w:val="28"/>
        </w:rPr>
        <w:t>附件1：</w:t>
      </w:r>
    </w:p>
    <w:p>
      <w:pPr>
        <w:spacing w:line="360" w:lineRule="auto"/>
        <w:ind w:left="180"/>
        <w:jc w:val="center"/>
        <w:rPr>
          <w:b/>
          <w:sz w:val="28"/>
          <w:szCs w:val="28"/>
        </w:rPr>
      </w:pPr>
      <w:r>
        <w:rPr>
          <w:b/>
          <w:sz w:val="28"/>
          <w:szCs w:val="28"/>
        </w:rPr>
        <w:t>招标项目设备名称、数量、主要技术要求及其他要求</w:t>
      </w:r>
    </w:p>
    <w:p>
      <w:r>
        <w:rPr>
          <w:rFonts w:hint="eastAsia"/>
        </w:rPr>
        <w:t>本项目核心产品为工作站</w:t>
      </w:r>
    </w:p>
    <w:tbl>
      <w:tblPr>
        <w:tblStyle w:val="17"/>
        <w:tblW w:w="5000" w:type="pct"/>
        <w:tblInd w:w="0" w:type="dxa"/>
        <w:tblLayout w:type="autofit"/>
        <w:tblCellMar>
          <w:top w:w="0" w:type="dxa"/>
          <w:left w:w="108" w:type="dxa"/>
          <w:bottom w:w="0" w:type="dxa"/>
          <w:right w:w="108" w:type="dxa"/>
        </w:tblCellMar>
      </w:tblPr>
      <w:tblGrid>
        <w:gridCol w:w="650"/>
        <w:gridCol w:w="1150"/>
        <w:gridCol w:w="6526"/>
        <w:gridCol w:w="651"/>
        <w:gridCol w:w="651"/>
      </w:tblGrid>
      <w:tr>
        <w:tblPrEx>
          <w:tblCellMar>
            <w:top w:w="0" w:type="dxa"/>
            <w:left w:w="108" w:type="dxa"/>
            <w:bottom w:w="0" w:type="dxa"/>
            <w:right w:w="108" w:type="dxa"/>
          </w:tblCellMar>
        </w:tblPrEx>
        <w:trPr>
          <w:trHeight w:val="285" w:hRule="atLeast"/>
        </w:trPr>
        <w:tc>
          <w:tcPr>
            <w:tcW w:w="33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序号</w:t>
            </w:r>
          </w:p>
        </w:tc>
        <w:tc>
          <w:tcPr>
            <w:tcW w:w="597" w:type="pct"/>
            <w:tcBorders>
              <w:top w:val="single" w:color="auto" w:sz="4" w:space="0"/>
              <w:left w:val="nil"/>
              <w:bottom w:val="nil"/>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类型</w:t>
            </w:r>
          </w:p>
        </w:tc>
        <w:tc>
          <w:tcPr>
            <w:tcW w:w="3389" w:type="pct"/>
            <w:tcBorders>
              <w:top w:val="single" w:color="auto" w:sz="4" w:space="0"/>
              <w:left w:val="nil"/>
              <w:bottom w:val="nil"/>
              <w:right w:val="single" w:color="auto" w:sz="4" w:space="0"/>
            </w:tcBorders>
            <w:shd w:val="clear" w:color="000000" w:fill="FFFFFF"/>
            <w:noWrap/>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描述</w:t>
            </w:r>
          </w:p>
        </w:tc>
        <w:tc>
          <w:tcPr>
            <w:tcW w:w="338" w:type="pct"/>
            <w:tcBorders>
              <w:top w:val="single" w:color="auto" w:sz="4" w:space="0"/>
              <w:left w:val="nil"/>
              <w:bottom w:val="nil"/>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数量</w:t>
            </w:r>
          </w:p>
        </w:tc>
        <w:tc>
          <w:tcPr>
            <w:tcW w:w="338" w:type="pct"/>
            <w:tcBorders>
              <w:top w:val="single" w:color="auto" w:sz="4" w:space="0"/>
              <w:left w:val="nil"/>
              <w:bottom w:val="nil"/>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单位</w:t>
            </w:r>
          </w:p>
        </w:tc>
      </w:tr>
      <w:tr>
        <w:tblPrEx>
          <w:tblCellMar>
            <w:top w:w="0" w:type="dxa"/>
            <w:left w:w="108" w:type="dxa"/>
            <w:bottom w:w="0" w:type="dxa"/>
            <w:right w:w="108" w:type="dxa"/>
          </w:tblCellMar>
        </w:tblPrEx>
        <w:trPr>
          <w:trHeight w:val="285" w:hRule="atLeast"/>
        </w:trPr>
        <w:tc>
          <w:tcPr>
            <w:tcW w:w="338" w:type="pct"/>
            <w:tcBorders>
              <w:top w:val="nil"/>
              <w:left w:val="single" w:color="auto" w:sz="4" w:space="0"/>
              <w:bottom w:val="single" w:color="auto" w:sz="4" w:space="0"/>
              <w:right w:val="nil"/>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一</w:t>
            </w:r>
          </w:p>
        </w:tc>
        <w:tc>
          <w:tcPr>
            <w:tcW w:w="597"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CG机房</w:t>
            </w:r>
          </w:p>
        </w:tc>
        <w:tc>
          <w:tcPr>
            <w:tcW w:w="3389" w:type="pct"/>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338" w:type="pct"/>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338" w:type="pct"/>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　</w:t>
            </w:r>
          </w:p>
        </w:tc>
      </w:tr>
      <w:tr>
        <w:tblPrEx>
          <w:tblCellMar>
            <w:top w:w="0" w:type="dxa"/>
            <w:left w:w="108" w:type="dxa"/>
            <w:bottom w:w="0" w:type="dxa"/>
            <w:right w:w="108" w:type="dxa"/>
          </w:tblCellMar>
        </w:tblPrEx>
        <w:trPr>
          <w:trHeight w:val="1035"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59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工作站</w:t>
            </w:r>
          </w:p>
        </w:tc>
        <w:tc>
          <w:tcPr>
            <w:tcW w:w="338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芯片组Intel B365，CPUIntel 酷睿I7 9700F （8核8线程 4.7主频）显卡GeForce RTX 2060 SUPER 8G内存16GB DDR4 2666Mhz （可扩展至32G），硬盘256GB NVME M.2 SSD+1TB 3.5inch HDD电源，额定350W 80Plus铜牌认证电源I/O接口前置：2*USB3.0 / 2*USB2.0 / 1*3.5mm麦克风输入 / 1*3.5mm耳机输出；后置：2*USB3.0 / 2*USB2.0 / 1*USB3.1 TYPE-A / 1*USB3.1 TYPE-C / 1*PS2 / 1*RJ45网络接口 / 1*3.5mm麦克风输入 / 1*3.5mm耳机输出 / 1*3.5mm线路输入 / 1*3.5mm中置低音炮输出 / 1*3.5mm中置环绕声道输出 / 1*3.5mm 后置环绕声道输出 / 1*DVI视频接口 / 1*HDMI视频接口 / 1*DisplayPort视频接口 / 1*220V交流电输入接口尺寸。</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51</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套</w:t>
            </w:r>
          </w:p>
        </w:tc>
      </w:tr>
      <w:tr>
        <w:tblPrEx>
          <w:tblCellMar>
            <w:top w:w="0" w:type="dxa"/>
            <w:left w:w="108" w:type="dxa"/>
            <w:bottom w:w="0" w:type="dxa"/>
            <w:right w:w="108" w:type="dxa"/>
          </w:tblCellMar>
        </w:tblPrEx>
        <w:trPr>
          <w:trHeight w:val="1275"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w:t>
            </w:r>
          </w:p>
        </w:tc>
        <w:tc>
          <w:tcPr>
            <w:tcW w:w="59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显示器</w:t>
            </w:r>
          </w:p>
        </w:tc>
        <w:tc>
          <w:tcPr>
            <w:tcW w:w="338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面板尺寸 : 24.5"(62.23cm) 16:9 宽屏色彩饱和度: 72%(NTSC)</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面板类型 : TN分辨率 : 1920x1080屏幕可视面积(HxV) : 597.6 x 336.15 mm亮度 : 400 cd/㎡对比度: 1000:1像素间距: 0.2832 x 0.2802mm屏幕表面 防眩光华硕智能动态对比度 (ASCR) : 100000000:1可视角度 (CR≧10) : 170°(H)/160°(V)响应时间 : 1ms (灰阶到灰阶)显示颜色 : 16.7M不闪屏1色数16.7M</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51</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台</w:t>
            </w:r>
          </w:p>
        </w:tc>
      </w:tr>
      <w:tr>
        <w:tblPrEx>
          <w:tblCellMar>
            <w:top w:w="0" w:type="dxa"/>
            <w:left w:w="108" w:type="dxa"/>
            <w:bottom w:w="0" w:type="dxa"/>
            <w:right w:w="108" w:type="dxa"/>
          </w:tblCellMar>
        </w:tblPrEx>
        <w:trPr>
          <w:trHeight w:val="1305"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3</w:t>
            </w:r>
          </w:p>
        </w:tc>
        <w:tc>
          <w:tcPr>
            <w:tcW w:w="59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课堂管理系统软件</w:t>
            </w:r>
          </w:p>
        </w:tc>
        <w:tc>
          <w:tcPr>
            <w:tcW w:w="338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全面支持Windows系列操作系统，包括Windows 10（32位、64位）操作系统、支持MAC系统及众多Linux发行版本，兼容虚拟机。</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屏幕广播：将教师机屏幕和教师讲话实时广播给单一、部分或全体学生，可选择全屏或窗口方式。窗口模式下或教师机与学生机分辨率不同情况下，学生机可以以“缩放模式”、“平移”或者“智能滚动”的窗口方式接收广播，广播窗口所在的屏幕位置有“居中”、“偏右”、“偏左”三种方式选择，此时学生可跟着教师操作，边看边练，以增加教学的直观性；支持教师根据需要选择屏幕的某个部分广播给学生，给教师留有一定的私人空间；屏幕广播的同时，支持教师指定学生演示教师机屏幕；广播多媒体课件，可使用屏幕笔添加批注，广播同时可进行屏幕录制。网络影院：实现教师机播放的视频同步广播到学生机，支持几乎所有常见的媒体音视频格式， Windows Media文件，VCD文件，DVD文件，Real文件，AVI文件，MP3等主流文件格式，支持720p、1080p的高清视频。视频直播：通过USB摄像头将教师的画面实时广播到学生机，达到更形象的教学效果，具有引导客户选择视频设备的提示画面，以便客户快速完成摄像头设备的设置。学生演示：教师选定一台学生机作为示范，由此学生代替教师进行示范教学。分组教学：通过分组教学，将学生分成几个组进行合作学习。小组长可使用多种功能来辅导同伴，例如：广播教学、监视、文件分发和网络影院。文件管理：有文件分发、收集、提交功能，可拖拽添加文件，可限制学生提交文件的数目和大小。屏幕监视：教师机可以监视单一、部分、全体学生机的屏幕，教师机每屏可监视多个学生屏幕（多达36个）。网络白板：教师通过导入图片、文档或截图创建白板，将白板内容共享给学生，学生和教师可以共享在白板上通过绘图工具和文本书写完成学习任务或绘画作品，提高学生团队合作的兴趣。教师也可以允许学生自己独立完成学习任务，教师可以在教师机上监看所有学生的完成情况。抢答和竞赛：教师可以出任意题目请学生作答，学生抢答时只需按下按钮即可，即可作答，作答正确给予“星星”奖励，吸引学生注意力，主动参与活动。答题方式有：口头回答、文字输入作答、学生桌面演示作答。随堂小考：教师启动快速的单题考试（可在试题中添加图片）或随堂调查，限定考试时间，学生答题后立即给出结果，结果显示学生答案柱状图分析和答题时间，可作为抢答依据。班级模型：有单独的管理界面，实现对班级模型的统一管理，并能够导入、导出，调用不同网络教室中的班级模型，班级模型视图中可实时显示学生机电脑桌面（缩图）。签到：提供学生名单管理工具，为软件和考试模块提供实名验证。提供点名功能，支持保留学生多次登录记录、考勤统计、签到信息的导出与对比。▲提供软件产品登记证书及著作权登记证书复印件，▲提供专业机构检测的软件检测报告复印件。</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套</w:t>
            </w:r>
          </w:p>
        </w:tc>
      </w:tr>
      <w:tr>
        <w:tblPrEx>
          <w:tblCellMar>
            <w:top w:w="0" w:type="dxa"/>
            <w:left w:w="108" w:type="dxa"/>
            <w:bottom w:w="0" w:type="dxa"/>
            <w:right w:w="108" w:type="dxa"/>
          </w:tblCellMar>
        </w:tblPrEx>
        <w:trPr>
          <w:trHeight w:val="1395"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4</w:t>
            </w:r>
          </w:p>
        </w:tc>
        <w:tc>
          <w:tcPr>
            <w:tcW w:w="59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智慧教学采编系统</w:t>
            </w:r>
          </w:p>
        </w:tc>
        <w:tc>
          <w:tcPr>
            <w:tcW w:w="338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一、 功能要求：1 软、硬件结合，方便纸质书籍放置，书本无需按压，无需拆书就可展示出清晰平整的两个页面图像且两个页面相互独立； 2 可利用纸质教材上多媒体课，无需做课件，减轻老师负担。不受教材版本、学科限制。弥补课本、教辅资料等在多媒体教学中应用的空白，提高原有多媒体设备的教学应用。3 利用网页资源采集功能，不用登陆网络资源平台账号，不用下载，直接提取各种网页中的习题进行讲解、练习。减轻老师做课件的负担。4 对于纸质教材、pdf文件、图片的文字可即时转换成可编辑的文字，进行二次编辑。并可同时将文字朗读出来，保存为音频文件。方便扩充校本资源库。5 上课的同时完成微课录制，方便学生课后复习。6 不用拍照、导入就可同时展示两个学生的作业，进行对比教学。7 可选择几本书中所需的内容，批量装订成校本读物。二、 硬件参数：10 镜头：内置双摄像头各500万高清像素(2592H*1944V)，定焦,无需移动书本定位即可展示两页全部内容且两个页面图像相互独立，无需对焦；外置单摄像头500万高清像素(2592H*1944V)，自动对焦 。11 数据接口：双USB接口，图像数据传输更稳定。12 倒V字（双斜面）外观设计结构，使页面平整，书本无需按压、无需拆书。 13 书托架采用加硬光学级钢化玻璃，透光率高，防刮伤。14 摄像头及LED照明系统均设计在机箱内部(无外露)，不受任何周围环境光线影响,无反光，防止灰尘污染镜头。15 实物展台：鹅颈式外置摄像头，360°全方位自由拍摄立体实物，内置LED补光照明（独立开关）19  扫描速度：1秒/双页20  屏幕录制功能：可设置清晰度及帧数，带语音同步录制功能。21 光学符号识别功能：扫描图像、画面截图、外部导入图片或PDF文档都可以转换为可编辑的文字，支持中文、英文（非调用微软OFFICE OCR），并可一键导出为WORD等可编辑文档。22  朗读功能：任意中英文都可以朗读。23 实物展示功能：预览分辨率：1920*1080/1024*768/800*600/640*480，▲提供带有样品照片的第三方检测报告复印件▲产品3C证书复印件、▲软件著作权证书复印件、▲实用新型专利证书复印件。</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套</w:t>
            </w:r>
          </w:p>
        </w:tc>
      </w:tr>
      <w:tr>
        <w:tblPrEx>
          <w:tblCellMar>
            <w:top w:w="0" w:type="dxa"/>
            <w:left w:w="108" w:type="dxa"/>
            <w:bottom w:w="0" w:type="dxa"/>
            <w:right w:w="108" w:type="dxa"/>
          </w:tblCellMar>
        </w:tblPrEx>
        <w:trPr>
          <w:trHeight w:val="1380"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5</w:t>
            </w:r>
          </w:p>
        </w:tc>
        <w:tc>
          <w:tcPr>
            <w:tcW w:w="59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互动管理系统</w:t>
            </w:r>
          </w:p>
        </w:tc>
        <w:tc>
          <w:tcPr>
            <w:tcW w:w="338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系统支持多来源（来自本地磁盘、中央智能控制服务器）多格式（图片、视频）的资源导入。可建立一系列节点，逐一命名与分派节点标识符。每节点可加载多个视频、图片资源，可混排。支持通过互动客户端遥控与触控两种控制方式。支持屏保，屏保时段也可以展示资源，且资源可配置。支持显示效果预览。支持将配置结果同步到中央智能控制服务系统。系统只需从中央智能控制服务系统同步排版配置结果。支持纵横双向浏览资源。两种方式切换。支持对单张资源的放大显示，支持通过多点触控对资源显示尺寸的缩放。支持对单张资源的发送，可将单张资源发送至指定的显示屏幕。支持资源在不同位置的拖拽，支持资源归位的飞送。支持主题及皮肤的变换。时间轴支持与其他屏幕应用互联，可将图片或视频一键发送到一个或多个屏幕并播放。支持私有云多媒体存储（时间轴采用内网云存储，程序与内容分离模式，内容统一存储在内网中央控制服务器，用户仅需一次将内容导入中控服务器，即可被时间轴或其他应用同时调用，保证数据安全存储，减少重复导入人为出错。支持智能遥控器，支持ios和android手机，通过专用app接入网络，可浏览资料，支持一键带走，管理员可在中控服务器后台设置下载权限。成交供应商需在成交后一周内提供成交产品进行测试是否满足招标文件参数要求，测试满足采购需求后签署合同。 ▲提供全媒体移动视频播放软件著作权证书复印件（提供中国版权服务微平台著作权验证截图）</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套</w:t>
            </w:r>
          </w:p>
        </w:tc>
      </w:tr>
      <w:tr>
        <w:tblPrEx>
          <w:tblCellMar>
            <w:top w:w="0" w:type="dxa"/>
            <w:left w:w="108" w:type="dxa"/>
            <w:bottom w:w="0" w:type="dxa"/>
            <w:right w:w="108" w:type="dxa"/>
          </w:tblCellMar>
        </w:tblPrEx>
        <w:trPr>
          <w:trHeight w:val="285"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6</w:t>
            </w:r>
          </w:p>
        </w:tc>
        <w:tc>
          <w:tcPr>
            <w:tcW w:w="59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xml:space="preserve"> 键盘鼠标</w:t>
            </w:r>
          </w:p>
        </w:tc>
        <w:tc>
          <w:tcPr>
            <w:tcW w:w="338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USB 键盘鼠标套装</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51</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套</w:t>
            </w:r>
          </w:p>
        </w:tc>
      </w:tr>
      <w:tr>
        <w:tblPrEx>
          <w:tblCellMar>
            <w:top w:w="0" w:type="dxa"/>
            <w:left w:w="108" w:type="dxa"/>
            <w:bottom w:w="0" w:type="dxa"/>
            <w:right w:w="108" w:type="dxa"/>
          </w:tblCellMar>
        </w:tblPrEx>
        <w:trPr>
          <w:trHeight w:val="1065"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7</w:t>
            </w:r>
          </w:p>
        </w:tc>
        <w:tc>
          <w:tcPr>
            <w:tcW w:w="59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数位板</w:t>
            </w:r>
          </w:p>
        </w:tc>
        <w:tc>
          <w:tcPr>
            <w:tcW w:w="338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 xml:space="preserve">具有感压功能、无线材束缚并搭配无需电池的压感笔， 活动区域：152 x 95 mm，压力级别4096，压感笔：11.2 g， 分辨率2540 lpi，1.5 米（4.9 英尺）、无 PVC 的 USB Type-A 对 Micro B 线，具 L 型插头，一个安全栓插槽，各款机型均具备径向菜单、显示切换以及屏幕小键盘功能系统要求Windows® 7、 8.1 或 10 (最新版本，不包括 Windows 10 S)，macOS X 10.11 或更高 (最新版本)，具备 OTG 特性的 Android 智能手机或平板 (要求系统版本6.0 或更高)，标准 USB-A 接口，读取速度（笔）133 pps，电磁感应技术4K 压感，无需使用电池压感笔。▲以上参数提供官网截图证明 </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51</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套</w:t>
            </w:r>
          </w:p>
        </w:tc>
      </w:tr>
      <w:tr>
        <w:tblPrEx>
          <w:tblCellMar>
            <w:top w:w="0" w:type="dxa"/>
            <w:left w:w="108" w:type="dxa"/>
            <w:bottom w:w="0" w:type="dxa"/>
            <w:right w:w="108" w:type="dxa"/>
          </w:tblCellMar>
        </w:tblPrEx>
        <w:trPr>
          <w:trHeight w:val="696"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8</w:t>
            </w:r>
          </w:p>
        </w:tc>
        <w:tc>
          <w:tcPr>
            <w:tcW w:w="59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投影仪</w:t>
            </w:r>
          </w:p>
        </w:tc>
        <w:tc>
          <w:tcPr>
            <w:tcW w:w="338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ALPD激光光源，光源寿命≥20000小时（普通模式）,亮度 4500流明以上,亮度均匀值 85%,对比度 500000:1,标准分辨率 WXGA（1280*800）,最高分辨率 WUXGA（1920*1200）,光源参数,光源类型 激光光源寿命 正常模式：25000小时，经济模式：30000小时,投影参数,变焦比 1.6X,投射比 1.17-1.90：1,投影尺寸 50-300英寸,屏幕比例 4:3/16:9/16:10,梯形校正 水平：±30度,自动，垂直：±30度,电脑兼容性 480i，480p，576i，567p，720p，1080i，1080p,视频兼容性 NTSC，PAL，SECAM,系统参数,扬声器 5W×2,接口参数,输入接口 2×RGB,2×HDMI,1×Video,1×Audio in（L/R）RCA,1×Audio in（mini jack，3.5mm）,输出接口 1×RGB，1×Audio out（mini-jack，3.5mm）,控制接口 1×RS232,1×RJ45,1×USB-B,1×USB-A，产品噪音 正常模式：34dB，经济模式：30dB，电源功率 290W，待机功率：＜0.5W，网络待机功率：＜5W.▲生产厂商需有国内自主激光光源技术，拥有自主知识产权及核心技术。▲提供不少于30项相关的核心发明国内专利证书复印件。▲提供不少于5项国际发明专利证书复印件</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套</w:t>
            </w:r>
          </w:p>
        </w:tc>
      </w:tr>
      <w:tr>
        <w:tblPrEx>
          <w:tblCellMar>
            <w:top w:w="0" w:type="dxa"/>
            <w:left w:w="108" w:type="dxa"/>
            <w:bottom w:w="0" w:type="dxa"/>
            <w:right w:w="108" w:type="dxa"/>
          </w:tblCellMar>
        </w:tblPrEx>
        <w:trPr>
          <w:trHeight w:val="285"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9</w:t>
            </w:r>
          </w:p>
        </w:tc>
        <w:tc>
          <w:tcPr>
            <w:tcW w:w="59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电动幕布</w:t>
            </w:r>
          </w:p>
        </w:tc>
        <w:tc>
          <w:tcPr>
            <w:tcW w:w="338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120寸电动幕布</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套</w:t>
            </w:r>
          </w:p>
        </w:tc>
      </w:tr>
      <w:tr>
        <w:tblPrEx>
          <w:tblCellMar>
            <w:top w:w="0" w:type="dxa"/>
            <w:left w:w="108" w:type="dxa"/>
            <w:bottom w:w="0" w:type="dxa"/>
            <w:right w:w="108" w:type="dxa"/>
          </w:tblCellMar>
        </w:tblPrEx>
        <w:trPr>
          <w:trHeight w:val="2160"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59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功放</w:t>
            </w:r>
          </w:p>
        </w:tc>
        <w:tc>
          <w:tcPr>
            <w:tcW w:w="338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额定功率：120W；整机功耗： 180W；待机功耗 ：＜3W； 工业级3.4英寸LCD显示屏，可以清晰显示大多数点阵图案，和机器工作状态; 采用嵌入式计算机和DSP音频处理技术应用，高速的工业级解单片机芯片，启动时间小于1秒；内置1路网络硬件音频解码模块，支持TCP/IP、UDP、IGMP(组播协议)，实现网络化传输16位立体声CD音质的音频信号；内置高保真专业模拟功放，具有240W定阻（4-16Ω及定压（70V、100V）功率输出；1路线路（AUX）和1路话筒（MIC）输入接口，具有独立的音量和高低音调节电位器控制，支持断网本地寻呼功能；1路EMC输入接口，输入紧急报警语音信号为直通，具有最高优先级</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套</w:t>
            </w:r>
          </w:p>
        </w:tc>
      </w:tr>
      <w:tr>
        <w:tblPrEx>
          <w:tblCellMar>
            <w:top w:w="0" w:type="dxa"/>
            <w:left w:w="108" w:type="dxa"/>
            <w:bottom w:w="0" w:type="dxa"/>
            <w:right w:w="108" w:type="dxa"/>
          </w:tblCellMar>
        </w:tblPrEx>
        <w:trPr>
          <w:trHeight w:val="480"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11</w:t>
            </w:r>
          </w:p>
        </w:tc>
        <w:tc>
          <w:tcPr>
            <w:tcW w:w="59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音响</w:t>
            </w:r>
          </w:p>
        </w:tc>
        <w:tc>
          <w:tcPr>
            <w:tcW w:w="338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 xml:space="preserve">额定功率（100V）： 6W；额定功率（70V）： 3W；最大功率： 10W；灵敏度： </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套</w:t>
            </w:r>
          </w:p>
        </w:tc>
      </w:tr>
      <w:tr>
        <w:tblPrEx>
          <w:tblCellMar>
            <w:top w:w="0" w:type="dxa"/>
            <w:left w:w="108" w:type="dxa"/>
            <w:bottom w:w="0" w:type="dxa"/>
            <w:right w:w="108" w:type="dxa"/>
          </w:tblCellMar>
        </w:tblPrEx>
        <w:trPr>
          <w:trHeight w:val="1200"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12</w:t>
            </w:r>
          </w:p>
        </w:tc>
        <w:tc>
          <w:tcPr>
            <w:tcW w:w="59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话筒</w:t>
            </w:r>
          </w:p>
        </w:tc>
        <w:tc>
          <w:tcPr>
            <w:tcW w:w="338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4个频段,每个频段10个频点可调 10组UHF通道可同时使用；接收机LCD液晶显示；数字式锁调个静噪技术工作频率：656.125-678.500 MHz率稳定性：±0.005%、PLL锁相回路控制；工作有效距离一般80 米、频响100Hz-15kHz、一般误差±5kHz</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套</w:t>
            </w:r>
          </w:p>
        </w:tc>
      </w:tr>
      <w:tr>
        <w:tblPrEx>
          <w:tblCellMar>
            <w:top w:w="0" w:type="dxa"/>
            <w:left w:w="108" w:type="dxa"/>
            <w:bottom w:w="0" w:type="dxa"/>
            <w:right w:w="108" w:type="dxa"/>
          </w:tblCellMar>
        </w:tblPrEx>
        <w:trPr>
          <w:trHeight w:val="480"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13</w:t>
            </w:r>
          </w:p>
        </w:tc>
        <w:tc>
          <w:tcPr>
            <w:tcW w:w="59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学生电脑桌&amp;板凳</w:t>
            </w:r>
          </w:p>
        </w:tc>
        <w:tc>
          <w:tcPr>
            <w:tcW w:w="338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桌面尺寸：90*60 CM，总体高度：72CM，桌面样式：2.5CM防火板、4CM直角边加厚、4CM木台面 。</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50</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套</w:t>
            </w:r>
          </w:p>
        </w:tc>
      </w:tr>
      <w:tr>
        <w:tblPrEx>
          <w:tblCellMar>
            <w:top w:w="0" w:type="dxa"/>
            <w:left w:w="108" w:type="dxa"/>
            <w:bottom w:w="0" w:type="dxa"/>
            <w:right w:w="108" w:type="dxa"/>
          </w:tblCellMar>
        </w:tblPrEx>
        <w:trPr>
          <w:trHeight w:val="285"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r>
              <w:rPr>
                <w:rFonts w:ascii="宋体" w:hAnsi="宋体" w:cs="宋体"/>
                <w:color w:val="000000" w:themeColor="text1"/>
                <w:kern w:val="0"/>
                <w:szCs w:val="21"/>
              </w:rPr>
              <w:t>4</w:t>
            </w:r>
          </w:p>
        </w:tc>
        <w:tc>
          <w:tcPr>
            <w:tcW w:w="59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现场制作切换台</w:t>
            </w:r>
          </w:p>
        </w:tc>
        <w:tc>
          <w:tcPr>
            <w:tcW w:w="338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Cs w:val="21"/>
              </w:rPr>
            </w:pPr>
            <w:r>
              <w:rPr>
                <w:rFonts w:ascii="Helvetica" w:hAnsi="Helvetica" w:cs="Helvetica"/>
                <w:color w:val="333333"/>
                <w:szCs w:val="21"/>
                <w:shd w:val="clear" w:color="auto" w:fill="FFFFFF"/>
              </w:rPr>
              <w:t>配备4路带格式转换功能的HDMI输入、USB网络摄像头输出、HDMI输出，以及带有均衡器和动态控制的调音台，还有可用于画中画效果的DVE功能、多种转场特效、绿屏色键、拥有20个静帧存储量用于标题制作的媒体池。可以将H.264文件直接记录到USB闪存盘，可以通过以太网直接进行流媒体直播。有多画面分割功能，可显示4路摄影机、媒体、预监和节目画面，以及记录、直播和音频状态。</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台</w:t>
            </w:r>
          </w:p>
        </w:tc>
      </w:tr>
      <w:tr>
        <w:tblPrEx>
          <w:tblCellMar>
            <w:top w:w="0" w:type="dxa"/>
            <w:left w:w="108" w:type="dxa"/>
            <w:bottom w:w="0" w:type="dxa"/>
            <w:right w:w="108" w:type="dxa"/>
          </w:tblCellMar>
        </w:tblPrEx>
        <w:trPr>
          <w:trHeight w:val="480"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15</w:t>
            </w:r>
          </w:p>
        </w:tc>
        <w:tc>
          <w:tcPr>
            <w:tcW w:w="59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办公椅</w:t>
            </w:r>
          </w:p>
        </w:tc>
        <w:tc>
          <w:tcPr>
            <w:tcW w:w="338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椅面材质网布 靠背高度: 50cm 五星脚材质: 钢制 固定扶手 旋转升降扶手支持人体工程学</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张</w:t>
            </w:r>
          </w:p>
        </w:tc>
      </w:tr>
      <w:tr>
        <w:tblPrEx>
          <w:tblCellMar>
            <w:top w:w="0" w:type="dxa"/>
            <w:left w:w="108" w:type="dxa"/>
            <w:bottom w:w="0" w:type="dxa"/>
            <w:right w:w="108" w:type="dxa"/>
          </w:tblCellMar>
        </w:tblPrEx>
        <w:trPr>
          <w:trHeight w:val="2400"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r>
              <w:rPr>
                <w:rFonts w:ascii="宋体" w:hAnsi="宋体" w:cs="宋体"/>
                <w:color w:val="000000" w:themeColor="text1"/>
                <w:kern w:val="0"/>
                <w:szCs w:val="21"/>
              </w:rPr>
              <w:t>6</w:t>
            </w:r>
          </w:p>
        </w:tc>
        <w:tc>
          <w:tcPr>
            <w:tcW w:w="59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交换机</w:t>
            </w:r>
          </w:p>
        </w:tc>
        <w:tc>
          <w:tcPr>
            <w:tcW w:w="338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 xml:space="preserve">交换容量≥432Gbps </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转发性能≥87Mpps</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固化10/100/1000M以太网端口≥48，固化1G SFP光接口≥4个；</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要求所投设备MAC地址≥16K</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▲要求所投产品端口浪涌抗扰度≥10KV（即具备10KV的防雷能力），投标时提供具有 CMA或CAL或 CNAS认证章的第三方权威机构检验报告证明复印件。</w:t>
            </w:r>
          </w:p>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支持静态路由、RIP/RIPng、OSPFv2/OSPFv3等三层路由协议</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支持SAVI功能，可防止地址解析欺骗，要求所投设备支持1对1、1对多、多对1和基于流的镜像；且支持RSPAN和ERSPAN</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▲支持专门针对CPU保护机制的CPP功能，可将送CPU的报文，如ARP报文的速率进行限制，使CPU的使用率降低到10%以内，保障了CPU安全，投标时提供具有CMA或CAL或CNAS认证章的第三方权威机构检验报告证明复印件。</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▲支持专门基础网络保护机制的NFPP功能，支持多种类型的防护，如ARP防护，当ARP速率超过攻击水线，对有攻击行为的用户进行隔离，保证设备和整网的安全稳定运行，投标时提供具有 CMA或CAL或 CNAS认证章的第三方权威机构检验报告证明复印件。</w:t>
            </w:r>
          </w:p>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▲所投产品支持sFlow网络监测技术，投标时提供具有CMA或CAL或CNAS认证章的第三方权威机构检验报告证明复印件。</w:t>
            </w:r>
          </w:p>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▲支持虚拟化功能，可将多台物理设备虚拟化为一台逻辑设备统一管理，并且链路故障的收敛时间≤30ms，投标时提供具有CMA或CAL或CNAS认证章的第三方权威机构检验报告证明复印件。</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▲为保证IPv6的可部署性和应用性，要求所投交换机具备IPv6 Ready Phase2认证证书，要求投标产品型号与证书型号一致，提供全球IPv6测试中心官网网站查询截图以及证书复印件。</w:t>
            </w:r>
          </w:p>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设备自带云管理功能，支持一键设备发现，并在线生成交付验收报告；支持一键全网巡检操作，随时随地掌握网络健康状况，并自动生成巡检报告；支持短信认证、微信认证、web认证，支持认证页面自定义；支持一键升级、定时升级网络中的网络设备；支持分级分权功能，实现分布区域，统一管理等，投标时提供具有 CMA或CAL或CNAS认证章的第三方权威机构检验报告证明复印件。</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台</w:t>
            </w:r>
          </w:p>
        </w:tc>
      </w:tr>
      <w:tr>
        <w:tblPrEx>
          <w:tblCellMar>
            <w:top w:w="0" w:type="dxa"/>
            <w:left w:w="108" w:type="dxa"/>
            <w:bottom w:w="0" w:type="dxa"/>
            <w:right w:w="108" w:type="dxa"/>
          </w:tblCellMar>
        </w:tblPrEx>
        <w:trPr>
          <w:trHeight w:val="780"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r>
              <w:rPr>
                <w:rFonts w:ascii="宋体" w:hAnsi="宋体" w:cs="宋体"/>
                <w:color w:val="000000" w:themeColor="text1"/>
                <w:kern w:val="0"/>
                <w:szCs w:val="21"/>
              </w:rPr>
              <w:t>7</w:t>
            </w:r>
          </w:p>
        </w:tc>
        <w:tc>
          <w:tcPr>
            <w:tcW w:w="59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交换机</w:t>
            </w:r>
          </w:p>
        </w:tc>
        <w:tc>
          <w:tcPr>
            <w:tcW w:w="338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固化10/100/1000M以太网电口≥8个，100/1000M SFP千兆光接口≥2个,交换容量≥192Gbps，包转发率≥15Mpps要求设备采用静音无风扇节能设计。工作温度-5°-55°。</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▲所投设备具有节能设计，功耗≤8W，要求提供官网截图。</w:t>
            </w:r>
          </w:p>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产品支持端口防雷≥10KV，支持生成树协议STP(IEEE 802.1d)，RSTP(IEEE 802.1w)和MSTP(IEEE 802.1s)，完全保证快速收敛，提高容错能力，保证网络的稳定运行和链路的负载均衡，合理使用网络通道，提供冗余链路利用率。</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支持RLDP，可快速检测链路的通断和光纤链路的单向性，并支持端口下的环路检测功能，</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设备自带云管理功能，支持一键设备发现，并在线生成交付验收报告；支持一键全网巡检操作，随时随地掌握网络健康状况，并自动生成巡检报告；支持短信认证、微信认证、web认证，支持认证页面自定义；支持一键升级、定时升级网络中的网络设备；支持分级分权功能，实现分布区域，统一管理等。</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支持SNMP、CLI(Telnet/Console)、Syslog、NTP、TFTP、Web</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台</w:t>
            </w:r>
          </w:p>
        </w:tc>
      </w:tr>
      <w:tr>
        <w:tblPrEx>
          <w:tblCellMar>
            <w:top w:w="0" w:type="dxa"/>
            <w:left w:w="108" w:type="dxa"/>
            <w:bottom w:w="0" w:type="dxa"/>
            <w:right w:w="108" w:type="dxa"/>
          </w:tblCellMar>
        </w:tblPrEx>
        <w:trPr>
          <w:trHeight w:val="285"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rPr>
                <w:rFonts w:ascii="宋体" w:hAnsi="宋体" w:cs="宋体"/>
                <w:color w:val="000000" w:themeColor="text1"/>
                <w:kern w:val="0"/>
                <w:szCs w:val="21"/>
              </w:rPr>
            </w:pPr>
            <w:r>
              <w:rPr>
                <w:rFonts w:ascii="宋体" w:hAnsi="宋体" w:cs="宋体"/>
                <w:color w:val="000000" w:themeColor="text1"/>
                <w:kern w:val="0"/>
                <w:szCs w:val="21"/>
              </w:rPr>
              <w:t>18</w:t>
            </w:r>
          </w:p>
        </w:tc>
        <w:tc>
          <w:tcPr>
            <w:tcW w:w="59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机柜</w:t>
            </w:r>
          </w:p>
        </w:tc>
        <w:tc>
          <w:tcPr>
            <w:tcW w:w="338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18U 600*600网络机柜</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套</w:t>
            </w:r>
          </w:p>
        </w:tc>
      </w:tr>
      <w:tr>
        <w:tblPrEx>
          <w:tblCellMar>
            <w:top w:w="0" w:type="dxa"/>
            <w:left w:w="108" w:type="dxa"/>
            <w:bottom w:w="0" w:type="dxa"/>
            <w:right w:w="108" w:type="dxa"/>
          </w:tblCellMar>
        </w:tblPrEx>
        <w:trPr>
          <w:trHeight w:val="285"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rPr>
                <w:rFonts w:ascii="宋体" w:hAnsi="宋体" w:cs="宋体"/>
                <w:color w:val="000000" w:themeColor="text1"/>
                <w:kern w:val="0"/>
                <w:szCs w:val="21"/>
              </w:rPr>
            </w:pPr>
            <w:r>
              <w:rPr>
                <w:rFonts w:hint="eastAsia" w:ascii="宋体" w:hAnsi="宋体" w:cs="宋体"/>
                <w:color w:val="000000" w:themeColor="text1"/>
                <w:kern w:val="0"/>
                <w:szCs w:val="21"/>
              </w:rPr>
              <w:t>1</w:t>
            </w:r>
            <w:r>
              <w:rPr>
                <w:rFonts w:ascii="宋体" w:hAnsi="宋体" w:cs="宋体"/>
                <w:color w:val="000000" w:themeColor="text1"/>
                <w:kern w:val="0"/>
                <w:szCs w:val="21"/>
              </w:rPr>
              <w:t>9</w:t>
            </w:r>
          </w:p>
        </w:tc>
        <w:tc>
          <w:tcPr>
            <w:tcW w:w="59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文件柜</w:t>
            </w:r>
          </w:p>
        </w:tc>
        <w:tc>
          <w:tcPr>
            <w:tcW w:w="338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冷轧钢板 1800*850*390mm</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套</w:t>
            </w:r>
          </w:p>
        </w:tc>
      </w:tr>
      <w:tr>
        <w:tblPrEx>
          <w:tblCellMar>
            <w:top w:w="0" w:type="dxa"/>
            <w:left w:w="108" w:type="dxa"/>
            <w:bottom w:w="0" w:type="dxa"/>
            <w:right w:w="108" w:type="dxa"/>
          </w:tblCellMar>
        </w:tblPrEx>
        <w:trPr>
          <w:trHeight w:val="285"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ascii="宋体" w:hAnsi="宋体" w:cs="宋体"/>
                <w:color w:val="000000" w:themeColor="text1"/>
                <w:kern w:val="0"/>
                <w:szCs w:val="21"/>
              </w:rPr>
              <w:t>20</w:t>
            </w:r>
          </w:p>
        </w:tc>
        <w:tc>
          <w:tcPr>
            <w:tcW w:w="59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摄像机</w:t>
            </w:r>
          </w:p>
        </w:tc>
        <w:tc>
          <w:tcPr>
            <w:tcW w:w="3389" w:type="pct"/>
            <w:tcBorders>
              <w:top w:val="nil"/>
              <w:left w:val="nil"/>
              <w:bottom w:val="single" w:color="auto" w:sz="4" w:space="0"/>
              <w:right w:val="single" w:color="auto" w:sz="4" w:space="0"/>
            </w:tcBorders>
            <w:shd w:val="clear" w:color="auto" w:fill="auto"/>
            <w:vAlign w:val="center"/>
          </w:tcPr>
          <w:p>
            <w:pPr>
              <w:tabs>
                <w:tab w:val="left" w:pos="592"/>
              </w:tabs>
              <w:rPr>
                <w:rFonts w:ascii="宋体" w:hAnsi="宋体" w:cs="宋体"/>
                <w:color w:val="000000" w:themeColor="text1"/>
                <w:kern w:val="0"/>
                <w:szCs w:val="21"/>
              </w:rPr>
            </w:pPr>
            <w:r>
              <w:rPr>
                <w:rFonts w:hint="eastAsia" w:ascii="宋体" w:hAnsi="宋体" w:cs="宋体"/>
                <w:color w:val="000000" w:themeColor="text1"/>
                <w:kern w:val="0"/>
                <w:szCs w:val="21"/>
              </w:rPr>
              <w:t>具有200万像素 CMOS传感器。</w:t>
            </w:r>
          </w:p>
          <w:p>
            <w:pPr>
              <w:tabs>
                <w:tab w:val="left" w:pos="592"/>
              </w:tabs>
              <w:rPr>
                <w:rFonts w:ascii="宋体" w:hAnsi="宋体" w:cs="宋体"/>
                <w:color w:val="000000" w:themeColor="text1"/>
                <w:kern w:val="0"/>
                <w:szCs w:val="21"/>
              </w:rPr>
            </w:pPr>
            <w:r>
              <w:rPr>
                <w:rFonts w:hint="eastAsia" w:ascii="宋体" w:hAnsi="宋体" w:cs="宋体"/>
                <w:color w:val="000000" w:themeColor="text1"/>
                <w:kern w:val="0"/>
                <w:szCs w:val="21"/>
              </w:rPr>
              <w:t>▲内置混合补光灯，可对红外灯及白光灯功率进行调节。提供公安部检测报告复印件。</w:t>
            </w:r>
          </w:p>
          <w:p>
            <w:pPr>
              <w:tabs>
                <w:tab w:val="left" w:pos="592"/>
              </w:tabs>
              <w:rPr>
                <w:rFonts w:ascii="宋体" w:hAnsi="宋体" w:cs="宋体"/>
                <w:color w:val="000000" w:themeColor="text1"/>
                <w:kern w:val="0"/>
                <w:szCs w:val="21"/>
              </w:rPr>
            </w:pPr>
            <w:r>
              <w:rPr>
                <w:rFonts w:hint="eastAsia" w:ascii="宋体" w:hAnsi="宋体" w:cs="宋体"/>
                <w:color w:val="000000" w:themeColor="text1"/>
                <w:kern w:val="0"/>
                <w:szCs w:val="21"/>
              </w:rPr>
              <w:t>▲内置两个镜头。提供公安部检测报告复印件。</w:t>
            </w:r>
          </w:p>
          <w:p>
            <w:pPr>
              <w:tabs>
                <w:tab w:val="left" w:pos="592"/>
              </w:tabs>
              <w:rPr>
                <w:rFonts w:ascii="宋体" w:hAnsi="宋体" w:cs="宋体"/>
                <w:color w:val="000000" w:themeColor="text1"/>
                <w:kern w:val="0"/>
                <w:szCs w:val="21"/>
              </w:rPr>
            </w:pPr>
            <w:r>
              <w:rPr>
                <w:rFonts w:hint="eastAsia" w:ascii="宋体" w:hAnsi="宋体" w:cs="宋体"/>
                <w:color w:val="000000" w:themeColor="text1"/>
                <w:kern w:val="0"/>
                <w:szCs w:val="21"/>
              </w:rPr>
              <w:t>▲内置两个图像传感器，分别输出黑白及彩色图像，可对视频图像进行融合输出。提供公安部检测报告复印件。</w:t>
            </w:r>
          </w:p>
          <w:p>
            <w:pPr>
              <w:tabs>
                <w:tab w:val="left" w:pos="592"/>
              </w:tabs>
              <w:rPr>
                <w:rFonts w:ascii="宋体" w:hAnsi="宋体" w:cs="宋体"/>
                <w:color w:val="000000" w:themeColor="text1"/>
                <w:kern w:val="0"/>
                <w:szCs w:val="21"/>
              </w:rPr>
            </w:pPr>
            <w:r>
              <w:rPr>
                <w:rFonts w:hint="eastAsia" w:ascii="宋体" w:hAnsi="宋体" w:cs="宋体"/>
                <w:color w:val="000000" w:themeColor="text1"/>
                <w:kern w:val="0"/>
                <w:szCs w:val="21"/>
              </w:rPr>
              <w:t>▲最低照度彩色不大于0.0005 lx，黑白不大于0.0001 lx。提供公安部检测报告复印件。</w:t>
            </w:r>
          </w:p>
          <w:p>
            <w:pPr>
              <w:tabs>
                <w:tab w:val="left" w:pos="592"/>
              </w:tabs>
              <w:rPr>
                <w:rFonts w:ascii="宋体" w:hAnsi="宋体" w:cs="宋体"/>
                <w:color w:val="000000" w:themeColor="text1"/>
                <w:kern w:val="0"/>
                <w:szCs w:val="21"/>
              </w:rPr>
            </w:pPr>
            <w:r>
              <w:rPr>
                <w:rFonts w:hint="eastAsia" w:ascii="宋体" w:hAnsi="宋体" w:cs="宋体"/>
                <w:color w:val="000000" w:themeColor="text1"/>
                <w:kern w:val="0"/>
                <w:szCs w:val="21"/>
              </w:rPr>
              <w:t>需支持三码流技术，可同时浏览三路码流，主码流最高1920x1080@25fps，第三码流最大640x480 @ 1fps，子码流640x480@25fps。</w:t>
            </w:r>
          </w:p>
          <w:p>
            <w:pPr>
              <w:tabs>
                <w:tab w:val="left" w:pos="592"/>
              </w:tabs>
              <w:rPr>
                <w:rFonts w:ascii="宋体" w:hAnsi="宋体" w:cs="宋体"/>
                <w:color w:val="000000" w:themeColor="text1"/>
                <w:kern w:val="0"/>
                <w:szCs w:val="21"/>
              </w:rPr>
            </w:pPr>
            <w:r>
              <w:rPr>
                <w:rFonts w:hint="eastAsia" w:ascii="宋体" w:hAnsi="宋体" w:cs="宋体"/>
                <w:color w:val="000000" w:themeColor="text1"/>
                <w:kern w:val="0"/>
                <w:szCs w:val="21"/>
              </w:rPr>
              <w:t>在1920x1080 @ 25fps下，清晰度不小于1000TVL。</w:t>
            </w:r>
          </w:p>
          <w:p>
            <w:pPr>
              <w:tabs>
                <w:tab w:val="left" w:pos="592"/>
              </w:tabs>
              <w:rPr>
                <w:rFonts w:ascii="宋体" w:hAnsi="宋体" w:cs="宋体"/>
                <w:color w:val="000000" w:themeColor="text1"/>
                <w:kern w:val="0"/>
                <w:szCs w:val="21"/>
              </w:rPr>
            </w:pPr>
            <w:r>
              <w:rPr>
                <w:rFonts w:hint="eastAsia" w:ascii="宋体" w:hAnsi="宋体" w:cs="宋体"/>
                <w:color w:val="000000" w:themeColor="text1"/>
                <w:kern w:val="0"/>
                <w:szCs w:val="21"/>
              </w:rPr>
              <w:t>支持H.264、H.265、MJPEG视频编码格式，其中H.264支持Baseline/Main/High Profile。</w:t>
            </w:r>
          </w:p>
          <w:p>
            <w:pPr>
              <w:tabs>
                <w:tab w:val="left" w:pos="592"/>
              </w:tabs>
              <w:rPr>
                <w:rFonts w:ascii="宋体" w:hAnsi="宋体" w:cs="宋体"/>
                <w:color w:val="000000" w:themeColor="text1"/>
                <w:kern w:val="0"/>
                <w:szCs w:val="21"/>
              </w:rPr>
            </w:pPr>
            <w:r>
              <w:rPr>
                <w:rFonts w:hint="eastAsia" w:ascii="宋体" w:hAnsi="宋体" w:cs="宋体"/>
                <w:color w:val="000000" w:themeColor="text1"/>
                <w:kern w:val="0"/>
                <w:szCs w:val="21"/>
              </w:rPr>
              <w:t>信噪比不小于62dB。</w:t>
            </w:r>
          </w:p>
          <w:p>
            <w:pPr>
              <w:tabs>
                <w:tab w:val="left" w:pos="592"/>
              </w:tabs>
              <w:rPr>
                <w:rFonts w:ascii="宋体" w:hAnsi="宋体" w:cs="宋体"/>
                <w:color w:val="000000" w:themeColor="text1"/>
                <w:kern w:val="0"/>
                <w:szCs w:val="21"/>
              </w:rPr>
            </w:pPr>
            <w:r>
              <w:rPr>
                <w:rFonts w:hint="eastAsia" w:ascii="宋体" w:hAnsi="宋体" w:cs="宋体"/>
                <w:color w:val="000000" w:themeColor="text1"/>
                <w:kern w:val="0"/>
                <w:szCs w:val="21"/>
              </w:rPr>
              <w:t>需具有大于140分的宽动态能力。</w:t>
            </w:r>
          </w:p>
          <w:p>
            <w:pPr>
              <w:tabs>
                <w:tab w:val="left" w:pos="592"/>
              </w:tabs>
              <w:rPr>
                <w:rFonts w:ascii="宋体" w:hAnsi="宋体" w:cs="宋体"/>
                <w:color w:val="000000" w:themeColor="text1"/>
                <w:kern w:val="0"/>
                <w:szCs w:val="21"/>
              </w:rPr>
            </w:pPr>
            <w:r>
              <w:rPr>
                <w:rFonts w:hint="eastAsia" w:ascii="宋体" w:hAnsi="宋体" w:cs="宋体"/>
                <w:color w:val="000000" w:themeColor="text1"/>
                <w:kern w:val="0"/>
                <w:szCs w:val="21"/>
              </w:rPr>
              <w:t>摄像机能够在-30~60摄氏度，湿度小于93%环境下稳定工作。</w:t>
            </w:r>
          </w:p>
          <w:p>
            <w:pPr>
              <w:tabs>
                <w:tab w:val="left" w:pos="592"/>
              </w:tabs>
              <w:rPr>
                <w:rFonts w:ascii="宋体" w:hAnsi="宋体" w:cs="宋体"/>
                <w:color w:val="000000" w:themeColor="text1"/>
                <w:kern w:val="0"/>
                <w:szCs w:val="21"/>
              </w:rPr>
            </w:pPr>
            <w:r>
              <w:rPr>
                <w:rFonts w:hint="eastAsia" w:ascii="宋体" w:hAnsi="宋体" w:cs="宋体"/>
                <w:color w:val="000000" w:themeColor="text1"/>
                <w:kern w:val="0"/>
                <w:szCs w:val="21"/>
              </w:rPr>
              <w:t>不低于IP66防尘防水等级.</w:t>
            </w:r>
          </w:p>
          <w:p>
            <w:pPr>
              <w:tabs>
                <w:tab w:val="left" w:pos="592"/>
              </w:tabs>
              <w:rPr>
                <w:rFonts w:ascii="宋体" w:hAnsi="宋体" w:cs="宋体"/>
                <w:color w:val="000000" w:themeColor="text1"/>
                <w:kern w:val="0"/>
                <w:szCs w:val="21"/>
              </w:rPr>
            </w:pPr>
            <w:r>
              <w:rPr>
                <w:rFonts w:hint="eastAsia" w:ascii="宋体" w:hAnsi="宋体" w:cs="宋体"/>
                <w:color w:val="000000" w:themeColor="text1"/>
                <w:kern w:val="0"/>
                <w:szCs w:val="21"/>
              </w:rPr>
              <w:t>需支持DC12V供电，且在不小于DC12V±25%范围内变化时可以正常工作。</w:t>
            </w:r>
          </w:p>
          <w:p>
            <w:pPr>
              <w:tabs>
                <w:tab w:val="left" w:pos="592"/>
              </w:tabs>
              <w:rPr>
                <w:rFonts w:ascii="宋体" w:hAnsi="宋体" w:cs="宋体"/>
                <w:color w:val="000000" w:themeColor="text1"/>
                <w:kern w:val="0"/>
                <w:szCs w:val="21"/>
              </w:rPr>
            </w:pPr>
            <w:r>
              <w:rPr>
                <w:rFonts w:hint="eastAsia" w:ascii="宋体" w:hAnsi="宋体" w:cs="宋体"/>
                <w:color w:val="000000" w:themeColor="text1"/>
                <w:kern w:val="0"/>
                <w:szCs w:val="21"/>
              </w:rPr>
              <w:t>设备工作状态时，支持空气放电9kV，接触放电7kV，通讯端口支持6kV峰值电压。</w:t>
            </w:r>
          </w:p>
          <w:p>
            <w:pPr>
              <w:tabs>
                <w:tab w:val="left" w:pos="592"/>
              </w:tabs>
              <w:rPr>
                <w:rFonts w:ascii="宋体" w:hAnsi="宋体" w:cs="宋体"/>
                <w:color w:val="000000" w:themeColor="text1"/>
                <w:kern w:val="0"/>
                <w:szCs w:val="21"/>
              </w:rPr>
            </w:pPr>
            <w:r>
              <w:rPr>
                <w:rFonts w:hint="eastAsia" w:ascii="宋体" w:hAnsi="宋体" w:cs="宋体"/>
                <w:color w:val="000000" w:themeColor="text1"/>
                <w:kern w:val="0"/>
                <w:szCs w:val="21"/>
              </w:rPr>
              <w:t>同一静止场景相同图像质量下，设备在H.265编码方式时，开启智能编码功能和不开启智能编码相比，码率节约80%。</w:t>
            </w:r>
          </w:p>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▲支持快捷配置功能，可在预览画面开启/关闭“快捷配置”页面，对曝光参数、OSD等参数进行配置，并可恢复为默认设置。提供公安部检测报告复印件。</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台</w:t>
            </w:r>
          </w:p>
        </w:tc>
      </w:tr>
      <w:tr>
        <w:tblPrEx>
          <w:tblCellMar>
            <w:top w:w="0" w:type="dxa"/>
            <w:left w:w="108" w:type="dxa"/>
            <w:bottom w:w="0" w:type="dxa"/>
            <w:right w:w="108" w:type="dxa"/>
          </w:tblCellMar>
        </w:tblPrEx>
        <w:trPr>
          <w:trHeight w:val="285"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w:t>
            </w:r>
            <w:r>
              <w:rPr>
                <w:rFonts w:ascii="宋体" w:hAnsi="宋体" w:cs="宋体"/>
                <w:color w:val="000000" w:themeColor="text1"/>
                <w:kern w:val="0"/>
                <w:szCs w:val="21"/>
              </w:rPr>
              <w:t>1</w:t>
            </w:r>
          </w:p>
        </w:tc>
        <w:tc>
          <w:tcPr>
            <w:tcW w:w="59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强弱电布线</w:t>
            </w:r>
          </w:p>
        </w:tc>
        <w:tc>
          <w:tcPr>
            <w:tcW w:w="338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完成本项目需要的强电线缆、弱电线缆 安装调试等</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项</w:t>
            </w:r>
          </w:p>
        </w:tc>
      </w:tr>
      <w:tr>
        <w:tblPrEx>
          <w:tblCellMar>
            <w:top w:w="0" w:type="dxa"/>
            <w:left w:w="108" w:type="dxa"/>
            <w:bottom w:w="0" w:type="dxa"/>
            <w:right w:w="108" w:type="dxa"/>
          </w:tblCellMar>
        </w:tblPrEx>
        <w:trPr>
          <w:trHeight w:val="285"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w:t>
            </w:r>
            <w:r>
              <w:rPr>
                <w:rFonts w:ascii="宋体" w:hAnsi="宋体" w:cs="宋体"/>
                <w:color w:val="000000" w:themeColor="text1"/>
                <w:kern w:val="0"/>
                <w:szCs w:val="21"/>
              </w:rPr>
              <w:t>2</w:t>
            </w:r>
          </w:p>
        </w:tc>
        <w:tc>
          <w:tcPr>
            <w:tcW w:w="59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辅材</w:t>
            </w:r>
          </w:p>
        </w:tc>
        <w:tc>
          <w:tcPr>
            <w:tcW w:w="338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完成本项目需要的一应辅助材料</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批</w:t>
            </w:r>
          </w:p>
        </w:tc>
      </w:tr>
      <w:tr>
        <w:tblPrEx>
          <w:tblCellMar>
            <w:top w:w="0" w:type="dxa"/>
            <w:left w:w="108" w:type="dxa"/>
            <w:bottom w:w="0" w:type="dxa"/>
            <w:right w:w="108" w:type="dxa"/>
          </w:tblCellMar>
        </w:tblPrEx>
        <w:trPr>
          <w:trHeight w:val="285"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二</w:t>
            </w:r>
          </w:p>
        </w:tc>
        <w:tc>
          <w:tcPr>
            <w:tcW w:w="59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电竞机房</w:t>
            </w:r>
          </w:p>
        </w:tc>
        <w:tc>
          <w:tcPr>
            <w:tcW w:w="33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r>
      <w:tr>
        <w:tblPrEx>
          <w:tblCellMar>
            <w:top w:w="0" w:type="dxa"/>
            <w:left w:w="108" w:type="dxa"/>
            <w:bottom w:w="0" w:type="dxa"/>
            <w:right w:w="108" w:type="dxa"/>
          </w:tblCellMar>
        </w:tblPrEx>
        <w:trPr>
          <w:trHeight w:val="699"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59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工作站</w:t>
            </w:r>
          </w:p>
        </w:tc>
        <w:tc>
          <w:tcPr>
            <w:tcW w:w="338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芯片组Intel B365，CPUIntel 酷睿I7 9700F （8核8线程 4.7主频）显卡GeForce RTX 2060 SUPER 8G内存16GB DDR4 2666Mhz （可扩展至32G），硬盘256GB NVME M.2 SSD+1TB 3.5inch HDD电源，额定350W 80Plus铜牌认证电源I/O接口前置：2*USB3.0 / 2*USB2.0 / 1*3.5mm麦克风输入 / 1*3.5mm耳机输出；后置：2*USB3.0 / 2*USB2.0 / 1*USB3.1 TYPE-A / 1*USB3.1 TYPE-C / 1*PS2 / 1*RJ45网络接口 / 1*3.5mm麦克风输入 / 1*3.5mm耳机输出 / 1*3.5mm线路输入 / 1*3.5mm中置低音炮输出 / 1*3.5mm中置环绕声道输出 / 1*3.5mm 后置环绕声道输出 / 1*DVI视频接口 / 1*HDMI视频接口 / 1*DisplayPort视频接口 / 1*220V交流电输入接口尺寸。</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套</w:t>
            </w:r>
          </w:p>
        </w:tc>
      </w:tr>
      <w:tr>
        <w:tblPrEx>
          <w:tblCellMar>
            <w:top w:w="0" w:type="dxa"/>
            <w:left w:w="108" w:type="dxa"/>
            <w:bottom w:w="0" w:type="dxa"/>
            <w:right w:w="108" w:type="dxa"/>
          </w:tblCellMar>
        </w:tblPrEx>
        <w:trPr>
          <w:trHeight w:val="1263"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w:t>
            </w:r>
          </w:p>
        </w:tc>
        <w:tc>
          <w:tcPr>
            <w:tcW w:w="59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显示器</w:t>
            </w:r>
          </w:p>
        </w:tc>
        <w:tc>
          <w:tcPr>
            <w:tcW w:w="338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面板尺寸 : 24.5"(62.23cm) 16:9 宽屏色彩饱和度: 72%(NTSC)</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面板类型 : TN分辨率 : 1920x1080屏幕可视面积(HxV) : 597.6 x 336.15 mm亮度 : 400 cd/㎡对比度: 1000:1像素间距: 0.2832 x 0.2802mm屏幕表面 防眩光智能动态对比度 (ASCR) : 100000000:1可视角度 (CR≧10) : 170°(H)/160°(V)响应时间 : 1ms (灰阶到灰阶)显示颜色 : 16.7M不闪屏1色数16.7M</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台</w:t>
            </w:r>
          </w:p>
        </w:tc>
      </w:tr>
      <w:tr>
        <w:tblPrEx>
          <w:tblCellMar>
            <w:top w:w="0" w:type="dxa"/>
            <w:left w:w="108" w:type="dxa"/>
            <w:bottom w:w="0" w:type="dxa"/>
            <w:right w:w="108" w:type="dxa"/>
          </w:tblCellMar>
        </w:tblPrEx>
        <w:trPr>
          <w:trHeight w:val="285"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3</w:t>
            </w:r>
          </w:p>
        </w:tc>
        <w:tc>
          <w:tcPr>
            <w:tcW w:w="59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xml:space="preserve"> 键盘鼠标耳机</w:t>
            </w:r>
          </w:p>
        </w:tc>
        <w:tc>
          <w:tcPr>
            <w:tcW w:w="338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 xml:space="preserve"> 108键 单光 全键无冲键盘黑银黑轴、头戴耳机、鼠标 6000DPI </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套</w:t>
            </w:r>
          </w:p>
        </w:tc>
      </w:tr>
      <w:tr>
        <w:tblPrEx>
          <w:tblCellMar>
            <w:top w:w="0" w:type="dxa"/>
            <w:left w:w="108" w:type="dxa"/>
            <w:bottom w:w="0" w:type="dxa"/>
            <w:right w:w="108" w:type="dxa"/>
          </w:tblCellMar>
        </w:tblPrEx>
        <w:trPr>
          <w:trHeight w:val="285"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4</w:t>
            </w:r>
          </w:p>
        </w:tc>
        <w:tc>
          <w:tcPr>
            <w:tcW w:w="59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xml:space="preserve">电竞桌 </w:t>
            </w:r>
          </w:p>
        </w:tc>
        <w:tc>
          <w:tcPr>
            <w:tcW w:w="338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 xml:space="preserve"> 定制带学院LOGO.</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套</w:t>
            </w:r>
          </w:p>
        </w:tc>
      </w:tr>
      <w:tr>
        <w:tblPrEx>
          <w:tblCellMar>
            <w:top w:w="0" w:type="dxa"/>
            <w:left w:w="108" w:type="dxa"/>
            <w:bottom w:w="0" w:type="dxa"/>
            <w:right w:w="108" w:type="dxa"/>
          </w:tblCellMar>
        </w:tblPrEx>
        <w:trPr>
          <w:trHeight w:val="960"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5</w:t>
            </w:r>
          </w:p>
        </w:tc>
        <w:tc>
          <w:tcPr>
            <w:tcW w:w="59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xml:space="preserve">电竞椅 </w:t>
            </w:r>
          </w:p>
        </w:tc>
        <w:tc>
          <w:tcPr>
            <w:tcW w:w="338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耐水解皮面；高密度全定型海绵靠背坐垫，久坐不塌陷；全金属骨架结构，坚固耐用；无螺丝一体焊接1D升降扶手，拒绝松动；</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SGS4欧洲标准认证气压杆+防爆底盘，安全保障；后躺155°+25°逍遥设计，满足不同场景需求；金属加固五爪，软PU包裹静音滚轮。</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套</w:t>
            </w:r>
          </w:p>
        </w:tc>
      </w:tr>
      <w:tr>
        <w:tblPrEx>
          <w:tblCellMar>
            <w:top w:w="0" w:type="dxa"/>
            <w:left w:w="108" w:type="dxa"/>
            <w:bottom w:w="0" w:type="dxa"/>
            <w:right w:w="108" w:type="dxa"/>
          </w:tblCellMar>
        </w:tblPrEx>
        <w:trPr>
          <w:trHeight w:val="3676"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6</w:t>
            </w:r>
          </w:p>
        </w:tc>
        <w:tc>
          <w:tcPr>
            <w:tcW w:w="59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交换机</w:t>
            </w:r>
          </w:p>
        </w:tc>
        <w:tc>
          <w:tcPr>
            <w:tcW w:w="338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交换容量≥336Gbps 转发性能≥51Mpps固化10/100/1000M以太网端口≥24，固化1G SFP光接口≥4个；要求所投设备MAC地址≥16K</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要求所投产品端口浪涌抗扰度≥10KV（即具备10KV的防雷能力），。支持静态路由、RIP/RIPng、OSPFv2/OSPFv3等三层路由协议。</w:t>
            </w:r>
          </w:p>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▲支持SAVI功能，可防止地址解析欺骗，投标时提供具有CMA或CAL或 CNAS认证章的第三方权威机构检验报告证明复印件。</w:t>
            </w:r>
          </w:p>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支持专门基础网络保护机制的NFPP功能，支持多种类型的防护，如ARP防护，当ARP速率超过攻击水线，对有攻击行为的用户进行隔离，保证设备和整网的安全稳定运行。</w:t>
            </w:r>
          </w:p>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支持SNMP、CLI(Telnet/Console)、RMON、SSH、Syslog、NTP/SNTP、FTP、TFTP、Web。</w:t>
            </w:r>
            <w:r>
              <w:rPr>
                <w:rFonts w:hint="eastAsia" w:ascii="宋体" w:hAnsi="宋体" w:cs="宋体"/>
                <w:bCs/>
                <w:color w:val="000000" w:themeColor="text1"/>
                <w:kern w:val="0"/>
                <w:szCs w:val="21"/>
              </w:rPr>
              <w:t xml:space="preserve"> </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台</w:t>
            </w:r>
          </w:p>
        </w:tc>
      </w:tr>
      <w:tr>
        <w:tblPrEx>
          <w:tblCellMar>
            <w:top w:w="0" w:type="dxa"/>
            <w:left w:w="108" w:type="dxa"/>
            <w:bottom w:w="0" w:type="dxa"/>
            <w:right w:w="108" w:type="dxa"/>
          </w:tblCellMar>
        </w:tblPrEx>
        <w:trPr>
          <w:trHeight w:val="285"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7</w:t>
            </w:r>
          </w:p>
        </w:tc>
        <w:tc>
          <w:tcPr>
            <w:tcW w:w="59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无线AP</w:t>
            </w:r>
          </w:p>
        </w:tc>
        <w:tc>
          <w:tcPr>
            <w:tcW w:w="338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无线速率：750M天线：内置天线供电方式：POE供电WAN接入口：千兆网口</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台</w:t>
            </w:r>
          </w:p>
        </w:tc>
      </w:tr>
      <w:tr>
        <w:tblPrEx>
          <w:tblCellMar>
            <w:top w:w="0" w:type="dxa"/>
            <w:left w:w="108" w:type="dxa"/>
            <w:bottom w:w="0" w:type="dxa"/>
            <w:right w:w="108" w:type="dxa"/>
          </w:tblCellMar>
        </w:tblPrEx>
        <w:trPr>
          <w:trHeight w:val="1547"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8</w:t>
            </w:r>
          </w:p>
        </w:tc>
        <w:tc>
          <w:tcPr>
            <w:tcW w:w="59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xml:space="preserve">直播系统 </w:t>
            </w:r>
          </w:p>
        </w:tc>
        <w:tc>
          <w:tcPr>
            <w:tcW w:w="338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1．内置状态监测窗口，可直接监测视频、网络工作状态；可将高清数字视频信号转换成适合互联网传播的视频直播流,码流适中、画质清晰</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2.可以和主流视频采集设备无缝对接，如家用DV、专业摄像机、主流录播平台、高清导播台、视频矩阵、电视台转播车等。将采集的高清数字视频信号通过网络上传至公有云服务器。设备小巧，即插即用，移动方便，直流供电，可轻松实现移动直播3.自有云平台，支持CDN分发，支持十万用户在线实现低带宽、高画质、稳定的视频观看体验，4G移动网络即可满足直播的网络需求.4.可将直播信号嵌入微信公众号，无需安装专有APP，只需关注该公众号即可通过手机、PAD或PC观看视频直播；在直播界面上可使用文字、图片、语音、视频的方式互动交流，交流的内容可管可控，支持黑名单设置以及关键字屏蔽</w:t>
            </w:r>
          </w:p>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▲提供视频信息结构化标引系统软件著作权证书复印件。（提供中国版权服务微平台著作权验证截图）</w:t>
            </w:r>
          </w:p>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5.管理员可通过直播管理平台对直播流信号进行精彩片段的截取，十分钟内可实现对之前直播内容的快速切片，将视频片段实时发布在直播页面；支持将视频片段导出独立的通用格式的视频文件下载以满足视频再利用的需求；视频片段最长可达120分钟；在直播过后用户可通过直播页面查找相关视频进行回看6.云平台用于存储视频片段的空间为2TB，当云平台存储的视频内容大于2TB时，管理员可通过直播管理平台删除历史视频片段而重新获得上传空间7.直播画面可在所有主流操作系统平台上进行播放：包括Windows、Mac、IOS和Android等系统,以满足用户直播、点播、边看边聊等需求8.设备参数输入接口: HDMI和SDI</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视频格式支持: 720p50、720p59.94、720p60、1080PsF23.98、1080p23.98、1080PsF24、1080p24、1080PsF25、1080p25、1080PsF29.97、1080p29.97、1080PsF30、1080p30、1080i50、1080i59.94和1080i60</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音频采样: 电视标准采样率48 kHz，24 bit。</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台</w:t>
            </w:r>
          </w:p>
        </w:tc>
      </w:tr>
      <w:tr>
        <w:tblPrEx>
          <w:tblCellMar>
            <w:top w:w="0" w:type="dxa"/>
            <w:left w:w="108" w:type="dxa"/>
            <w:bottom w:w="0" w:type="dxa"/>
            <w:right w:w="108" w:type="dxa"/>
          </w:tblCellMar>
        </w:tblPrEx>
        <w:trPr>
          <w:trHeight w:val="285"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9</w:t>
            </w:r>
          </w:p>
        </w:tc>
        <w:tc>
          <w:tcPr>
            <w:tcW w:w="59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机柜</w:t>
            </w:r>
          </w:p>
        </w:tc>
        <w:tc>
          <w:tcPr>
            <w:tcW w:w="338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18U 600*600网络机柜</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套</w:t>
            </w:r>
          </w:p>
        </w:tc>
      </w:tr>
      <w:tr>
        <w:tblPrEx>
          <w:tblCellMar>
            <w:top w:w="0" w:type="dxa"/>
            <w:left w:w="108" w:type="dxa"/>
            <w:bottom w:w="0" w:type="dxa"/>
            <w:right w:w="108" w:type="dxa"/>
          </w:tblCellMar>
        </w:tblPrEx>
        <w:trPr>
          <w:trHeight w:val="960"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59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电竞手机</w:t>
            </w:r>
          </w:p>
        </w:tc>
        <w:tc>
          <w:tcPr>
            <w:tcW w:w="338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CPU型号：骁龙855plus，摄像头数量：后置双摄，前摄主摄像素：2400万像素，操作系统：Android(安卓)，电池容量：5000mAh以上，运行内存：8GB，机身存储：128GB，屏幕比例：19.5:9，充电接口类：Type-C，GPU型：Adreno 640，屏幕分辨率：2340*1080，屏幕刷新率：120Hz</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台</w:t>
            </w:r>
          </w:p>
        </w:tc>
      </w:tr>
      <w:tr>
        <w:tblPrEx>
          <w:tblCellMar>
            <w:top w:w="0" w:type="dxa"/>
            <w:left w:w="108" w:type="dxa"/>
            <w:bottom w:w="0" w:type="dxa"/>
            <w:right w:w="108" w:type="dxa"/>
          </w:tblCellMar>
        </w:tblPrEx>
        <w:trPr>
          <w:trHeight w:val="285"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11</w:t>
            </w:r>
          </w:p>
        </w:tc>
        <w:tc>
          <w:tcPr>
            <w:tcW w:w="59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强弱电布线</w:t>
            </w:r>
          </w:p>
        </w:tc>
        <w:tc>
          <w:tcPr>
            <w:tcW w:w="338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完成本项目需要的强电线缆、弱电线缆 安装调试等</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项</w:t>
            </w:r>
          </w:p>
        </w:tc>
      </w:tr>
      <w:tr>
        <w:tblPrEx>
          <w:tblCellMar>
            <w:top w:w="0" w:type="dxa"/>
            <w:left w:w="108" w:type="dxa"/>
            <w:bottom w:w="0" w:type="dxa"/>
            <w:right w:w="108" w:type="dxa"/>
          </w:tblCellMar>
        </w:tblPrEx>
        <w:trPr>
          <w:trHeight w:val="285"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12</w:t>
            </w:r>
          </w:p>
        </w:tc>
        <w:tc>
          <w:tcPr>
            <w:tcW w:w="59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辅材</w:t>
            </w:r>
          </w:p>
        </w:tc>
        <w:tc>
          <w:tcPr>
            <w:tcW w:w="338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完成本项目需要的一应辅助材料</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批</w:t>
            </w:r>
          </w:p>
        </w:tc>
      </w:tr>
      <w:tr>
        <w:tblPrEx>
          <w:tblCellMar>
            <w:top w:w="0" w:type="dxa"/>
            <w:left w:w="108" w:type="dxa"/>
            <w:bottom w:w="0" w:type="dxa"/>
            <w:right w:w="108" w:type="dxa"/>
          </w:tblCellMar>
        </w:tblPrEx>
        <w:trPr>
          <w:trHeight w:val="285"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13</w:t>
            </w:r>
          </w:p>
        </w:tc>
        <w:tc>
          <w:tcPr>
            <w:tcW w:w="59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装饰</w:t>
            </w:r>
          </w:p>
        </w:tc>
        <w:tc>
          <w:tcPr>
            <w:tcW w:w="338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电压: 111V~240V（含）灯身主材质: 铝灯罩主材质: PMMA高透光率灯罩光源类型: LED 。9</w:t>
            </w:r>
            <w:r>
              <w:rPr>
                <w:rFonts w:ascii="宋体" w:hAnsi="宋体" w:cs="宋体"/>
                <w:color w:val="000000" w:themeColor="text1"/>
                <w:kern w:val="0"/>
                <w:szCs w:val="21"/>
              </w:rPr>
              <w:t>00</w:t>
            </w:r>
            <w:r>
              <w:rPr>
                <w:rFonts w:hint="eastAsia" w:ascii="宋体" w:hAnsi="宋体" w:cs="宋体"/>
                <w:color w:val="000000" w:themeColor="text1"/>
                <w:kern w:val="0"/>
                <w:szCs w:val="21"/>
              </w:rPr>
              <w:t>*</w:t>
            </w:r>
            <w:r>
              <w:rPr>
                <w:rFonts w:ascii="宋体" w:hAnsi="宋体" w:cs="宋体"/>
                <w:color w:val="000000" w:themeColor="text1"/>
                <w:kern w:val="0"/>
                <w:szCs w:val="21"/>
              </w:rPr>
              <w:t xml:space="preserve">70 </w:t>
            </w:r>
            <w:r>
              <w:rPr>
                <w:rFonts w:hint="eastAsia" w:ascii="宋体" w:hAnsi="宋体" w:cs="宋体"/>
                <w:color w:val="000000" w:themeColor="text1"/>
                <w:kern w:val="0"/>
                <w:szCs w:val="21"/>
              </w:rPr>
              <w:t>*</w:t>
            </w:r>
            <w:r>
              <w:rPr>
                <w:rFonts w:ascii="宋体" w:hAnsi="宋体" w:cs="宋体"/>
                <w:color w:val="000000" w:themeColor="text1"/>
                <w:kern w:val="0"/>
                <w:szCs w:val="21"/>
              </w:rPr>
              <w:t>8</w:t>
            </w:r>
            <w:r>
              <w:rPr>
                <w:rFonts w:hint="eastAsia" w:ascii="宋体" w:hAnsi="宋体" w:cs="宋体"/>
                <w:color w:val="000000" w:themeColor="text1"/>
                <w:kern w:val="0"/>
                <w:szCs w:val="21"/>
              </w:rPr>
              <w:t>组。</w:t>
            </w:r>
          </w:p>
          <w:p>
            <w:pPr>
              <w:pStyle w:val="4"/>
              <w:shd w:val="clear" w:color="auto" w:fill="FFFFFF"/>
              <w:spacing w:before="0" w:after="0" w:line="315" w:lineRule="atLeast"/>
              <w:rPr>
                <w:rFonts w:ascii="Tahoma" w:hAnsi="Tahoma" w:cs="Tahoma"/>
                <w:color w:val="3C3C3C"/>
                <w:kern w:val="0"/>
                <w:sz w:val="24"/>
                <w:szCs w:val="24"/>
              </w:rPr>
            </w:pPr>
            <w:r>
              <w:rPr>
                <w:rFonts w:ascii="Tahoma" w:hAnsi="Tahoma" w:cs="Tahoma"/>
                <w:color w:val="3C3C3C"/>
                <w:sz w:val="24"/>
                <w:szCs w:val="24"/>
              </w:rPr>
              <w:t>原</w:t>
            </w:r>
            <w:r>
              <w:rPr>
                <w:rFonts w:ascii="宋体" w:hAnsi="宋体" w:cs="宋体"/>
                <w:b w:val="0"/>
                <w:bCs w:val="0"/>
                <w:color w:val="000000" w:themeColor="text1"/>
                <w:kern w:val="0"/>
                <w:sz w:val="21"/>
                <w:szCs w:val="21"/>
              </w:rPr>
              <w:t>画电竞游戏宣传广告</w:t>
            </w:r>
            <w:r>
              <w:rPr>
                <w:rFonts w:hint="eastAsia" w:ascii="宋体" w:hAnsi="宋体" w:cs="宋体"/>
                <w:b w:val="0"/>
                <w:bCs w:val="0"/>
                <w:color w:val="000000" w:themeColor="text1"/>
                <w:kern w:val="0"/>
                <w:sz w:val="21"/>
                <w:szCs w:val="21"/>
              </w:rPr>
              <w:t>海报6</w:t>
            </w:r>
            <w:r>
              <w:rPr>
                <w:rFonts w:ascii="宋体" w:hAnsi="宋体" w:cs="宋体"/>
                <w:b w:val="0"/>
                <w:bCs w:val="0"/>
                <w:color w:val="000000" w:themeColor="text1"/>
                <w:kern w:val="0"/>
                <w:sz w:val="21"/>
                <w:szCs w:val="21"/>
              </w:rPr>
              <w:t>0</w:t>
            </w:r>
            <w:r>
              <w:rPr>
                <w:rFonts w:hint="eastAsia" w:ascii="宋体" w:hAnsi="宋体" w:cs="宋体"/>
                <w:b w:val="0"/>
                <w:bCs w:val="0"/>
                <w:color w:val="000000" w:themeColor="text1"/>
                <w:kern w:val="0"/>
                <w:sz w:val="21"/>
                <w:szCs w:val="21"/>
              </w:rPr>
              <w:t>*</w:t>
            </w:r>
            <w:r>
              <w:rPr>
                <w:rFonts w:ascii="宋体" w:hAnsi="宋体" w:cs="宋体"/>
                <w:b w:val="0"/>
                <w:bCs w:val="0"/>
                <w:color w:val="000000" w:themeColor="text1"/>
                <w:kern w:val="0"/>
                <w:sz w:val="21"/>
                <w:szCs w:val="21"/>
              </w:rPr>
              <w:t xml:space="preserve">90cm </w:t>
            </w:r>
            <w:r>
              <w:rPr>
                <w:rFonts w:hint="eastAsia" w:ascii="宋体" w:hAnsi="宋体" w:cs="宋体"/>
                <w:b w:val="0"/>
                <w:bCs w:val="0"/>
                <w:color w:val="000000" w:themeColor="text1"/>
                <w:kern w:val="0"/>
                <w:sz w:val="21"/>
                <w:szCs w:val="21"/>
              </w:rPr>
              <w:t>*</w:t>
            </w:r>
            <w:r>
              <w:rPr>
                <w:rFonts w:ascii="宋体" w:hAnsi="宋体" w:cs="宋体"/>
                <w:b w:val="0"/>
                <w:bCs w:val="0"/>
                <w:color w:val="000000" w:themeColor="text1"/>
                <w:kern w:val="0"/>
                <w:sz w:val="21"/>
                <w:szCs w:val="21"/>
              </w:rPr>
              <w:t>6</w:t>
            </w:r>
            <w:r>
              <w:rPr>
                <w:rFonts w:hint="eastAsia" w:ascii="宋体" w:hAnsi="宋体" w:cs="宋体"/>
                <w:b w:val="0"/>
                <w:bCs w:val="0"/>
                <w:color w:val="000000" w:themeColor="text1"/>
                <w:kern w:val="0"/>
                <w:sz w:val="21"/>
                <w:szCs w:val="21"/>
              </w:rPr>
              <w:t>副</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项</w:t>
            </w:r>
          </w:p>
        </w:tc>
      </w:tr>
      <w:tr>
        <w:tblPrEx>
          <w:tblCellMar>
            <w:top w:w="0" w:type="dxa"/>
            <w:left w:w="108" w:type="dxa"/>
            <w:bottom w:w="0" w:type="dxa"/>
            <w:right w:w="108" w:type="dxa"/>
          </w:tblCellMar>
        </w:tblPrEx>
        <w:trPr>
          <w:trHeight w:val="285"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14</w:t>
            </w:r>
          </w:p>
        </w:tc>
        <w:tc>
          <w:tcPr>
            <w:tcW w:w="59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安装调试费</w:t>
            </w:r>
          </w:p>
        </w:tc>
        <w:tc>
          <w:tcPr>
            <w:tcW w:w="338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完成以上所有项目工作内容费用</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项</w:t>
            </w:r>
          </w:p>
        </w:tc>
      </w:tr>
    </w:tbl>
    <w:p>
      <w:pPr>
        <w:widowControl/>
        <w:jc w:val="left"/>
      </w:pPr>
    </w:p>
    <w:p/>
    <w:p>
      <w:pPr>
        <w:widowControl/>
        <w:jc w:val="left"/>
        <w:rPr>
          <w:rFonts w:hAnsi="宋体"/>
          <w:b/>
          <w:sz w:val="36"/>
          <w:szCs w:val="36"/>
        </w:rPr>
      </w:pPr>
      <w:bookmarkStart w:id="8" w:name="_Toc462564147"/>
      <w:r>
        <w:rPr>
          <w:rFonts w:hint="eastAsia" w:hAnsi="宋体"/>
          <w:b/>
          <w:sz w:val="28"/>
          <w:szCs w:val="28"/>
          <w:lang w:eastAsia="zh-CN"/>
        </w:rPr>
        <w:t>（</w:t>
      </w:r>
      <w:r>
        <w:rPr>
          <w:rFonts w:hint="eastAsia" w:hAnsi="宋体"/>
          <w:b/>
          <w:sz w:val="28"/>
          <w:szCs w:val="28"/>
          <w:lang w:val="en-US" w:eastAsia="zh-CN"/>
        </w:rPr>
        <w:t>本部分内容由滨江学院（无锡校区）提供并负责</w:t>
      </w:r>
      <w:r>
        <w:rPr>
          <w:rFonts w:hint="eastAsia" w:hAnsi="宋体"/>
          <w:b/>
          <w:sz w:val="28"/>
          <w:szCs w:val="28"/>
          <w:lang w:eastAsia="zh-CN"/>
        </w:rPr>
        <w:t>）</w:t>
      </w:r>
      <w:r>
        <w:rPr>
          <w:rFonts w:hAnsi="宋体"/>
          <w:b/>
          <w:sz w:val="28"/>
          <w:szCs w:val="28"/>
        </w:rPr>
        <w:br w:type="page"/>
      </w:r>
      <w:r>
        <w:rPr>
          <w:rFonts w:hint="eastAsia" w:hAnsi="宋体"/>
          <w:b/>
          <w:sz w:val="28"/>
          <w:szCs w:val="28"/>
        </w:rPr>
        <w:t>附件</w:t>
      </w:r>
      <w:r>
        <w:rPr>
          <w:rFonts w:hAnsi="宋体"/>
          <w:b/>
          <w:sz w:val="28"/>
          <w:szCs w:val="28"/>
        </w:rPr>
        <w:t>2</w:t>
      </w:r>
      <w:r>
        <w:rPr>
          <w:rFonts w:hint="eastAsia" w:hAnsi="宋体"/>
          <w:b/>
          <w:sz w:val="28"/>
          <w:szCs w:val="28"/>
        </w:rPr>
        <w:t>：</w:t>
      </w:r>
    </w:p>
    <w:p>
      <w:pPr>
        <w:tabs>
          <w:tab w:val="left" w:pos="3270"/>
        </w:tabs>
        <w:autoSpaceDE w:val="0"/>
        <w:autoSpaceDN w:val="0"/>
        <w:adjustRightInd w:val="0"/>
        <w:spacing w:line="360" w:lineRule="exact"/>
        <w:rPr>
          <w:rFonts w:ascii="宋体" w:hAnsi="宋体"/>
          <w:b/>
          <w:sz w:val="24"/>
          <w:lang w:val="zh-CN"/>
        </w:rPr>
      </w:pPr>
      <w:bookmarkStart w:id="9" w:name="_Hlk9862420"/>
    </w:p>
    <w:p>
      <w:pPr>
        <w:autoSpaceDE w:val="0"/>
        <w:autoSpaceDN w:val="0"/>
        <w:adjustRightInd w:val="0"/>
        <w:spacing w:line="360" w:lineRule="exact"/>
        <w:ind w:firstLine="723" w:firstLineChars="200"/>
        <w:jc w:val="center"/>
        <w:rPr>
          <w:rFonts w:ascii="宋体" w:hAnsi="宋体"/>
          <w:b/>
          <w:sz w:val="36"/>
          <w:szCs w:val="36"/>
          <w:lang w:val="zh-CN"/>
        </w:rPr>
      </w:pPr>
      <w:r>
        <w:rPr>
          <w:rFonts w:hint="eastAsia" w:ascii="宋体" w:hAnsi="宋体"/>
          <w:b/>
          <w:sz w:val="36"/>
          <w:szCs w:val="36"/>
          <w:lang w:val="zh-CN"/>
        </w:rPr>
        <w:t>投标函</w:t>
      </w:r>
    </w:p>
    <w:p>
      <w:pPr>
        <w:autoSpaceDE w:val="0"/>
        <w:autoSpaceDN w:val="0"/>
        <w:adjustRightInd w:val="0"/>
        <w:spacing w:line="300" w:lineRule="auto"/>
        <w:rPr>
          <w:rFonts w:ascii="宋体" w:hAnsi="宋体"/>
          <w:sz w:val="24"/>
          <w:lang w:val="zh-CN"/>
        </w:rPr>
      </w:pPr>
      <w:r>
        <w:rPr>
          <w:rFonts w:hint="eastAsia" w:ascii="宋体" w:hAnsi="宋体"/>
          <w:sz w:val="24"/>
          <w:lang w:val="zh-CN"/>
        </w:rPr>
        <w:t>致：南京信息工程大学</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根据贵方</w:t>
      </w:r>
      <w:r>
        <w:rPr>
          <w:rFonts w:hint="eastAsia" w:ascii="宋体" w:hAnsi="宋体"/>
          <w:sz w:val="24"/>
          <w:u w:val="single"/>
          <w:lang w:val="zh-CN"/>
        </w:rPr>
        <w:t xml:space="preserve">                   </w:t>
      </w:r>
      <w:r>
        <w:rPr>
          <w:rFonts w:hint="eastAsia" w:ascii="宋体" w:hAnsi="宋体"/>
          <w:sz w:val="24"/>
          <w:lang w:val="zh-CN"/>
        </w:rPr>
        <w:t>（项目名称）</w:t>
      </w:r>
      <w:r>
        <w:rPr>
          <w:rFonts w:hint="eastAsia" w:ascii="宋体" w:hAnsi="宋体"/>
          <w:b/>
          <w:sz w:val="24"/>
          <w:u w:val="single"/>
          <w:lang w:val="zh-CN"/>
        </w:rPr>
        <w:t xml:space="preserve">        </w:t>
      </w:r>
      <w:r>
        <w:rPr>
          <w:rFonts w:hint="eastAsia" w:ascii="宋体" w:hAnsi="宋体"/>
          <w:sz w:val="24"/>
          <w:lang w:val="zh-CN"/>
        </w:rPr>
        <w:t>（项目编号）投标邀请，正式授权下述签字人</w:t>
      </w:r>
      <w:r>
        <w:rPr>
          <w:rFonts w:hint="eastAsia" w:ascii="宋体" w:hAnsi="宋体"/>
          <w:sz w:val="24"/>
          <w:u w:val="single"/>
          <w:lang w:val="zh-CN"/>
        </w:rPr>
        <w:t xml:space="preserve">        </w:t>
      </w:r>
      <w:r>
        <w:rPr>
          <w:rFonts w:ascii="宋体" w:hAnsi="宋体"/>
          <w:sz w:val="24"/>
          <w:lang w:val="zh-CN"/>
        </w:rPr>
        <w:t>(</w:t>
      </w:r>
      <w:r>
        <w:rPr>
          <w:rFonts w:hint="eastAsia" w:ascii="宋体" w:hAnsi="宋体"/>
          <w:sz w:val="24"/>
          <w:lang w:val="zh-CN"/>
        </w:rPr>
        <w:t>姓名和职务</w:t>
      </w:r>
      <w:r>
        <w:rPr>
          <w:rFonts w:ascii="宋体" w:hAnsi="宋体"/>
          <w:sz w:val="24"/>
          <w:lang w:val="zh-CN"/>
        </w:rPr>
        <w:t>)</w:t>
      </w:r>
      <w:r>
        <w:rPr>
          <w:rFonts w:hint="eastAsia" w:ascii="宋体" w:hAnsi="宋体"/>
          <w:sz w:val="24"/>
          <w:lang w:val="zh-CN"/>
        </w:rPr>
        <w:t xml:space="preserve">代表投标人 </w:t>
      </w:r>
      <w:r>
        <w:rPr>
          <w:rFonts w:hint="eastAsia" w:ascii="宋体" w:hAnsi="宋体"/>
          <w:sz w:val="24"/>
          <w:u w:val="single"/>
          <w:lang w:val="zh-CN"/>
        </w:rPr>
        <w:t xml:space="preserve">        </w:t>
      </w:r>
      <w:r>
        <w:rPr>
          <w:rFonts w:hint="eastAsia" w:ascii="宋体" w:hAnsi="宋体"/>
          <w:sz w:val="24"/>
          <w:lang w:val="zh-CN"/>
        </w:rPr>
        <w:t>（投标人名称），提交投标文件。</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据此函，签字人兹宣布声明和承诺如下：</w:t>
      </w:r>
    </w:p>
    <w:p>
      <w:pPr>
        <w:autoSpaceDE w:val="0"/>
        <w:autoSpaceDN w:val="0"/>
        <w:adjustRightInd w:val="0"/>
        <w:spacing w:line="300" w:lineRule="auto"/>
        <w:ind w:firstLine="480" w:firstLineChars="200"/>
        <w:rPr>
          <w:rFonts w:ascii="宋体" w:hAnsi="宋体"/>
          <w:sz w:val="22"/>
          <w:szCs w:val="22"/>
        </w:rPr>
      </w:pPr>
      <w:r>
        <w:rPr>
          <w:rFonts w:ascii="宋体" w:hAnsi="宋体"/>
          <w:sz w:val="24"/>
          <w:lang w:val="zh-CN"/>
        </w:rPr>
        <w:t>1</w:t>
      </w:r>
      <w:r>
        <w:rPr>
          <w:rFonts w:hint="eastAsia" w:ascii="宋体" w:hAnsi="宋体"/>
          <w:sz w:val="24"/>
          <w:lang w:val="zh-CN"/>
        </w:rPr>
        <w:t>、</w:t>
      </w:r>
      <w:r>
        <w:rPr>
          <w:rFonts w:hint="eastAsia" w:ascii="宋体" w:hAnsi="宋体"/>
          <w:b/>
          <w:sz w:val="24"/>
          <w:lang w:val="zh-CN"/>
        </w:rPr>
        <w:t>我们的资格条件完全符合政府采购法和本次招标要求</w:t>
      </w:r>
      <w:r>
        <w:rPr>
          <w:rFonts w:hint="eastAsia" w:ascii="宋体" w:hAnsi="宋体"/>
          <w:sz w:val="24"/>
          <w:lang w:val="zh-CN"/>
        </w:rPr>
        <w:t>，</w:t>
      </w:r>
      <w:r>
        <w:rPr>
          <w:rFonts w:hint="eastAsia" w:ascii="宋体" w:hAnsi="宋体"/>
          <w:sz w:val="24"/>
        </w:rPr>
        <w:t>我们</w:t>
      </w:r>
      <w:r>
        <w:rPr>
          <w:rFonts w:hint="eastAsia" w:ascii="宋体" w:hAnsi="宋体"/>
          <w:sz w:val="24"/>
          <w:lang w:val="zh-CN"/>
        </w:rPr>
        <w:t>同意并向贵方提供了与投标有关的所有证据和资料。</w:t>
      </w:r>
    </w:p>
    <w:p>
      <w:pPr>
        <w:autoSpaceDE w:val="0"/>
        <w:autoSpaceDN w:val="0"/>
        <w:adjustRightInd w:val="0"/>
        <w:spacing w:line="300" w:lineRule="auto"/>
        <w:ind w:firstLine="440" w:firstLineChars="200"/>
        <w:rPr>
          <w:rFonts w:ascii="宋体" w:hAnsi="宋体"/>
          <w:sz w:val="24"/>
          <w:lang w:val="zh-CN"/>
        </w:rPr>
      </w:pPr>
      <w:r>
        <w:rPr>
          <w:rFonts w:ascii="宋体" w:hAnsi="宋体"/>
          <w:sz w:val="22"/>
          <w:szCs w:val="22"/>
        </w:rPr>
        <w:t>2</w:t>
      </w:r>
      <w:r>
        <w:rPr>
          <w:rFonts w:hint="eastAsia" w:ascii="宋体" w:hAnsi="宋体"/>
          <w:sz w:val="22"/>
          <w:szCs w:val="22"/>
        </w:rPr>
        <w:t>、</w:t>
      </w:r>
      <w:r>
        <w:rPr>
          <w:rFonts w:hint="eastAsia" w:ascii="宋体" w:hAnsi="宋体"/>
          <w:sz w:val="22"/>
          <w:szCs w:val="22"/>
          <w:lang w:val="zh-CN"/>
        </w:rPr>
        <w:t>按招标要求，我们的投标总报价为人民币</w:t>
      </w:r>
      <w:r>
        <w:rPr>
          <w:rFonts w:hint="eastAsia" w:ascii="宋体" w:hAnsi="宋体"/>
          <w:sz w:val="24"/>
          <w:lang w:val="zh-CN"/>
        </w:rPr>
        <w:t>大写</w:t>
      </w:r>
      <w:r>
        <w:rPr>
          <w:rFonts w:hint="eastAsia" w:ascii="宋体" w:hAnsi="宋体"/>
          <w:sz w:val="24"/>
          <w:u w:val="single"/>
          <w:lang w:val="zh-CN"/>
        </w:rPr>
        <w:t xml:space="preserve">                        ，</w:t>
      </w:r>
      <w:r>
        <w:rPr>
          <w:rFonts w:hint="eastAsia" w:ascii="宋体" w:hAnsi="宋体"/>
          <w:sz w:val="24"/>
          <w:lang w:val="zh-CN"/>
        </w:rPr>
        <w:t>小写：</w:t>
      </w:r>
      <w:r>
        <w:rPr>
          <w:rFonts w:hint="eastAsia" w:ascii="宋体" w:hAnsi="宋体"/>
          <w:sz w:val="24"/>
          <w:u w:val="single"/>
          <w:lang w:val="zh-CN"/>
        </w:rPr>
        <w:t>￥         。</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3、项目负责人</w:t>
      </w:r>
      <w:r>
        <w:rPr>
          <w:rFonts w:hint="eastAsia" w:ascii="宋体" w:hAnsi="宋体"/>
          <w:sz w:val="24"/>
          <w:u w:val="single"/>
          <w:lang w:val="zh-CN"/>
        </w:rPr>
        <w:t xml:space="preserve">         </w:t>
      </w:r>
      <w:r>
        <w:rPr>
          <w:rFonts w:ascii="宋体" w:hAnsi="宋体"/>
          <w:sz w:val="24"/>
          <w:lang w:val="zh-CN"/>
        </w:rPr>
        <w:t>(</w:t>
      </w:r>
      <w:r>
        <w:rPr>
          <w:rFonts w:hint="eastAsia" w:ascii="宋体" w:hAnsi="宋体"/>
          <w:sz w:val="24"/>
          <w:lang w:val="zh-CN"/>
        </w:rPr>
        <w:t>姓名</w:t>
      </w:r>
      <w:r>
        <w:rPr>
          <w:rFonts w:ascii="宋体" w:hAnsi="宋体"/>
          <w:sz w:val="24"/>
          <w:lang w:val="zh-CN"/>
        </w:rPr>
        <w:t>)</w:t>
      </w:r>
      <w:r>
        <w:rPr>
          <w:rFonts w:hint="eastAsia" w:ascii="宋体" w:hAnsi="宋体"/>
          <w:sz w:val="24"/>
          <w:lang w:val="zh-CN"/>
        </w:rPr>
        <w:t>，身份证号</w:t>
      </w:r>
      <w:r>
        <w:rPr>
          <w:rFonts w:hint="eastAsia" w:ascii="宋体" w:hAnsi="宋体"/>
          <w:sz w:val="24"/>
          <w:u w:val="single"/>
          <w:lang w:val="zh-CN"/>
        </w:rPr>
        <w:t xml:space="preserve">         </w:t>
      </w:r>
      <w:r>
        <w:rPr>
          <w:rFonts w:hint="eastAsia" w:ascii="宋体" w:hAnsi="宋体"/>
          <w:sz w:val="24"/>
          <w:lang w:val="zh-CN"/>
        </w:rPr>
        <w:t>。</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4、我们已详细审核全部招标文件及其有效补充文件，我们放弃对招标文件任何误解的权利，提交投标文件后，</w:t>
      </w:r>
      <w:r>
        <w:rPr>
          <w:rFonts w:hint="eastAsia" w:ascii="宋体" w:hAnsi="宋体"/>
          <w:b/>
          <w:sz w:val="24"/>
          <w:lang w:val="zh-CN"/>
        </w:rPr>
        <w:t>不对招标文件本身提出质疑</w:t>
      </w:r>
      <w:r>
        <w:rPr>
          <w:rFonts w:hint="eastAsia" w:ascii="宋体" w:hAnsi="宋体"/>
          <w:sz w:val="24"/>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6、一旦我方中标，我方将根据招标文件的规定严格履行合同，并保证于承诺的时间完成服务的启动</w:t>
      </w:r>
      <w:r>
        <w:rPr>
          <w:rFonts w:ascii="宋体" w:hAnsi="宋体"/>
          <w:sz w:val="24"/>
          <w:lang w:val="zh-CN"/>
        </w:rPr>
        <w:t>/</w:t>
      </w:r>
      <w:r>
        <w:rPr>
          <w:rFonts w:hint="eastAsia" w:ascii="宋体" w:hAnsi="宋体"/>
          <w:sz w:val="24"/>
          <w:lang w:val="zh-CN"/>
        </w:rPr>
        <w:t>集成、调试等服务，交付采购人验收、使用。</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lang w:val="zh-CN"/>
        </w:rPr>
      </w:pPr>
      <w:r>
        <w:rPr>
          <w:rFonts w:ascii="宋体" w:hAnsi="宋体"/>
          <w:sz w:val="24"/>
          <w:lang w:val="zh-CN"/>
        </w:rPr>
        <w:t>8</w:t>
      </w:r>
      <w:r>
        <w:rPr>
          <w:rFonts w:hint="eastAsia" w:ascii="宋体" w:hAnsi="宋体"/>
          <w:sz w:val="24"/>
          <w:lang w:val="zh-CN"/>
        </w:rPr>
        <w:t>、与本投标有关的正式联系方式为：</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地址：</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电话：</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传真：</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开户银行：</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银行账号：</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投标人法定代表人姓名（签字）：</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投标人名称：（盖章）</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日期：     年   月    日</w:t>
      </w:r>
    </w:p>
    <w:p>
      <w:pPr>
        <w:spacing w:line="360" w:lineRule="auto"/>
        <w:rPr>
          <w:b/>
          <w:sz w:val="28"/>
          <w:szCs w:val="28"/>
        </w:rPr>
      </w:pPr>
      <w:r>
        <w:rPr>
          <w:rFonts w:ascii="宋体" w:hAnsi="宋体"/>
          <w:b/>
          <w:sz w:val="28"/>
          <w:szCs w:val="28"/>
        </w:rPr>
        <w:br w:type="page"/>
      </w:r>
      <w:r>
        <w:rPr>
          <w:rFonts w:hint="eastAsia" w:ascii="宋体" w:hAnsi="宋体"/>
          <w:b/>
          <w:sz w:val="28"/>
          <w:szCs w:val="28"/>
        </w:rPr>
        <w:t>附件</w:t>
      </w:r>
      <w:r>
        <w:rPr>
          <w:rFonts w:ascii="宋体" w:hAnsi="宋体"/>
          <w:b/>
          <w:sz w:val="28"/>
          <w:szCs w:val="28"/>
        </w:rPr>
        <w:t>3</w:t>
      </w:r>
      <w:r>
        <w:rPr>
          <w:rFonts w:hint="eastAsia" w:ascii="宋体" w:hAnsi="宋体"/>
          <w:b/>
          <w:sz w:val="28"/>
          <w:szCs w:val="28"/>
        </w:rPr>
        <w:t>：</w:t>
      </w:r>
      <w:r>
        <w:rPr>
          <w:rFonts w:hint="eastAsia"/>
          <w:b/>
          <w:sz w:val="28"/>
          <w:szCs w:val="28"/>
        </w:rPr>
        <w:t>服务要求</w:t>
      </w:r>
    </w:p>
    <w:bookmarkEnd w:id="8"/>
    <w:bookmarkEnd w:id="9"/>
    <w:p>
      <w:pPr>
        <w:adjustRightInd w:val="0"/>
        <w:snapToGrid w:val="0"/>
        <w:spacing w:beforeLines="5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（一）投标人须提供优质的培训服务，制定相应的培训计划和培训方案，对系统应用人员进行系统的培训，帮助学校顺利实施该项目，使校方人员熟悉运用，提高业务能力和专业技术水平。</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（二）产品要求：</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2.1 中标方应按采购文件规定的货物性能、技术要求、质量标准向采购方提供未经使用的全新产品。</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2.2 采购方提供的货物在质量期内因货物本身的质量问题发生故障，招标方应负责免费更换。对达不到技术要求者，根据实际情况，经双方协商，可按以下办法处理：</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（1）更换：由中标方承担所发生的全部费用。</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（2）贬值处理：由双方合议定价。</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（3）退货处理：中标方应退还采购方支付的合同款，同时应承担该货物的直接费用（运输、保险、检验、货款利息及银行手续费等）。</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2.3 如在使用过程中发生质量问题，中标方在接到甲方通知后在2小时内到达采购方现场。</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2.4 在质保期内，中标方应对货物出现的质量及安全问题负责处理解决并承担一切费用。</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2.5上述的货物免费保修期为2年，因人为因素出现的故障不在免费保修范围内。超过保修期的机器设备，终生维修，维修时只收部件成本费。</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（三）其他要求：</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新设备的采购、安装调试、人员培训、后续维修服务等全部由中标人完成，投标人投标报价包括项目所有设备（材料）的采购、运输、施工、安装调试、人员培训至验收合格的一切费用。</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（四）有关说明：</w:t>
      </w:r>
    </w:p>
    <w:p>
      <w:pPr>
        <w:tabs>
          <w:tab w:val="left" w:pos="945"/>
        </w:tabs>
        <w:adjustRightInd w:val="0"/>
        <w:snapToGrid w:val="0"/>
        <w:spacing w:line="360" w:lineRule="auto"/>
        <w:ind w:firstLine="484" w:firstLineChars="202"/>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1.投标总报价包括满足本项目要求的所有产品及其配件、包装、运杂、安装调试及售后服务等从项目中标起到项目正式交付以及质保期内所发生的一切费用。</w:t>
      </w:r>
    </w:p>
    <w:p>
      <w:pPr>
        <w:tabs>
          <w:tab w:val="left" w:pos="525"/>
          <w:tab w:val="left" w:pos="945"/>
        </w:tabs>
        <w:adjustRightInd w:val="0"/>
        <w:snapToGrid w:val="0"/>
        <w:spacing w:line="360" w:lineRule="auto"/>
        <w:ind w:left="525"/>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2.完工期：供方于合同生效之日起7个工作日内至需方指定地点施工,并在自施工入场40天内完成设备运输（含上、下力）、安装调试等，所有费用由供方承担。安装调试完毕后需方用户负责试用并签收。</w:t>
      </w:r>
    </w:p>
    <w:p>
      <w:pPr>
        <w:rPr>
          <w:rFonts w:ascii="仿宋" w:hAnsi="仿宋" w:eastAsia="仿宋" w:cs="仿宋"/>
          <w:color w:val="000000" w:themeColor="text1"/>
          <w:sz w:val="28"/>
          <w:szCs w:val="28"/>
        </w:rPr>
      </w:pPr>
      <w:r>
        <w:rPr>
          <w:rFonts w:hint="eastAsia" w:hAnsi="宋体"/>
          <w:b/>
          <w:sz w:val="28"/>
          <w:szCs w:val="28"/>
          <w:lang w:eastAsia="zh-CN"/>
        </w:rPr>
        <w:t>（</w:t>
      </w:r>
      <w:r>
        <w:rPr>
          <w:rFonts w:hint="eastAsia" w:hAnsi="宋体"/>
          <w:b/>
          <w:sz w:val="28"/>
          <w:szCs w:val="28"/>
          <w:lang w:val="en-US" w:eastAsia="zh-CN"/>
        </w:rPr>
        <w:t>本部分内容由滨江学院（无锡校区）提供并负责</w:t>
      </w:r>
      <w:r>
        <w:rPr>
          <w:rFonts w:hint="eastAsia" w:hAnsi="宋体"/>
          <w:b/>
          <w:sz w:val="28"/>
          <w:szCs w:val="28"/>
          <w:lang w:eastAsia="zh-CN"/>
        </w:rPr>
        <w:t>）</w:t>
      </w:r>
      <w:r>
        <w:rPr>
          <w:rFonts w:hAnsi="宋体"/>
          <w:b/>
          <w:sz w:val="28"/>
          <w:szCs w:val="28"/>
        </w:rPr>
        <w:br w:type="page"/>
      </w:r>
    </w:p>
    <w:p>
      <w:pPr>
        <w:adjustRightInd w:val="0"/>
        <w:snapToGrid w:val="0"/>
        <w:spacing w:line="360" w:lineRule="auto"/>
        <w:rPr>
          <w:rFonts w:ascii="宋体" w:hAnsi="宋体" w:cs="仿宋"/>
          <w:b/>
          <w:bCs/>
          <w:sz w:val="28"/>
          <w:szCs w:val="28"/>
        </w:rPr>
      </w:pPr>
      <w:r>
        <w:rPr>
          <w:rFonts w:hint="eastAsia" w:ascii="宋体" w:hAnsi="宋体" w:cs="仿宋"/>
          <w:b/>
          <w:bCs/>
          <w:sz w:val="28"/>
          <w:szCs w:val="28"/>
        </w:rPr>
        <w:t>附件4：评标方法及评标标准</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934"/>
        <w:gridCol w:w="1075"/>
        <w:gridCol w:w="6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552" w:type="pct"/>
            <w:vAlign w:val="center"/>
          </w:tcPr>
          <w:p>
            <w:pPr>
              <w:pStyle w:val="10"/>
              <w:spacing w:line="360" w:lineRule="exact"/>
              <w:jc w:val="center"/>
              <w:rPr>
                <w:rFonts w:hAnsi="宋体" w:cs="宋体"/>
                <w:color w:val="000000" w:themeColor="text1"/>
                <w:kern w:val="0"/>
                <w:sz w:val="18"/>
                <w:szCs w:val="21"/>
              </w:rPr>
            </w:pPr>
            <w:r>
              <w:rPr>
                <w:rFonts w:hint="eastAsia" w:hAnsi="宋体" w:cs="宋体"/>
                <w:color w:val="000000" w:themeColor="text1"/>
                <w:kern w:val="0"/>
                <w:sz w:val="18"/>
                <w:szCs w:val="21"/>
              </w:rPr>
              <w:t>评审项</w:t>
            </w:r>
          </w:p>
        </w:tc>
        <w:tc>
          <w:tcPr>
            <w:tcW w:w="485" w:type="pct"/>
            <w:vAlign w:val="center"/>
          </w:tcPr>
          <w:p>
            <w:pPr>
              <w:pStyle w:val="10"/>
              <w:spacing w:line="360" w:lineRule="exact"/>
              <w:jc w:val="center"/>
              <w:rPr>
                <w:rFonts w:hAnsi="宋体" w:cs="宋体"/>
                <w:color w:val="000000" w:themeColor="text1"/>
                <w:kern w:val="0"/>
                <w:sz w:val="18"/>
                <w:szCs w:val="21"/>
              </w:rPr>
            </w:pPr>
            <w:r>
              <w:rPr>
                <w:rFonts w:hint="eastAsia" w:hAnsi="宋体" w:cs="宋体"/>
                <w:color w:val="000000" w:themeColor="text1"/>
                <w:kern w:val="0"/>
                <w:sz w:val="18"/>
                <w:szCs w:val="21"/>
              </w:rPr>
              <w:t>分值</w:t>
            </w:r>
          </w:p>
        </w:tc>
        <w:tc>
          <w:tcPr>
            <w:tcW w:w="3962" w:type="pct"/>
            <w:gridSpan w:val="2"/>
            <w:vAlign w:val="center"/>
          </w:tcPr>
          <w:p>
            <w:pPr>
              <w:pStyle w:val="10"/>
              <w:spacing w:line="360" w:lineRule="exact"/>
              <w:jc w:val="center"/>
              <w:rPr>
                <w:rFonts w:hAnsi="宋体" w:cs="宋体"/>
                <w:color w:val="000000" w:themeColor="text1"/>
                <w:kern w:val="0"/>
                <w:sz w:val="18"/>
                <w:szCs w:val="21"/>
              </w:rPr>
            </w:pPr>
            <w:r>
              <w:rPr>
                <w:rFonts w:hint="eastAsia" w:hAnsi="宋体" w:cs="宋体"/>
                <w:color w:val="000000" w:themeColor="text1"/>
                <w:kern w:val="0"/>
                <w:sz w:val="18"/>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2" w:type="pct"/>
            <w:vAlign w:val="center"/>
          </w:tcPr>
          <w:p>
            <w:pPr>
              <w:pStyle w:val="10"/>
              <w:spacing w:line="360" w:lineRule="exact"/>
              <w:jc w:val="center"/>
              <w:rPr>
                <w:rFonts w:hAnsi="宋体" w:cs="宋体"/>
                <w:color w:val="000000" w:themeColor="text1"/>
                <w:kern w:val="0"/>
                <w:sz w:val="18"/>
                <w:szCs w:val="21"/>
              </w:rPr>
            </w:pPr>
            <w:r>
              <w:rPr>
                <w:rFonts w:hint="eastAsia" w:hAnsi="宋体" w:cs="宋体"/>
                <w:color w:val="000000" w:themeColor="text1"/>
                <w:kern w:val="0"/>
                <w:sz w:val="18"/>
                <w:szCs w:val="21"/>
              </w:rPr>
              <w:t>投标</w:t>
            </w:r>
          </w:p>
          <w:p>
            <w:pPr>
              <w:pStyle w:val="10"/>
              <w:spacing w:line="360" w:lineRule="exact"/>
              <w:jc w:val="center"/>
              <w:rPr>
                <w:rFonts w:hAnsi="宋体" w:cs="宋体"/>
                <w:color w:val="000000" w:themeColor="text1"/>
                <w:kern w:val="0"/>
                <w:sz w:val="18"/>
                <w:szCs w:val="21"/>
              </w:rPr>
            </w:pPr>
            <w:r>
              <w:rPr>
                <w:rFonts w:hint="eastAsia" w:hAnsi="宋体" w:cs="宋体"/>
                <w:color w:val="000000" w:themeColor="text1"/>
                <w:kern w:val="0"/>
                <w:sz w:val="18"/>
                <w:szCs w:val="21"/>
              </w:rPr>
              <w:t>报价</w:t>
            </w:r>
          </w:p>
        </w:tc>
        <w:tc>
          <w:tcPr>
            <w:tcW w:w="485" w:type="pct"/>
            <w:vAlign w:val="center"/>
          </w:tcPr>
          <w:p>
            <w:pPr>
              <w:pStyle w:val="10"/>
              <w:spacing w:line="360" w:lineRule="exact"/>
              <w:jc w:val="center"/>
              <w:rPr>
                <w:rFonts w:hAnsi="宋体" w:cs="宋体"/>
                <w:color w:val="000000" w:themeColor="text1"/>
                <w:kern w:val="0"/>
                <w:sz w:val="18"/>
                <w:szCs w:val="21"/>
              </w:rPr>
            </w:pPr>
            <w:r>
              <w:rPr>
                <w:rFonts w:hint="eastAsia" w:hAnsi="宋体" w:cs="宋体"/>
                <w:color w:val="000000" w:themeColor="text1"/>
                <w:kern w:val="0"/>
                <w:sz w:val="18"/>
                <w:szCs w:val="21"/>
              </w:rPr>
              <w:t>35分</w:t>
            </w:r>
          </w:p>
        </w:tc>
        <w:tc>
          <w:tcPr>
            <w:tcW w:w="3962" w:type="pct"/>
            <w:gridSpan w:val="2"/>
            <w:vAlign w:val="center"/>
          </w:tcPr>
          <w:p>
            <w:pPr>
              <w:widowControl/>
              <w:rPr>
                <w:rFonts w:ascii="宋体" w:hAnsi="宋体" w:cs="宋体"/>
                <w:color w:val="000000" w:themeColor="text1"/>
                <w:kern w:val="0"/>
                <w:sz w:val="18"/>
                <w:szCs w:val="21"/>
              </w:rPr>
            </w:pPr>
            <w:r>
              <w:rPr>
                <w:rFonts w:hint="eastAsia" w:ascii="宋体" w:hAnsi="宋体" w:cs="宋体"/>
                <w:color w:val="000000" w:themeColor="text1"/>
                <w:kern w:val="0"/>
                <w:sz w:val="18"/>
                <w:szCs w:val="21"/>
              </w:rPr>
              <w:t>采用低价优先法计算，即满足招标文件要求且投标价格最低的投标报价为评标基准价，其价格分为满分。其他投标人的价格分统一按照下列公式计算：</w:t>
            </w:r>
          </w:p>
          <w:p>
            <w:pPr>
              <w:widowControl/>
              <w:rPr>
                <w:rFonts w:ascii="宋体" w:hAnsi="宋体" w:cs="宋体"/>
                <w:color w:val="000000" w:themeColor="text1"/>
                <w:kern w:val="0"/>
                <w:sz w:val="18"/>
                <w:szCs w:val="21"/>
              </w:rPr>
            </w:pPr>
            <w:r>
              <w:rPr>
                <w:rFonts w:hint="eastAsia" w:ascii="宋体" w:hAnsi="宋体" w:cs="宋体"/>
                <w:color w:val="000000" w:themeColor="text1"/>
                <w:kern w:val="0"/>
                <w:sz w:val="18"/>
                <w:szCs w:val="21"/>
              </w:rPr>
              <w:t>投标报价得分=(评标基准价／投标报价)×35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52" w:type="pct"/>
            <w:vMerge w:val="restart"/>
            <w:vAlign w:val="center"/>
          </w:tcPr>
          <w:p>
            <w:pPr>
              <w:pStyle w:val="10"/>
              <w:spacing w:line="360" w:lineRule="exact"/>
              <w:jc w:val="center"/>
              <w:rPr>
                <w:rFonts w:hAnsi="宋体" w:cs="宋体"/>
                <w:color w:val="000000" w:themeColor="text1"/>
                <w:kern w:val="0"/>
                <w:sz w:val="18"/>
                <w:szCs w:val="21"/>
              </w:rPr>
            </w:pPr>
            <w:r>
              <w:rPr>
                <w:rFonts w:hint="eastAsia" w:hAnsi="宋体" w:cs="宋体"/>
                <w:color w:val="000000" w:themeColor="text1"/>
                <w:kern w:val="0"/>
                <w:sz w:val="18"/>
                <w:szCs w:val="21"/>
              </w:rPr>
              <w:t>技术</w:t>
            </w:r>
          </w:p>
        </w:tc>
        <w:tc>
          <w:tcPr>
            <w:tcW w:w="485" w:type="pct"/>
            <w:vMerge w:val="restart"/>
            <w:vAlign w:val="center"/>
          </w:tcPr>
          <w:p>
            <w:pPr>
              <w:pStyle w:val="10"/>
              <w:spacing w:line="360" w:lineRule="exact"/>
              <w:jc w:val="center"/>
              <w:rPr>
                <w:rFonts w:hAnsi="宋体" w:cs="宋体"/>
                <w:color w:val="000000" w:themeColor="text1"/>
                <w:kern w:val="0"/>
                <w:sz w:val="18"/>
                <w:szCs w:val="21"/>
              </w:rPr>
            </w:pPr>
            <w:r>
              <w:rPr>
                <w:rFonts w:hint="eastAsia" w:hAnsi="宋体" w:cs="宋体"/>
                <w:color w:val="000000" w:themeColor="text1"/>
                <w:kern w:val="0"/>
                <w:sz w:val="18"/>
                <w:szCs w:val="21"/>
              </w:rPr>
              <w:t>35分</w:t>
            </w:r>
          </w:p>
        </w:tc>
        <w:tc>
          <w:tcPr>
            <w:tcW w:w="558" w:type="pct"/>
            <w:vAlign w:val="center"/>
          </w:tcPr>
          <w:p>
            <w:pPr>
              <w:pStyle w:val="10"/>
              <w:spacing w:line="360" w:lineRule="exact"/>
              <w:jc w:val="center"/>
              <w:rPr>
                <w:rFonts w:hAnsi="宋体" w:cs="宋体"/>
                <w:color w:val="000000" w:themeColor="text1"/>
                <w:kern w:val="0"/>
                <w:sz w:val="18"/>
                <w:szCs w:val="21"/>
              </w:rPr>
            </w:pPr>
            <w:r>
              <w:rPr>
                <w:rFonts w:hint="eastAsia" w:hAnsi="宋体" w:cs="宋体"/>
                <w:color w:val="000000" w:themeColor="text1"/>
                <w:kern w:val="0"/>
                <w:sz w:val="18"/>
                <w:szCs w:val="21"/>
              </w:rPr>
              <w:t>基础指标技术响应</w:t>
            </w:r>
          </w:p>
          <w:p>
            <w:pPr>
              <w:pStyle w:val="10"/>
              <w:spacing w:line="360" w:lineRule="exact"/>
              <w:rPr>
                <w:rFonts w:hAnsi="宋体" w:cs="宋体"/>
                <w:color w:val="000000" w:themeColor="text1"/>
                <w:kern w:val="0"/>
                <w:sz w:val="18"/>
                <w:szCs w:val="21"/>
              </w:rPr>
            </w:pPr>
            <w:r>
              <w:rPr>
                <w:rFonts w:hint="eastAsia" w:hAnsi="宋体" w:cs="宋体"/>
                <w:color w:val="000000" w:themeColor="text1"/>
                <w:kern w:val="0"/>
                <w:sz w:val="18"/>
                <w:szCs w:val="21"/>
              </w:rPr>
              <w:t>（21分）</w:t>
            </w:r>
          </w:p>
        </w:tc>
        <w:tc>
          <w:tcPr>
            <w:tcW w:w="3404" w:type="pct"/>
            <w:vAlign w:val="center"/>
          </w:tcPr>
          <w:p>
            <w:pPr>
              <w:widowControl/>
              <w:rPr>
                <w:rFonts w:ascii="宋体" w:hAnsi="宋体" w:cs="宋体"/>
                <w:color w:val="000000" w:themeColor="text1"/>
                <w:kern w:val="0"/>
                <w:sz w:val="18"/>
                <w:szCs w:val="21"/>
              </w:rPr>
            </w:pPr>
            <w:r>
              <w:rPr>
                <w:rFonts w:hint="eastAsia" w:ascii="宋体" w:hAnsi="宋体" w:cs="宋体"/>
                <w:color w:val="000000" w:themeColor="text1"/>
                <w:kern w:val="0"/>
                <w:sz w:val="18"/>
                <w:szCs w:val="21"/>
              </w:rPr>
              <w:t>设备技术参数全部满足招标要求的得满分21分；打▲号指标，有一项负偏离扣1分，扣完为止（注：▲号指标均需要提供对应的证明资料）。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2" w:type="pct"/>
            <w:vMerge w:val="continue"/>
            <w:vAlign w:val="center"/>
          </w:tcPr>
          <w:p>
            <w:pPr>
              <w:pStyle w:val="10"/>
              <w:spacing w:line="360" w:lineRule="exact"/>
              <w:jc w:val="center"/>
              <w:rPr>
                <w:rFonts w:hAnsi="宋体" w:cs="宋体"/>
                <w:color w:val="000000" w:themeColor="text1"/>
                <w:kern w:val="0"/>
                <w:sz w:val="18"/>
                <w:szCs w:val="21"/>
              </w:rPr>
            </w:pPr>
          </w:p>
        </w:tc>
        <w:tc>
          <w:tcPr>
            <w:tcW w:w="485" w:type="pct"/>
            <w:vMerge w:val="continue"/>
            <w:vAlign w:val="center"/>
          </w:tcPr>
          <w:p>
            <w:pPr>
              <w:pStyle w:val="10"/>
              <w:spacing w:line="360" w:lineRule="exact"/>
              <w:jc w:val="center"/>
              <w:rPr>
                <w:rFonts w:hAnsi="宋体" w:cs="宋体"/>
                <w:color w:val="000000" w:themeColor="text1"/>
                <w:kern w:val="0"/>
                <w:sz w:val="18"/>
                <w:szCs w:val="21"/>
              </w:rPr>
            </w:pPr>
          </w:p>
        </w:tc>
        <w:tc>
          <w:tcPr>
            <w:tcW w:w="558" w:type="pct"/>
            <w:tcBorders>
              <w:bottom w:val="single" w:color="auto" w:sz="4" w:space="0"/>
            </w:tcBorders>
            <w:vAlign w:val="center"/>
          </w:tcPr>
          <w:p>
            <w:pPr>
              <w:pStyle w:val="10"/>
              <w:spacing w:line="360" w:lineRule="exact"/>
              <w:rPr>
                <w:rFonts w:hAnsi="宋体" w:cs="宋体"/>
                <w:color w:val="000000" w:themeColor="text1"/>
                <w:kern w:val="0"/>
                <w:sz w:val="18"/>
                <w:szCs w:val="21"/>
              </w:rPr>
            </w:pPr>
            <w:r>
              <w:rPr>
                <w:rFonts w:hint="eastAsia" w:hAnsi="宋体" w:cs="宋体"/>
                <w:color w:val="000000" w:themeColor="text1"/>
                <w:kern w:val="0"/>
                <w:sz w:val="18"/>
                <w:szCs w:val="21"/>
              </w:rPr>
              <w:t>产品先进性保障</w:t>
            </w:r>
          </w:p>
          <w:p>
            <w:pPr>
              <w:pStyle w:val="10"/>
              <w:spacing w:line="360" w:lineRule="exact"/>
              <w:jc w:val="center"/>
              <w:rPr>
                <w:rFonts w:hAnsi="宋体" w:cs="宋体"/>
                <w:color w:val="000000" w:themeColor="text1"/>
                <w:kern w:val="0"/>
                <w:sz w:val="18"/>
                <w:szCs w:val="21"/>
              </w:rPr>
            </w:pPr>
            <w:r>
              <w:rPr>
                <w:rFonts w:hint="eastAsia" w:hAnsi="宋体" w:cs="宋体"/>
                <w:color w:val="000000" w:themeColor="text1"/>
                <w:kern w:val="0"/>
                <w:sz w:val="18"/>
                <w:szCs w:val="21"/>
              </w:rPr>
              <w:t>（14分）</w:t>
            </w:r>
          </w:p>
        </w:tc>
        <w:tc>
          <w:tcPr>
            <w:tcW w:w="3404" w:type="pct"/>
            <w:tcBorders>
              <w:bottom w:val="single" w:color="auto" w:sz="4" w:space="0"/>
            </w:tcBorders>
            <w:vAlign w:val="center"/>
          </w:tcPr>
          <w:p>
            <w:pPr>
              <w:widowControl/>
              <w:rPr>
                <w:rFonts w:ascii="宋体" w:hAnsi="宋体" w:cs="宋体"/>
                <w:color w:val="000000" w:themeColor="text1"/>
                <w:kern w:val="0"/>
                <w:sz w:val="18"/>
                <w:szCs w:val="21"/>
              </w:rPr>
            </w:pPr>
            <w:r>
              <w:rPr>
                <w:rFonts w:hint="eastAsia" w:ascii="宋体" w:hAnsi="宋体" w:cs="宋体"/>
                <w:color w:val="000000" w:themeColor="text1"/>
                <w:kern w:val="0"/>
                <w:sz w:val="18"/>
                <w:szCs w:val="21"/>
              </w:rPr>
              <w:t>1.</w:t>
            </w:r>
            <w:r>
              <w:rPr>
                <w:rFonts w:hint="eastAsia" w:ascii="宋体" w:hAnsi="宋体" w:cs="宋体"/>
                <w:color w:val="000000" w:themeColor="text1"/>
                <w:sz w:val="18"/>
                <w:szCs w:val="21"/>
              </w:rPr>
              <w:t xml:space="preserve"> </w:t>
            </w:r>
            <w:r>
              <w:rPr>
                <w:rFonts w:hint="eastAsia" w:ascii="宋体" w:hAnsi="宋体" w:cs="宋体"/>
                <w:color w:val="000000" w:themeColor="text1"/>
                <w:kern w:val="0"/>
                <w:sz w:val="18"/>
                <w:szCs w:val="21"/>
              </w:rPr>
              <w:t>管理软件支持多达24种语言界面版本，满足不同教师灵活使用软件。（需提供相关证明材料）得2分。</w:t>
            </w:r>
          </w:p>
          <w:p>
            <w:pPr>
              <w:widowControl/>
              <w:rPr>
                <w:rFonts w:ascii="宋体" w:hAnsi="宋体" w:cs="宋体"/>
                <w:color w:val="000000" w:themeColor="text1"/>
                <w:kern w:val="0"/>
                <w:sz w:val="18"/>
                <w:szCs w:val="21"/>
                <w:lang w:val="zh-CN"/>
              </w:rPr>
            </w:pPr>
            <w:r>
              <w:rPr>
                <w:rFonts w:hint="eastAsia" w:ascii="宋体" w:hAnsi="宋体" w:cs="宋体"/>
                <w:color w:val="000000" w:themeColor="text1"/>
                <w:kern w:val="0"/>
                <w:sz w:val="18"/>
                <w:szCs w:val="21"/>
              </w:rPr>
              <w:t>2.管理软件的加密方式支持：加密狗加密、服务器端授权、在线序列号加密、离线文件加密、自定义短码激活、mac地址预置激活等多种方式的激活方式。（需提供软件功能截图）得2分。</w:t>
            </w:r>
          </w:p>
          <w:p>
            <w:pPr>
              <w:widowControl/>
              <w:jc w:val="left"/>
              <w:textAlignment w:val="center"/>
              <w:rPr>
                <w:rFonts w:ascii="宋体" w:hAnsi="宋体" w:cs="宋体"/>
                <w:color w:val="000000" w:themeColor="text1"/>
                <w:kern w:val="0"/>
                <w:sz w:val="18"/>
                <w:szCs w:val="21"/>
              </w:rPr>
            </w:pPr>
            <w:r>
              <w:rPr>
                <w:rFonts w:hint="eastAsia" w:ascii="宋体" w:hAnsi="宋体" w:cs="宋体"/>
                <w:color w:val="000000" w:themeColor="text1"/>
                <w:kern w:val="0"/>
                <w:sz w:val="18"/>
                <w:szCs w:val="21"/>
              </w:rPr>
              <w:t>3．为保证项目顺利建设和稳定运行，所投网络设备厂商应具备完善售后体系和强力服务保障，应具备符合国家标准（GB/T27922-2011标准）的售后服务认证，售后服务认证范围涵盖网络设备和信息系统集成及相关软件的售后服务，提供证书复印件得2分。</w:t>
            </w:r>
          </w:p>
          <w:p>
            <w:pPr>
              <w:widowControl/>
              <w:jc w:val="left"/>
              <w:textAlignment w:val="center"/>
              <w:rPr>
                <w:rFonts w:ascii="宋体" w:hAnsi="宋体" w:cs="宋体"/>
                <w:color w:val="000000" w:themeColor="text1"/>
                <w:kern w:val="0"/>
                <w:sz w:val="18"/>
                <w:szCs w:val="21"/>
              </w:rPr>
            </w:pPr>
            <w:r>
              <w:rPr>
                <w:rFonts w:hint="eastAsia" w:ascii="宋体" w:hAnsi="宋体" w:cs="宋体"/>
                <w:color w:val="000000" w:themeColor="text1"/>
                <w:kern w:val="0"/>
                <w:sz w:val="18"/>
                <w:szCs w:val="21"/>
              </w:rPr>
              <w:t>4.直播系统提供厂商多媒体资源智能管理平台、iClass多媒体教学软件著作权证书复印件（提供中国版权服务微平台著作权验证截图）得4分。</w:t>
            </w:r>
          </w:p>
          <w:p>
            <w:pPr>
              <w:widowControl/>
              <w:jc w:val="left"/>
              <w:textAlignment w:val="center"/>
              <w:rPr>
                <w:rFonts w:ascii="宋体" w:hAnsi="宋体" w:cs="宋体"/>
                <w:color w:val="000000" w:themeColor="text1"/>
                <w:kern w:val="0"/>
                <w:sz w:val="18"/>
                <w:szCs w:val="21"/>
              </w:rPr>
            </w:pPr>
            <w:r>
              <w:rPr>
                <w:rFonts w:hint="eastAsia" w:ascii="宋体" w:hAnsi="宋体" w:cs="宋体"/>
                <w:color w:val="000000" w:themeColor="text1"/>
                <w:kern w:val="0"/>
                <w:sz w:val="18"/>
                <w:szCs w:val="21"/>
              </w:rPr>
              <w:t xml:space="preserve">5．互动管理系统提供厂商iLive流媒体直播编码软件著作权证书复印件、智能媒体审查平台软件著作权证书复印件 （提供中国版权服务微平台著作权验证截图）得4分。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52" w:type="pct"/>
            <w:vMerge w:val="restart"/>
            <w:vAlign w:val="center"/>
          </w:tcPr>
          <w:p>
            <w:pPr>
              <w:pStyle w:val="10"/>
              <w:spacing w:line="360" w:lineRule="exact"/>
              <w:jc w:val="center"/>
              <w:rPr>
                <w:rFonts w:hAnsi="宋体" w:cs="宋体"/>
                <w:color w:val="000000" w:themeColor="text1"/>
                <w:kern w:val="0"/>
                <w:sz w:val="18"/>
                <w:szCs w:val="21"/>
              </w:rPr>
            </w:pPr>
            <w:r>
              <w:rPr>
                <w:rFonts w:hint="eastAsia" w:hAnsi="宋体" w:cs="宋体"/>
                <w:color w:val="000000" w:themeColor="text1"/>
                <w:kern w:val="0"/>
                <w:sz w:val="18"/>
                <w:szCs w:val="21"/>
              </w:rPr>
              <w:t>商务</w:t>
            </w:r>
          </w:p>
        </w:tc>
        <w:tc>
          <w:tcPr>
            <w:tcW w:w="485" w:type="pct"/>
            <w:vMerge w:val="restart"/>
            <w:vAlign w:val="center"/>
          </w:tcPr>
          <w:p>
            <w:pPr>
              <w:pStyle w:val="10"/>
              <w:jc w:val="center"/>
              <w:rPr>
                <w:rFonts w:hAnsi="宋体" w:cs="宋体"/>
                <w:color w:val="000000" w:themeColor="text1"/>
                <w:kern w:val="0"/>
                <w:sz w:val="18"/>
                <w:szCs w:val="21"/>
              </w:rPr>
            </w:pPr>
            <w:r>
              <w:rPr>
                <w:rFonts w:hint="eastAsia" w:hAnsi="宋体" w:cs="宋体"/>
                <w:color w:val="000000" w:themeColor="text1"/>
                <w:kern w:val="0"/>
                <w:sz w:val="18"/>
                <w:szCs w:val="21"/>
              </w:rPr>
              <w:t>22</w:t>
            </w:r>
          </w:p>
        </w:tc>
        <w:tc>
          <w:tcPr>
            <w:tcW w:w="558" w:type="pct"/>
            <w:vAlign w:val="center"/>
          </w:tcPr>
          <w:p>
            <w:pPr>
              <w:pStyle w:val="10"/>
              <w:rPr>
                <w:rFonts w:hAnsi="宋体" w:cs="宋体"/>
                <w:color w:val="000000" w:themeColor="text1"/>
                <w:kern w:val="0"/>
                <w:sz w:val="18"/>
                <w:szCs w:val="21"/>
              </w:rPr>
            </w:pPr>
            <w:r>
              <w:rPr>
                <w:rFonts w:hint="eastAsia" w:hAnsi="宋体" w:cs="宋体"/>
                <w:color w:val="000000" w:themeColor="text1"/>
                <w:kern w:val="0"/>
                <w:sz w:val="18"/>
                <w:szCs w:val="21"/>
              </w:rPr>
              <w:t>投标人评价（18分）</w:t>
            </w:r>
          </w:p>
        </w:tc>
        <w:tc>
          <w:tcPr>
            <w:tcW w:w="3404" w:type="pct"/>
            <w:vAlign w:val="center"/>
          </w:tcPr>
          <w:p>
            <w:pPr>
              <w:pStyle w:val="10"/>
              <w:numPr>
                <w:ilvl w:val="0"/>
                <w:numId w:val="1"/>
              </w:numPr>
              <w:spacing w:line="360" w:lineRule="exact"/>
              <w:jc w:val="left"/>
              <w:rPr>
                <w:rFonts w:hAnsi="宋体" w:cs="宋体"/>
                <w:color w:val="000000" w:themeColor="text1"/>
                <w:kern w:val="0"/>
                <w:sz w:val="18"/>
                <w:szCs w:val="21"/>
              </w:rPr>
            </w:pPr>
            <w:r>
              <w:rPr>
                <w:rFonts w:hint="eastAsia" w:hAnsi="宋体" w:cs="宋体"/>
                <w:color w:val="000000" w:themeColor="text1"/>
                <w:kern w:val="0"/>
                <w:sz w:val="18"/>
                <w:szCs w:val="21"/>
              </w:rPr>
              <w:t>投标人具有 ISO9001 质量体系认证、</w:t>
            </w:r>
            <w:r>
              <w:rPr>
                <w:rFonts w:hint="eastAsia" w:hAnsi="宋体" w:cs="宋体"/>
                <w:color w:val="000000" w:themeColor="text1"/>
                <w:sz w:val="18"/>
                <w:szCs w:val="21"/>
              </w:rPr>
              <w:t>OHSAS18001</w:t>
            </w:r>
            <w:r>
              <w:rPr>
                <w:rFonts w:hint="eastAsia" w:hAnsi="宋体" w:cs="宋体"/>
                <w:color w:val="000000" w:themeColor="text1"/>
                <w:kern w:val="0"/>
                <w:sz w:val="18"/>
                <w:szCs w:val="21"/>
              </w:rPr>
              <w:t xml:space="preserve"> 认证证书每有1个得1分，最多得2分。提供复印件加盖公章，原件备查。</w:t>
            </w:r>
          </w:p>
          <w:p>
            <w:pPr>
              <w:pStyle w:val="10"/>
              <w:numPr>
                <w:ilvl w:val="0"/>
                <w:numId w:val="1"/>
              </w:numPr>
              <w:spacing w:line="360" w:lineRule="exact"/>
              <w:jc w:val="left"/>
              <w:rPr>
                <w:rFonts w:hAnsi="宋体" w:cs="宋体"/>
                <w:color w:val="000000" w:themeColor="text1"/>
                <w:kern w:val="0"/>
                <w:sz w:val="18"/>
                <w:szCs w:val="21"/>
              </w:rPr>
            </w:pPr>
            <w:r>
              <w:rPr>
                <w:rFonts w:hint="eastAsia" w:hAnsi="宋体" w:cs="宋体"/>
                <w:color w:val="000000" w:themeColor="text1"/>
                <w:kern w:val="0"/>
                <w:sz w:val="18"/>
                <w:szCs w:val="21"/>
              </w:rPr>
              <w:t>投标人具有电子与智能化工程专业承包二级以上资质证书，同时提供安全生产许可证的，得3分</w:t>
            </w:r>
            <w:r>
              <w:rPr>
                <w:rFonts w:hint="eastAsia" w:hAnsi="宋体" w:cs="宋体"/>
                <w:b/>
                <w:bCs/>
                <w:color w:val="000000" w:themeColor="text1"/>
                <w:kern w:val="0"/>
                <w:sz w:val="18"/>
                <w:szCs w:val="21"/>
              </w:rPr>
              <w:t>，</w:t>
            </w:r>
            <w:r>
              <w:rPr>
                <w:rFonts w:hint="eastAsia" w:hAnsi="宋体" w:cs="宋体"/>
                <w:color w:val="000000" w:themeColor="text1"/>
                <w:kern w:val="0"/>
                <w:sz w:val="18"/>
                <w:szCs w:val="21"/>
              </w:rPr>
              <w:t>缺一项不得分；</w:t>
            </w:r>
          </w:p>
          <w:p>
            <w:pPr>
              <w:pStyle w:val="10"/>
              <w:numPr>
                <w:ilvl w:val="0"/>
                <w:numId w:val="1"/>
              </w:numPr>
              <w:spacing w:line="360" w:lineRule="exact"/>
              <w:jc w:val="left"/>
              <w:rPr>
                <w:rFonts w:hAnsi="宋体" w:cs="宋体"/>
                <w:color w:val="000000" w:themeColor="text1"/>
                <w:kern w:val="0"/>
                <w:sz w:val="18"/>
                <w:szCs w:val="21"/>
              </w:rPr>
            </w:pPr>
            <w:r>
              <w:rPr>
                <w:rFonts w:hint="eastAsia" w:hAnsi="宋体" w:cs="宋体"/>
                <w:color w:val="000000" w:themeColor="text1"/>
                <w:kern w:val="0"/>
                <w:sz w:val="18"/>
                <w:szCs w:val="21"/>
              </w:rPr>
              <w:t>投标人具有ITSS运维三级及以上资质得3分。</w:t>
            </w:r>
          </w:p>
          <w:p>
            <w:pPr>
              <w:pStyle w:val="10"/>
              <w:numPr>
                <w:ilvl w:val="0"/>
                <w:numId w:val="1"/>
              </w:numPr>
              <w:spacing w:line="360" w:lineRule="exact"/>
              <w:jc w:val="left"/>
              <w:rPr>
                <w:rFonts w:hAnsi="宋体" w:cs="宋体"/>
                <w:color w:val="000000" w:themeColor="text1"/>
                <w:kern w:val="0"/>
                <w:sz w:val="18"/>
                <w:szCs w:val="21"/>
              </w:rPr>
            </w:pPr>
            <w:r>
              <w:rPr>
                <w:rFonts w:hint="eastAsia" w:hAnsi="宋体" w:cs="宋体"/>
                <w:color w:val="000000" w:themeColor="text1"/>
                <w:kern w:val="0"/>
                <w:sz w:val="18"/>
                <w:szCs w:val="21"/>
              </w:rPr>
              <w:t>投标人本项目技术负责人具有电子信息计算机类高级工程师职称得2分。</w:t>
            </w:r>
          </w:p>
          <w:p>
            <w:pPr>
              <w:pStyle w:val="10"/>
              <w:numPr>
                <w:ilvl w:val="0"/>
                <w:numId w:val="1"/>
              </w:numPr>
              <w:spacing w:line="360" w:lineRule="exact"/>
              <w:jc w:val="left"/>
              <w:rPr>
                <w:rFonts w:hAnsi="宋体" w:cs="宋体"/>
                <w:color w:val="000000" w:themeColor="text1"/>
                <w:kern w:val="0"/>
                <w:sz w:val="18"/>
                <w:szCs w:val="21"/>
              </w:rPr>
            </w:pPr>
            <w:r>
              <w:rPr>
                <w:rFonts w:hint="eastAsia" w:hAnsi="宋体" w:cs="宋体"/>
                <w:color w:val="000000" w:themeColor="text1"/>
                <w:kern w:val="0"/>
                <w:sz w:val="18"/>
                <w:szCs w:val="21"/>
              </w:rPr>
              <w:t>投标人具有HUAWEI、H3C、思科等网络厂家认证工程师证书的得2分。</w:t>
            </w:r>
          </w:p>
          <w:p>
            <w:pPr>
              <w:pStyle w:val="10"/>
              <w:numPr>
                <w:ilvl w:val="0"/>
                <w:numId w:val="1"/>
              </w:numPr>
              <w:spacing w:line="360" w:lineRule="exact"/>
              <w:jc w:val="left"/>
              <w:rPr>
                <w:rFonts w:hAnsi="宋体" w:cs="宋体"/>
                <w:color w:val="000000" w:themeColor="text1"/>
                <w:kern w:val="0"/>
                <w:sz w:val="18"/>
                <w:szCs w:val="21"/>
              </w:rPr>
            </w:pPr>
            <w:r>
              <w:rPr>
                <w:rFonts w:hint="eastAsia" w:hAnsi="宋体" w:cs="宋体"/>
                <w:color w:val="000000" w:themeColor="text1"/>
                <w:kern w:val="0"/>
                <w:sz w:val="18"/>
                <w:szCs w:val="21"/>
              </w:rPr>
              <w:t>投标人具有服务器VC认证工程师证书的得2分。</w:t>
            </w:r>
          </w:p>
          <w:p>
            <w:pPr>
              <w:pStyle w:val="10"/>
              <w:numPr>
                <w:ilvl w:val="0"/>
                <w:numId w:val="1"/>
              </w:numPr>
              <w:spacing w:line="360" w:lineRule="exact"/>
              <w:jc w:val="left"/>
              <w:rPr>
                <w:rFonts w:hAnsi="宋体" w:cs="宋体"/>
                <w:color w:val="000000" w:themeColor="text1"/>
                <w:kern w:val="0"/>
                <w:sz w:val="18"/>
                <w:szCs w:val="21"/>
              </w:rPr>
            </w:pPr>
            <w:r>
              <w:rPr>
                <w:rFonts w:hint="eastAsia" w:hAnsi="宋体" w:cs="宋体"/>
                <w:color w:val="000000" w:themeColor="text1"/>
                <w:kern w:val="0"/>
                <w:sz w:val="18"/>
                <w:szCs w:val="21"/>
              </w:rPr>
              <w:t>投标人具有所投投影仪厂商认证工程师证书的得2分。</w:t>
            </w:r>
          </w:p>
          <w:p>
            <w:pPr>
              <w:pStyle w:val="10"/>
              <w:numPr>
                <w:ilvl w:val="0"/>
                <w:numId w:val="1"/>
              </w:numPr>
              <w:spacing w:line="360" w:lineRule="exact"/>
              <w:jc w:val="left"/>
              <w:rPr>
                <w:rFonts w:hAnsi="宋体" w:cs="宋体"/>
                <w:color w:val="000000" w:themeColor="text1"/>
                <w:kern w:val="0"/>
                <w:sz w:val="18"/>
                <w:szCs w:val="21"/>
              </w:rPr>
            </w:pPr>
            <w:r>
              <w:rPr>
                <w:rFonts w:hint="eastAsia" w:hAnsi="宋体" w:cs="宋体"/>
                <w:color w:val="000000" w:themeColor="text1"/>
                <w:kern w:val="0"/>
                <w:sz w:val="18"/>
                <w:szCs w:val="21"/>
              </w:rPr>
              <w:t>投标人为本项目配备PMP工程师的得2分。</w:t>
            </w:r>
          </w:p>
          <w:p>
            <w:pPr>
              <w:widowControl/>
              <w:jc w:val="left"/>
              <w:rPr>
                <w:rFonts w:ascii="宋体" w:hAnsi="宋体" w:cs="宋体"/>
                <w:color w:val="000000" w:themeColor="text1"/>
                <w:kern w:val="0"/>
                <w:sz w:val="18"/>
                <w:szCs w:val="21"/>
              </w:rPr>
            </w:pPr>
            <w:r>
              <w:rPr>
                <w:rFonts w:hint="eastAsia" w:ascii="宋体" w:hAnsi="宋体" w:cs="宋体"/>
                <w:color w:val="000000" w:themeColor="text1"/>
                <w:kern w:val="0"/>
                <w:sz w:val="18"/>
                <w:szCs w:val="21"/>
              </w:rPr>
              <w:t>以上证书提供复印件及投标人为其缴纳的近三个月社保证明。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52" w:type="pct"/>
            <w:vMerge w:val="continue"/>
            <w:vAlign w:val="center"/>
          </w:tcPr>
          <w:p>
            <w:pPr>
              <w:pStyle w:val="10"/>
              <w:spacing w:line="360" w:lineRule="exact"/>
              <w:jc w:val="center"/>
              <w:rPr>
                <w:rFonts w:hAnsi="宋体" w:cs="宋体"/>
                <w:color w:val="000000" w:themeColor="text1"/>
                <w:kern w:val="0"/>
                <w:sz w:val="18"/>
                <w:szCs w:val="21"/>
              </w:rPr>
            </w:pPr>
          </w:p>
        </w:tc>
        <w:tc>
          <w:tcPr>
            <w:tcW w:w="485" w:type="pct"/>
            <w:vMerge w:val="continue"/>
            <w:vAlign w:val="center"/>
          </w:tcPr>
          <w:p>
            <w:pPr>
              <w:pStyle w:val="10"/>
              <w:rPr>
                <w:rFonts w:hAnsi="宋体" w:cs="宋体"/>
                <w:color w:val="000000" w:themeColor="text1"/>
                <w:kern w:val="0"/>
                <w:sz w:val="18"/>
                <w:szCs w:val="21"/>
              </w:rPr>
            </w:pPr>
          </w:p>
        </w:tc>
        <w:tc>
          <w:tcPr>
            <w:tcW w:w="558" w:type="pct"/>
            <w:vAlign w:val="center"/>
          </w:tcPr>
          <w:p>
            <w:pPr>
              <w:pStyle w:val="10"/>
              <w:rPr>
                <w:rFonts w:hAnsi="宋体" w:cs="宋体"/>
                <w:color w:val="000000" w:themeColor="text1"/>
                <w:kern w:val="0"/>
                <w:sz w:val="18"/>
                <w:szCs w:val="21"/>
              </w:rPr>
            </w:pPr>
            <w:r>
              <w:rPr>
                <w:rFonts w:hint="eastAsia" w:hAnsi="宋体" w:cs="宋体"/>
                <w:color w:val="000000" w:themeColor="text1"/>
                <w:kern w:val="0"/>
                <w:sz w:val="18"/>
                <w:szCs w:val="21"/>
              </w:rPr>
              <w:t>投标人业绩（4分）</w:t>
            </w:r>
          </w:p>
        </w:tc>
        <w:tc>
          <w:tcPr>
            <w:tcW w:w="3404" w:type="pct"/>
            <w:vAlign w:val="center"/>
          </w:tcPr>
          <w:p>
            <w:pPr>
              <w:widowControl/>
              <w:jc w:val="left"/>
              <w:rPr>
                <w:rFonts w:ascii="宋体" w:hAnsi="宋体" w:cs="宋体"/>
                <w:color w:val="000000" w:themeColor="text1"/>
                <w:kern w:val="0"/>
                <w:sz w:val="18"/>
                <w:szCs w:val="21"/>
              </w:rPr>
            </w:pPr>
            <w:r>
              <w:rPr>
                <w:rFonts w:hint="eastAsia" w:ascii="宋体" w:hAnsi="宋体" w:cs="宋体"/>
                <w:color w:val="000000" w:themeColor="text1"/>
                <w:kern w:val="0"/>
                <w:sz w:val="18"/>
                <w:szCs w:val="21"/>
              </w:rPr>
              <w:t>评委根据投标人2017年6月1日以来完成的类似项目业绩评分每提供一个得2分，最多得4分；（需提供项目合同复印件加盖公章、采购单位联系人及电话）。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552" w:type="pct"/>
            <w:vAlign w:val="center"/>
          </w:tcPr>
          <w:p>
            <w:pPr>
              <w:pStyle w:val="10"/>
              <w:spacing w:line="360" w:lineRule="exact"/>
              <w:jc w:val="center"/>
              <w:rPr>
                <w:rFonts w:hAnsi="宋体" w:cs="宋体"/>
                <w:color w:val="000000" w:themeColor="text1"/>
                <w:kern w:val="0"/>
                <w:sz w:val="18"/>
                <w:szCs w:val="21"/>
              </w:rPr>
            </w:pPr>
            <w:r>
              <w:rPr>
                <w:rFonts w:hint="eastAsia" w:hAnsi="宋体" w:cs="宋体"/>
                <w:color w:val="000000" w:themeColor="text1"/>
                <w:kern w:val="0"/>
                <w:sz w:val="18"/>
                <w:szCs w:val="21"/>
              </w:rPr>
              <w:t>服务</w:t>
            </w:r>
          </w:p>
        </w:tc>
        <w:tc>
          <w:tcPr>
            <w:tcW w:w="485" w:type="pct"/>
            <w:vAlign w:val="center"/>
          </w:tcPr>
          <w:p>
            <w:pPr>
              <w:pStyle w:val="10"/>
              <w:jc w:val="center"/>
              <w:rPr>
                <w:rFonts w:hAnsi="宋体" w:cs="宋体"/>
                <w:color w:val="000000" w:themeColor="text1"/>
                <w:kern w:val="0"/>
                <w:sz w:val="18"/>
                <w:szCs w:val="21"/>
              </w:rPr>
            </w:pPr>
            <w:r>
              <w:rPr>
                <w:rFonts w:hint="eastAsia" w:hAnsi="宋体" w:cs="宋体"/>
                <w:color w:val="000000" w:themeColor="text1"/>
                <w:kern w:val="0"/>
                <w:sz w:val="18"/>
                <w:szCs w:val="21"/>
              </w:rPr>
              <w:t>6分</w:t>
            </w:r>
          </w:p>
        </w:tc>
        <w:tc>
          <w:tcPr>
            <w:tcW w:w="558" w:type="pct"/>
            <w:vAlign w:val="center"/>
          </w:tcPr>
          <w:p>
            <w:pPr>
              <w:pStyle w:val="10"/>
              <w:rPr>
                <w:rFonts w:hAnsi="宋体" w:cs="宋体"/>
                <w:color w:val="000000" w:themeColor="text1"/>
                <w:kern w:val="0"/>
                <w:sz w:val="18"/>
                <w:szCs w:val="21"/>
              </w:rPr>
            </w:pPr>
            <w:r>
              <w:rPr>
                <w:rFonts w:hint="eastAsia" w:hAnsi="宋体" w:cs="宋体"/>
                <w:color w:val="000000" w:themeColor="text1"/>
                <w:kern w:val="0"/>
                <w:sz w:val="18"/>
                <w:szCs w:val="21"/>
              </w:rPr>
              <w:t>项目实施方案及售后</w:t>
            </w:r>
          </w:p>
        </w:tc>
        <w:tc>
          <w:tcPr>
            <w:tcW w:w="3404" w:type="pct"/>
            <w:vAlign w:val="center"/>
          </w:tcPr>
          <w:p>
            <w:pPr>
              <w:widowControl/>
              <w:rPr>
                <w:rFonts w:ascii="宋体" w:hAnsi="宋体" w:cs="宋体"/>
                <w:color w:val="000000" w:themeColor="text1"/>
                <w:kern w:val="0"/>
                <w:sz w:val="18"/>
                <w:szCs w:val="21"/>
              </w:rPr>
            </w:pPr>
            <w:r>
              <w:rPr>
                <w:rFonts w:hint="eastAsia" w:ascii="宋体" w:hAnsi="宋体" w:cs="宋体"/>
                <w:color w:val="000000" w:themeColor="text1"/>
                <w:kern w:val="0"/>
                <w:sz w:val="18"/>
                <w:szCs w:val="21"/>
              </w:rPr>
              <w:t>描述清晰，科</w:t>
            </w:r>
            <w:r>
              <w:rPr>
                <w:rFonts w:hint="eastAsia" w:ascii="宋体" w:hAnsi="宋体" w:cs="宋体"/>
                <w:color w:val="000000" w:themeColor="text1"/>
                <w:kern w:val="0"/>
                <w:sz w:val="18"/>
                <w:szCs w:val="21"/>
                <w:highlight w:val="none"/>
              </w:rPr>
              <w:t>学合理、可操作性强，提供可靠的、有针对性的项目分项实施方案与进度保证措施、完善的培训售后计划。  方案合理、针对性强得6分、方案较为合理、针对性较强得得4分 、方案一般、针对性一般得得2分、其他不得</w:t>
            </w:r>
            <w:r>
              <w:rPr>
                <w:rFonts w:hint="eastAsia" w:ascii="宋体" w:hAnsi="宋体" w:cs="宋体"/>
                <w:color w:val="000000" w:themeColor="text1"/>
                <w:kern w:val="0"/>
                <w:sz w:val="18"/>
                <w:szCs w:val="21"/>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552" w:type="pct"/>
            <w:vAlign w:val="center"/>
          </w:tcPr>
          <w:p>
            <w:pPr>
              <w:pStyle w:val="10"/>
              <w:jc w:val="center"/>
              <w:rPr>
                <w:rFonts w:hAnsi="宋体" w:cs="宋体"/>
                <w:color w:val="000000" w:themeColor="text1"/>
                <w:kern w:val="0"/>
                <w:sz w:val="18"/>
                <w:szCs w:val="21"/>
              </w:rPr>
            </w:pPr>
            <w:r>
              <w:rPr>
                <w:rFonts w:hint="eastAsia" w:hAnsi="宋体" w:cs="宋体"/>
                <w:color w:val="000000" w:themeColor="text1"/>
                <w:kern w:val="0"/>
                <w:sz w:val="18"/>
                <w:szCs w:val="21"/>
                <w:lang w:val="en-US" w:eastAsia="zh-CN"/>
              </w:rPr>
              <w:t>投</w:t>
            </w:r>
            <w:r>
              <w:rPr>
                <w:rFonts w:hint="eastAsia" w:hAnsi="宋体" w:cs="宋体"/>
                <w:color w:val="000000" w:themeColor="text1"/>
                <w:kern w:val="0"/>
                <w:sz w:val="18"/>
                <w:szCs w:val="21"/>
              </w:rPr>
              <w:t>标文件制作规范性</w:t>
            </w:r>
          </w:p>
        </w:tc>
        <w:tc>
          <w:tcPr>
            <w:tcW w:w="485" w:type="pct"/>
            <w:vAlign w:val="center"/>
          </w:tcPr>
          <w:p>
            <w:pPr>
              <w:pStyle w:val="10"/>
              <w:jc w:val="center"/>
              <w:rPr>
                <w:rFonts w:hAnsi="宋体" w:cs="宋体"/>
                <w:color w:val="000000" w:themeColor="text1"/>
                <w:kern w:val="0"/>
                <w:sz w:val="18"/>
                <w:szCs w:val="21"/>
              </w:rPr>
            </w:pPr>
            <w:r>
              <w:rPr>
                <w:rFonts w:hint="eastAsia" w:hAnsi="宋体" w:cs="宋体"/>
                <w:color w:val="000000" w:themeColor="text1"/>
                <w:kern w:val="0"/>
                <w:sz w:val="18"/>
                <w:szCs w:val="21"/>
              </w:rPr>
              <w:t>2分</w:t>
            </w:r>
          </w:p>
        </w:tc>
        <w:tc>
          <w:tcPr>
            <w:tcW w:w="558" w:type="pct"/>
            <w:vAlign w:val="center"/>
          </w:tcPr>
          <w:p>
            <w:pPr>
              <w:pStyle w:val="10"/>
              <w:jc w:val="center"/>
              <w:rPr>
                <w:rFonts w:hAnsi="宋体" w:cs="宋体"/>
                <w:color w:val="000000" w:themeColor="text1"/>
                <w:kern w:val="0"/>
                <w:sz w:val="18"/>
                <w:szCs w:val="21"/>
              </w:rPr>
            </w:pPr>
            <w:r>
              <w:rPr>
                <w:rFonts w:hint="eastAsia" w:hAnsi="宋体" w:cs="宋体"/>
                <w:color w:val="000000" w:themeColor="text1"/>
                <w:kern w:val="0"/>
                <w:sz w:val="18"/>
                <w:szCs w:val="21"/>
                <w:lang w:val="en-US" w:eastAsia="zh-CN"/>
              </w:rPr>
              <w:t>投</w:t>
            </w:r>
            <w:r>
              <w:rPr>
                <w:rFonts w:hint="eastAsia" w:hAnsi="宋体" w:cs="宋体"/>
                <w:color w:val="000000" w:themeColor="text1"/>
                <w:kern w:val="0"/>
                <w:sz w:val="18"/>
                <w:szCs w:val="21"/>
              </w:rPr>
              <w:t>标文件制作规范性</w:t>
            </w:r>
          </w:p>
        </w:tc>
        <w:tc>
          <w:tcPr>
            <w:tcW w:w="3404" w:type="pct"/>
            <w:vAlign w:val="center"/>
          </w:tcPr>
          <w:p>
            <w:pPr>
              <w:pStyle w:val="10"/>
              <w:jc w:val="left"/>
              <w:rPr>
                <w:rFonts w:hAnsi="宋体" w:cs="宋体"/>
                <w:color w:val="000000" w:themeColor="text1"/>
                <w:kern w:val="0"/>
                <w:sz w:val="18"/>
                <w:szCs w:val="21"/>
              </w:rPr>
            </w:pPr>
            <w:r>
              <w:rPr>
                <w:rFonts w:hint="eastAsia" w:hAnsi="宋体" w:cs="宋体"/>
                <w:color w:val="000000" w:themeColor="text1"/>
                <w:kern w:val="0"/>
                <w:sz w:val="18"/>
                <w:szCs w:val="21"/>
              </w:rPr>
              <w:t>文件内容完备，格式规范，封装整齐，目录、页码齐全，目录与页码能准确对应，满足招标文件要求得2分，否则不得分。未经胶封（如文件夹或订书机等）此项不得分。</w:t>
            </w:r>
          </w:p>
        </w:tc>
      </w:tr>
    </w:tbl>
    <w:p>
      <w:pPr>
        <w:rPr>
          <w:rFonts w:cs="宋体" w:asciiTheme="majorEastAsia" w:hAnsiTheme="majorEastAsia" w:eastAsiaTheme="majorEastAsia"/>
          <w:color w:val="000000" w:themeColor="text1"/>
          <w:kern w:val="0"/>
          <w:sz w:val="18"/>
          <w:szCs w:val="18"/>
        </w:rPr>
      </w:pPr>
      <w:r>
        <w:rPr>
          <w:rFonts w:hint="eastAsia" w:hAnsi="宋体"/>
          <w:b/>
          <w:sz w:val="18"/>
          <w:szCs w:val="18"/>
          <w:lang w:eastAsia="zh-CN"/>
        </w:rPr>
        <w:t>（</w:t>
      </w:r>
      <w:r>
        <w:rPr>
          <w:rFonts w:hint="eastAsia" w:hAnsi="宋体"/>
          <w:b/>
          <w:sz w:val="18"/>
          <w:szCs w:val="18"/>
          <w:lang w:val="en-US" w:eastAsia="zh-CN"/>
        </w:rPr>
        <w:t>本部分内容由滨江学院（无锡校区）提供并负责</w:t>
      </w:r>
      <w:r>
        <w:rPr>
          <w:rFonts w:hint="eastAsia" w:hAnsi="宋体"/>
          <w:b/>
          <w:sz w:val="18"/>
          <w:szCs w:val="18"/>
          <w:lang w:eastAsia="zh-CN"/>
        </w:rPr>
        <w:t>）</w:t>
      </w:r>
    </w:p>
    <w:sectPr>
      <w:headerReference r:id="rId3" w:type="default"/>
      <w:footerReference r:id="rId4" w:type="default"/>
      <w:pgSz w:w="11906" w:h="16838"/>
      <w:pgMar w:top="1191" w:right="1247" w:bottom="1191"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rPr>
      <w:fldChar w:fldCharType="begin"/>
    </w:r>
    <w:r>
      <w:rPr>
        <w:b/>
      </w:rPr>
      <w:instrText xml:space="preserve">PAGE  \* Arabic  \* MERGEFORMAT</w:instrText>
    </w:r>
    <w:r>
      <w:rPr>
        <w:b/>
      </w:rPr>
      <w:fldChar w:fldCharType="separate"/>
    </w:r>
    <w:r>
      <w:rPr>
        <w:b/>
        <w:lang w:val="zh-CN"/>
      </w:rPr>
      <w:t>22</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23</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cs="宋体"/>
        <w:b/>
        <w:bCs/>
        <w:kern w:val="0"/>
        <w:sz w:val="15"/>
        <w:szCs w:val="15"/>
      </w:rPr>
    </w:pPr>
    <w:r>
      <w:rPr>
        <w:rFonts w:hint="eastAsia" w:ascii="宋体" w:hAnsi="宋体" w:cs="宋体"/>
        <w:b/>
        <w:bCs/>
        <w:kern w:val="0"/>
        <w:sz w:val="15"/>
        <w:szCs w:val="15"/>
      </w:rPr>
      <w:t>南京信息工程大学招标办2020年招标文件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8467E"/>
    <w:multiLevelType w:val="multilevel"/>
    <w:tmpl w:val="39D8467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201076"/>
    <w:rsid w:val="0000144D"/>
    <w:rsid w:val="00002B2D"/>
    <w:rsid w:val="00003391"/>
    <w:rsid w:val="00003606"/>
    <w:rsid w:val="000054CA"/>
    <w:rsid w:val="0000571D"/>
    <w:rsid w:val="00007919"/>
    <w:rsid w:val="00022B05"/>
    <w:rsid w:val="00023D12"/>
    <w:rsid w:val="0002617E"/>
    <w:rsid w:val="00026E76"/>
    <w:rsid w:val="00027971"/>
    <w:rsid w:val="00030600"/>
    <w:rsid w:val="00030DF4"/>
    <w:rsid w:val="000311F3"/>
    <w:rsid w:val="000319F3"/>
    <w:rsid w:val="000430D6"/>
    <w:rsid w:val="000436B9"/>
    <w:rsid w:val="00043F02"/>
    <w:rsid w:val="000441D9"/>
    <w:rsid w:val="000527A0"/>
    <w:rsid w:val="000531E7"/>
    <w:rsid w:val="00054A22"/>
    <w:rsid w:val="00054EE4"/>
    <w:rsid w:val="0005500B"/>
    <w:rsid w:val="00055F2F"/>
    <w:rsid w:val="0006055A"/>
    <w:rsid w:val="00066441"/>
    <w:rsid w:val="00066583"/>
    <w:rsid w:val="0007020F"/>
    <w:rsid w:val="00070DC7"/>
    <w:rsid w:val="00070F0A"/>
    <w:rsid w:val="000716D4"/>
    <w:rsid w:val="000774F2"/>
    <w:rsid w:val="00080B5E"/>
    <w:rsid w:val="00081175"/>
    <w:rsid w:val="000819A3"/>
    <w:rsid w:val="00085E3F"/>
    <w:rsid w:val="00087F42"/>
    <w:rsid w:val="00092B31"/>
    <w:rsid w:val="0009319D"/>
    <w:rsid w:val="000933AE"/>
    <w:rsid w:val="00094419"/>
    <w:rsid w:val="00094479"/>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4F6F"/>
    <w:rsid w:val="000B5806"/>
    <w:rsid w:val="000B5F77"/>
    <w:rsid w:val="000B6607"/>
    <w:rsid w:val="000C0356"/>
    <w:rsid w:val="000C03E3"/>
    <w:rsid w:val="000C05BE"/>
    <w:rsid w:val="000C22CE"/>
    <w:rsid w:val="000C35BE"/>
    <w:rsid w:val="000C3706"/>
    <w:rsid w:val="000C3E19"/>
    <w:rsid w:val="000C5121"/>
    <w:rsid w:val="000C7AC8"/>
    <w:rsid w:val="000D26E7"/>
    <w:rsid w:val="000D2CE1"/>
    <w:rsid w:val="000D4B6E"/>
    <w:rsid w:val="000D6B77"/>
    <w:rsid w:val="000D7B55"/>
    <w:rsid w:val="000E1026"/>
    <w:rsid w:val="000E12A9"/>
    <w:rsid w:val="000E37D8"/>
    <w:rsid w:val="000E490E"/>
    <w:rsid w:val="000E794A"/>
    <w:rsid w:val="000E7B1F"/>
    <w:rsid w:val="000E7E73"/>
    <w:rsid w:val="000F0A5B"/>
    <w:rsid w:val="000F1E4F"/>
    <w:rsid w:val="000F2EDC"/>
    <w:rsid w:val="000F33C3"/>
    <w:rsid w:val="000F7C08"/>
    <w:rsid w:val="001007BA"/>
    <w:rsid w:val="00100F2E"/>
    <w:rsid w:val="0010216E"/>
    <w:rsid w:val="001031DE"/>
    <w:rsid w:val="001032F0"/>
    <w:rsid w:val="00103CBC"/>
    <w:rsid w:val="00104554"/>
    <w:rsid w:val="00104CAE"/>
    <w:rsid w:val="00107357"/>
    <w:rsid w:val="00107759"/>
    <w:rsid w:val="00110C58"/>
    <w:rsid w:val="00111060"/>
    <w:rsid w:val="00111C55"/>
    <w:rsid w:val="00111E38"/>
    <w:rsid w:val="00112955"/>
    <w:rsid w:val="00112B25"/>
    <w:rsid w:val="00112D27"/>
    <w:rsid w:val="001135BC"/>
    <w:rsid w:val="00116930"/>
    <w:rsid w:val="00121365"/>
    <w:rsid w:val="00122E50"/>
    <w:rsid w:val="001238AF"/>
    <w:rsid w:val="001246CA"/>
    <w:rsid w:val="00124A77"/>
    <w:rsid w:val="00124B44"/>
    <w:rsid w:val="00125991"/>
    <w:rsid w:val="00125C94"/>
    <w:rsid w:val="00126E86"/>
    <w:rsid w:val="001272EE"/>
    <w:rsid w:val="00127BC3"/>
    <w:rsid w:val="00130B50"/>
    <w:rsid w:val="001320B9"/>
    <w:rsid w:val="0013492F"/>
    <w:rsid w:val="00137542"/>
    <w:rsid w:val="00143684"/>
    <w:rsid w:val="001448F3"/>
    <w:rsid w:val="0014591D"/>
    <w:rsid w:val="00146508"/>
    <w:rsid w:val="00147BB6"/>
    <w:rsid w:val="001502CF"/>
    <w:rsid w:val="00151817"/>
    <w:rsid w:val="0015214C"/>
    <w:rsid w:val="0015225B"/>
    <w:rsid w:val="00152BCB"/>
    <w:rsid w:val="00153196"/>
    <w:rsid w:val="001559FB"/>
    <w:rsid w:val="0016003D"/>
    <w:rsid w:val="0016077E"/>
    <w:rsid w:val="0016395E"/>
    <w:rsid w:val="00163CFF"/>
    <w:rsid w:val="0016465F"/>
    <w:rsid w:val="0016590B"/>
    <w:rsid w:val="0016658A"/>
    <w:rsid w:val="001665B7"/>
    <w:rsid w:val="00166DEB"/>
    <w:rsid w:val="001679D2"/>
    <w:rsid w:val="00170356"/>
    <w:rsid w:val="00171002"/>
    <w:rsid w:val="00171C84"/>
    <w:rsid w:val="0017451F"/>
    <w:rsid w:val="00175E61"/>
    <w:rsid w:val="00175F6E"/>
    <w:rsid w:val="001765AA"/>
    <w:rsid w:val="00176B5A"/>
    <w:rsid w:val="001770B9"/>
    <w:rsid w:val="0018161B"/>
    <w:rsid w:val="00181FC1"/>
    <w:rsid w:val="00183C53"/>
    <w:rsid w:val="00184165"/>
    <w:rsid w:val="001847AB"/>
    <w:rsid w:val="0018633E"/>
    <w:rsid w:val="001863B0"/>
    <w:rsid w:val="001908D8"/>
    <w:rsid w:val="00191DB6"/>
    <w:rsid w:val="00191E7A"/>
    <w:rsid w:val="00192A7F"/>
    <w:rsid w:val="00192E9E"/>
    <w:rsid w:val="0019347E"/>
    <w:rsid w:val="00193B07"/>
    <w:rsid w:val="0019510E"/>
    <w:rsid w:val="0019538C"/>
    <w:rsid w:val="00195E66"/>
    <w:rsid w:val="00196A0F"/>
    <w:rsid w:val="00196DB1"/>
    <w:rsid w:val="001973B6"/>
    <w:rsid w:val="001A200D"/>
    <w:rsid w:val="001A76A0"/>
    <w:rsid w:val="001A78B5"/>
    <w:rsid w:val="001B0715"/>
    <w:rsid w:val="001B2A65"/>
    <w:rsid w:val="001B5895"/>
    <w:rsid w:val="001B6E3C"/>
    <w:rsid w:val="001C0244"/>
    <w:rsid w:val="001C0588"/>
    <w:rsid w:val="001C12A6"/>
    <w:rsid w:val="001C1966"/>
    <w:rsid w:val="001C2414"/>
    <w:rsid w:val="001C3CE1"/>
    <w:rsid w:val="001C6C16"/>
    <w:rsid w:val="001C6E99"/>
    <w:rsid w:val="001D10DD"/>
    <w:rsid w:val="001D237E"/>
    <w:rsid w:val="001D2D6F"/>
    <w:rsid w:val="001D7657"/>
    <w:rsid w:val="001D76D4"/>
    <w:rsid w:val="001E2C9F"/>
    <w:rsid w:val="001E47A8"/>
    <w:rsid w:val="001E4E6B"/>
    <w:rsid w:val="001E672D"/>
    <w:rsid w:val="001F09A0"/>
    <w:rsid w:val="001F11F5"/>
    <w:rsid w:val="001F314F"/>
    <w:rsid w:val="001F328C"/>
    <w:rsid w:val="001F4242"/>
    <w:rsid w:val="001F5384"/>
    <w:rsid w:val="001F6E39"/>
    <w:rsid w:val="001F7923"/>
    <w:rsid w:val="00200A99"/>
    <w:rsid w:val="00201076"/>
    <w:rsid w:val="002023F0"/>
    <w:rsid w:val="00204A89"/>
    <w:rsid w:val="002052E3"/>
    <w:rsid w:val="00205E83"/>
    <w:rsid w:val="00206E2F"/>
    <w:rsid w:val="0021174A"/>
    <w:rsid w:val="002122A3"/>
    <w:rsid w:val="00213000"/>
    <w:rsid w:val="00213651"/>
    <w:rsid w:val="002144B5"/>
    <w:rsid w:val="00214EF4"/>
    <w:rsid w:val="00221DE6"/>
    <w:rsid w:val="002228CD"/>
    <w:rsid w:val="002238C0"/>
    <w:rsid w:val="0022420E"/>
    <w:rsid w:val="00225151"/>
    <w:rsid w:val="00226609"/>
    <w:rsid w:val="002270A5"/>
    <w:rsid w:val="002274A2"/>
    <w:rsid w:val="00230145"/>
    <w:rsid w:val="00230940"/>
    <w:rsid w:val="002346F4"/>
    <w:rsid w:val="00235A05"/>
    <w:rsid w:val="00237A59"/>
    <w:rsid w:val="002408A3"/>
    <w:rsid w:val="00240E59"/>
    <w:rsid w:val="00241634"/>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7BD"/>
    <w:rsid w:val="00256A61"/>
    <w:rsid w:val="00263046"/>
    <w:rsid w:val="00263444"/>
    <w:rsid w:val="0026451A"/>
    <w:rsid w:val="00264F91"/>
    <w:rsid w:val="002676A2"/>
    <w:rsid w:val="00267B0A"/>
    <w:rsid w:val="00271C38"/>
    <w:rsid w:val="00273B4E"/>
    <w:rsid w:val="00281343"/>
    <w:rsid w:val="0028272C"/>
    <w:rsid w:val="002832EA"/>
    <w:rsid w:val="002838CB"/>
    <w:rsid w:val="00283C8F"/>
    <w:rsid w:val="00285A3E"/>
    <w:rsid w:val="00286DFD"/>
    <w:rsid w:val="00291A34"/>
    <w:rsid w:val="00292A1F"/>
    <w:rsid w:val="00294E71"/>
    <w:rsid w:val="00296169"/>
    <w:rsid w:val="00297351"/>
    <w:rsid w:val="00297829"/>
    <w:rsid w:val="00297C60"/>
    <w:rsid w:val="002A1998"/>
    <w:rsid w:val="002A1B13"/>
    <w:rsid w:val="002A1C37"/>
    <w:rsid w:val="002A23A5"/>
    <w:rsid w:val="002B0435"/>
    <w:rsid w:val="002B0445"/>
    <w:rsid w:val="002B0C9E"/>
    <w:rsid w:val="002B13F6"/>
    <w:rsid w:val="002B3512"/>
    <w:rsid w:val="002B4546"/>
    <w:rsid w:val="002B5309"/>
    <w:rsid w:val="002B5FF1"/>
    <w:rsid w:val="002B656C"/>
    <w:rsid w:val="002B6969"/>
    <w:rsid w:val="002C016C"/>
    <w:rsid w:val="002C0D56"/>
    <w:rsid w:val="002C3038"/>
    <w:rsid w:val="002C3D8F"/>
    <w:rsid w:val="002C6A0C"/>
    <w:rsid w:val="002C6B1B"/>
    <w:rsid w:val="002C724E"/>
    <w:rsid w:val="002D0833"/>
    <w:rsid w:val="002D16E8"/>
    <w:rsid w:val="002E569D"/>
    <w:rsid w:val="002E6E80"/>
    <w:rsid w:val="002E70DE"/>
    <w:rsid w:val="002F0D2A"/>
    <w:rsid w:val="002F160A"/>
    <w:rsid w:val="002F1CF2"/>
    <w:rsid w:val="002F36B1"/>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C54"/>
    <w:rsid w:val="0032353A"/>
    <w:rsid w:val="00323939"/>
    <w:rsid w:val="00324588"/>
    <w:rsid w:val="00324785"/>
    <w:rsid w:val="00325728"/>
    <w:rsid w:val="00326B86"/>
    <w:rsid w:val="00330268"/>
    <w:rsid w:val="00331A66"/>
    <w:rsid w:val="00331B2F"/>
    <w:rsid w:val="00332AF3"/>
    <w:rsid w:val="00334E11"/>
    <w:rsid w:val="0033568A"/>
    <w:rsid w:val="00335D4D"/>
    <w:rsid w:val="0033689B"/>
    <w:rsid w:val="0034221F"/>
    <w:rsid w:val="00343F9F"/>
    <w:rsid w:val="00345610"/>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2A01"/>
    <w:rsid w:val="00372D67"/>
    <w:rsid w:val="00373E38"/>
    <w:rsid w:val="00376287"/>
    <w:rsid w:val="00376A57"/>
    <w:rsid w:val="00377164"/>
    <w:rsid w:val="00382C95"/>
    <w:rsid w:val="0038309B"/>
    <w:rsid w:val="00383BCB"/>
    <w:rsid w:val="00384882"/>
    <w:rsid w:val="003849F5"/>
    <w:rsid w:val="00387358"/>
    <w:rsid w:val="00387B63"/>
    <w:rsid w:val="00392E35"/>
    <w:rsid w:val="00392F4B"/>
    <w:rsid w:val="00395091"/>
    <w:rsid w:val="003A0680"/>
    <w:rsid w:val="003A2009"/>
    <w:rsid w:val="003A2540"/>
    <w:rsid w:val="003A3723"/>
    <w:rsid w:val="003A3848"/>
    <w:rsid w:val="003A4023"/>
    <w:rsid w:val="003A4C27"/>
    <w:rsid w:val="003A4F53"/>
    <w:rsid w:val="003A6141"/>
    <w:rsid w:val="003A72CD"/>
    <w:rsid w:val="003B0471"/>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6222"/>
    <w:rsid w:val="003D6FB8"/>
    <w:rsid w:val="003E1368"/>
    <w:rsid w:val="003E1A52"/>
    <w:rsid w:val="003E2217"/>
    <w:rsid w:val="003E4227"/>
    <w:rsid w:val="003E51F3"/>
    <w:rsid w:val="003E572A"/>
    <w:rsid w:val="003F073B"/>
    <w:rsid w:val="003F093D"/>
    <w:rsid w:val="003F1151"/>
    <w:rsid w:val="003F16B6"/>
    <w:rsid w:val="003F24C4"/>
    <w:rsid w:val="003F2F23"/>
    <w:rsid w:val="003F3D76"/>
    <w:rsid w:val="003F413C"/>
    <w:rsid w:val="003F4609"/>
    <w:rsid w:val="003F6253"/>
    <w:rsid w:val="003F79B2"/>
    <w:rsid w:val="00401623"/>
    <w:rsid w:val="004017C3"/>
    <w:rsid w:val="00402663"/>
    <w:rsid w:val="0040306E"/>
    <w:rsid w:val="0040333F"/>
    <w:rsid w:val="0040342F"/>
    <w:rsid w:val="00404C4A"/>
    <w:rsid w:val="0040541A"/>
    <w:rsid w:val="004057C2"/>
    <w:rsid w:val="00406A37"/>
    <w:rsid w:val="0041074E"/>
    <w:rsid w:val="0041179E"/>
    <w:rsid w:val="00411BAF"/>
    <w:rsid w:val="004129E0"/>
    <w:rsid w:val="0041308C"/>
    <w:rsid w:val="004140AB"/>
    <w:rsid w:val="0041552F"/>
    <w:rsid w:val="00415750"/>
    <w:rsid w:val="00415AAB"/>
    <w:rsid w:val="00415E30"/>
    <w:rsid w:val="00417661"/>
    <w:rsid w:val="004201A3"/>
    <w:rsid w:val="00420C3D"/>
    <w:rsid w:val="004220ED"/>
    <w:rsid w:val="00422573"/>
    <w:rsid w:val="00423C3B"/>
    <w:rsid w:val="00425843"/>
    <w:rsid w:val="00425C30"/>
    <w:rsid w:val="0043026A"/>
    <w:rsid w:val="004311A5"/>
    <w:rsid w:val="004356B0"/>
    <w:rsid w:val="00435B13"/>
    <w:rsid w:val="00437796"/>
    <w:rsid w:val="00437939"/>
    <w:rsid w:val="00437C24"/>
    <w:rsid w:val="00437F7A"/>
    <w:rsid w:val="00441696"/>
    <w:rsid w:val="00442423"/>
    <w:rsid w:val="00443437"/>
    <w:rsid w:val="00444741"/>
    <w:rsid w:val="0044640C"/>
    <w:rsid w:val="004472FA"/>
    <w:rsid w:val="00447C24"/>
    <w:rsid w:val="00450900"/>
    <w:rsid w:val="00452C84"/>
    <w:rsid w:val="004551EC"/>
    <w:rsid w:val="00456BB9"/>
    <w:rsid w:val="004578F1"/>
    <w:rsid w:val="00460A25"/>
    <w:rsid w:val="00461656"/>
    <w:rsid w:val="00463313"/>
    <w:rsid w:val="00463944"/>
    <w:rsid w:val="00464599"/>
    <w:rsid w:val="00466713"/>
    <w:rsid w:val="00467161"/>
    <w:rsid w:val="004703D3"/>
    <w:rsid w:val="004719DD"/>
    <w:rsid w:val="00472664"/>
    <w:rsid w:val="004734A1"/>
    <w:rsid w:val="00477371"/>
    <w:rsid w:val="00477570"/>
    <w:rsid w:val="0048022E"/>
    <w:rsid w:val="00480665"/>
    <w:rsid w:val="00480DDA"/>
    <w:rsid w:val="00480FA7"/>
    <w:rsid w:val="00481A9A"/>
    <w:rsid w:val="00482645"/>
    <w:rsid w:val="00482DAC"/>
    <w:rsid w:val="00483286"/>
    <w:rsid w:val="004839B1"/>
    <w:rsid w:val="0048551E"/>
    <w:rsid w:val="00485675"/>
    <w:rsid w:val="00485B5B"/>
    <w:rsid w:val="0048782A"/>
    <w:rsid w:val="004926E0"/>
    <w:rsid w:val="00493785"/>
    <w:rsid w:val="0049614E"/>
    <w:rsid w:val="00497D4E"/>
    <w:rsid w:val="004A4282"/>
    <w:rsid w:val="004A5555"/>
    <w:rsid w:val="004A5C8B"/>
    <w:rsid w:val="004A7B18"/>
    <w:rsid w:val="004A7D2B"/>
    <w:rsid w:val="004A7E23"/>
    <w:rsid w:val="004A7F50"/>
    <w:rsid w:val="004B001D"/>
    <w:rsid w:val="004B1B72"/>
    <w:rsid w:val="004B67DB"/>
    <w:rsid w:val="004B6A11"/>
    <w:rsid w:val="004B747F"/>
    <w:rsid w:val="004B7B1E"/>
    <w:rsid w:val="004C10BB"/>
    <w:rsid w:val="004C10CF"/>
    <w:rsid w:val="004C2E0A"/>
    <w:rsid w:val="004C3C68"/>
    <w:rsid w:val="004D0748"/>
    <w:rsid w:val="004D0EAC"/>
    <w:rsid w:val="004D64A5"/>
    <w:rsid w:val="004D65DA"/>
    <w:rsid w:val="004D7557"/>
    <w:rsid w:val="004D765A"/>
    <w:rsid w:val="004E1C2C"/>
    <w:rsid w:val="004E1C93"/>
    <w:rsid w:val="004E2588"/>
    <w:rsid w:val="004E390B"/>
    <w:rsid w:val="004E448F"/>
    <w:rsid w:val="004E608C"/>
    <w:rsid w:val="004E779C"/>
    <w:rsid w:val="004F0339"/>
    <w:rsid w:val="004F047F"/>
    <w:rsid w:val="004F5981"/>
    <w:rsid w:val="004F763C"/>
    <w:rsid w:val="004F7A31"/>
    <w:rsid w:val="004F7D5E"/>
    <w:rsid w:val="00500476"/>
    <w:rsid w:val="00504207"/>
    <w:rsid w:val="0050554A"/>
    <w:rsid w:val="00507394"/>
    <w:rsid w:val="00507451"/>
    <w:rsid w:val="00510D48"/>
    <w:rsid w:val="005119C9"/>
    <w:rsid w:val="00511A0E"/>
    <w:rsid w:val="005143CD"/>
    <w:rsid w:val="00514476"/>
    <w:rsid w:val="0051635A"/>
    <w:rsid w:val="00517953"/>
    <w:rsid w:val="00520E29"/>
    <w:rsid w:val="0052262E"/>
    <w:rsid w:val="005227B2"/>
    <w:rsid w:val="00522BF5"/>
    <w:rsid w:val="00522C1C"/>
    <w:rsid w:val="00523679"/>
    <w:rsid w:val="00526808"/>
    <w:rsid w:val="0053025C"/>
    <w:rsid w:val="00531000"/>
    <w:rsid w:val="00533F15"/>
    <w:rsid w:val="005354A4"/>
    <w:rsid w:val="00537018"/>
    <w:rsid w:val="00540A3F"/>
    <w:rsid w:val="00541B97"/>
    <w:rsid w:val="00545F0F"/>
    <w:rsid w:val="00546198"/>
    <w:rsid w:val="00552143"/>
    <w:rsid w:val="00552355"/>
    <w:rsid w:val="005526FE"/>
    <w:rsid w:val="00552BE2"/>
    <w:rsid w:val="00552BF3"/>
    <w:rsid w:val="00552C82"/>
    <w:rsid w:val="005554FE"/>
    <w:rsid w:val="00556203"/>
    <w:rsid w:val="0055742D"/>
    <w:rsid w:val="00557D90"/>
    <w:rsid w:val="005629FF"/>
    <w:rsid w:val="00564725"/>
    <w:rsid w:val="00565862"/>
    <w:rsid w:val="00566142"/>
    <w:rsid w:val="005662B0"/>
    <w:rsid w:val="00572CF3"/>
    <w:rsid w:val="00576728"/>
    <w:rsid w:val="00585BC1"/>
    <w:rsid w:val="00585C5F"/>
    <w:rsid w:val="00587E68"/>
    <w:rsid w:val="00592237"/>
    <w:rsid w:val="0059386A"/>
    <w:rsid w:val="005947A6"/>
    <w:rsid w:val="00595AEA"/>
    <w:rsid w:val="00596240"/>
    <w:rsid w:val="00596D34"/>
    <w:rsid w:val="005A2886"/>
    <w:rsid w:val="005A4B6C"/>
    <w:rsid w:val="005A5A31"/>
    <w:rsid w:val="005A6067"/>
    <w:rsid w:val="005A7D4D"/>
    <w:rsid w:val="005B1DD8"/>
    <w:rsid w:val="005B2D13"/>
    <w:rsid w:val="005B3222"/>
    <w:rsid w:val="005B379E"/>
    <w:rsid w:val="005B4CA2"/>
    <w:rsid w:val="005B4E50"/>
    <w:rsid w:val="005C241F"/>
    <w:rsid w:val="005C3B35"/>
    <w:rsid w:val="005C56AC"/>
    <w:rsid w:val="005D0548"/>
    <w:rsid w:val="005D1477"/>
    <w:rsid w:val="005D1562"/>
    <w:rsid w:val="005D315A"/>
    <w:rsid w:val="005D3973"/>
    <w:rsid w:val="005D43FF"/>
    <w:rsid w:val="005D449E"/>
    <w:rsid w:val="005D6939"/>
    <w:rsid w:val="005D7650"/>
    <w:rsid w:val="005D7782"/>
    <w:rsid w:val="005E4524"/>
    <w:rsid w:val="005E576B"/>
    <w:rsid w:val="005E7AEF"/>
    <w:rsid w:val="005F0057"/>
    <w:rsid w:val="005F392C"/>
    <w:rsid w:val="005F48D7"/>
    <w:rsid w:val="005F5A2C"/>
    <w:rsid w:val="005F624D"/>
    <w:rsid w:val="005F6275"/>
    <w:rsid w:val="005F75FC"/>
    <w:rsid w:val="006006F8"/>
    <w:rsid w:val="00603569"/>
    <w:rsid w:val="006040E9"/>
    <w:rsid w:val="0060799C"/>
    <w:rsid w:val="00610391"/>
    <w:rsid w:val="006105EE"/>
    <w:rsid w:val="00610DA9"/>
    <w:rsid w:val="00611772"/>
    <w:rsid w:val="00613CC6"/>
    <w:rsid w:val="00613E75"/>
    <w:rsid w:val="006164F1"/>
    <w:rsid w:val="00616D46"/>
    <w:rsid w:val="00616F1D"/>
    <w:rsid w:val="00617D8A"/>
    <w:rsid w:val="00620509"/>
    <w:rsid w:val="00620D7E"/>
    <w:rsid w:val="00621A53"/>
    <w:rsid w:val="00621E60"/>
    <w:rsid w:val="0062201F"/>
    <w:rsid w:val="0062231C"/>
    <w:rsid w:val="00622CED"/>
    <w:rsid w:val="0062527C"/>
    <w:rsid w:val="00626542"/>
    <w:rsid w:val="00626C15"/>
    <w:rsid w:val="00627105"/>
    <w:rsid w:val="006277A3"/>
    <w:rsid w:val="00631332"/>
    <w:rsid w:val="006332B6"/>
    <w:rsid w:val="006340FC"/>
    <w:rsid w:val="00637990"/>
    <w:rsid w:val="00637BFF"/>
    <w:rsid w:val="00637FE2"/>
    <w:rsid w:val="00641CAF"/>
    <w:rsid w:val="00646947"/>
    <w:rsid w:val="006475DC"/>
    <w:rsid w:val="00650D24"/>
    <w:rsid w:val="006519C1"/>
    <w:rsid w:val="0065630D"/>
    <w:rsid w:val="00657F59"/>
    <w:rsid w:val="0066030C"/>
    <w:rsid w:val="006610EF"/>
    <w:rsid w:val="00662ACF"/>
    <w:rsid w:val="006634D8"/>
    <w:rsid w:val="00663FBA"/>
    <w:rsid w:val="00665444"/>
    <w:rsid w:val="00666762"/>
    <w:rsid w:val="00667840"/>
    <w:rsid w:val="00670C74"/>
    <w:rsid w:val="006712CE"/>
    <w:rsid w:val="006721F1"/>
    <w:rsid w:val="00672B76"/>
    <w:rsid w:val="00674154"/>
    <w:rsid w:val="006744F7"/>
    <w:rsid w:val="0067581D"/>
    <w:rsid w:val="006817D5"/>
    <w:rsid w:val="006818DB"/>
    <w:rsid w:val="0068228D"/>
    <w:rsid w:val="006831B6"/>
    <w:rsid w:val="00684A9B"/>
    <w:rsid w:val="00691A38"/>
    <w:rsid w:val="00692892"/>
    <w:rsid w:val="00692C36"/>
    <w:rsid w:val="006947DF"/>
    <w:rsid w:val="006951B5"/>
    <w:rsid w:val="0069524B"/>
    <w:rsid w:val="00696030"/>
    <w:rsid w:val="00697C03"/>
    <w:rsid w:val="006A00DA"/>
    <w:rsid w:val="006A1F85"/>
    <w:rsid w:val="006A210C"/>
    <w:rsid w:val="006A2B28"/>
    <w:rsid w:val="006A4D56"/>
    <w:rsid w:val="006A59A2"/>
    <w:rsid w:val="006A5ECF"/>
    <w:rsid w:val="006A60A9"/>
    <w:rsid w:val="006A669E"/>
    <w:rsid w:val="006B12E8"/>
    <w:rsid w:val="006B1B75"/>
    <w:rsid w:val="006B2014"/>
    <w:rsid w:val="006B2340"/>
    <w:rsid w:val="006B324C"/>
    <w:rsid w:val="006B43D2"/>
    <w:rsid w:val="006B449D"/>
    <w:rsid w:val="006B5088"/>
    <w:rsid w:val="006B5A78"/>
    <w:rsid w:val="006B5C0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4FEE"/>
    <w:rsid w:val="006E6356"/>
    <w:rsid w:val="006E67FB"/>
    <w:rsid w:val="006E6C8E"/>
    <w:rsid w:val="006F132D"/>
    <w:rsid w:val="006F3003"/>
    <w:rsid w:val="006F33D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F7B"/>
    <w:rsid w:val="00713DFB"/>
    <w:rsid w:val="00714916"/>
    <w:rsid w:val="00714D2D"/>
    <w:rsid w:val="00715EC6"/>
    <w:rsid w:val="00715F83"/>
    <w:rsid w:val="00717CEF"/>
    <w:rsid w:val="0072021A"/>
    <w:rsid w:val="00722284"/>
    <w:rsid w:val="0072296C"/>
    <w:rsid w:val="00722E81"/>
    <w:rsid w:val="00723FB7"/>
    <w:rsid w:val="00730ACA"/>
    <w:rsid w:val="00730C03"/>
    <w:rsid w:val="0073126B"/>
    <w:rsid w:val="00732152"/>
    <w:rsid w:val="00733E6E"/>
    <w:rsid w:val="007344A9"/>
    <w:rsid w:val="00734575"/>
    <w:rsid w:val="00735CFC"/>
    <w:rsid w:val="00735D71"/>
    <w:rsid w:val="00736148"/>
    <w:rsid w:val="00736B32"/>
    <w:rsid w:val="007401E7"/>
    <w:rsid w:val="00743156"/>
    <w:rsid w:val="00745E15"/>
    <w:rsid w:val="007475EE"/>
    <w:rsid w:val="007478D2"/>
    <w:rsid w:val="00751019"/>
    <w:rsid w:val="00757520"/>
    <w:rsid w:val="007577E7"/>
    <w:rsid w:val="007605A9"/>
    <w:rsid w:val="0076167D"/>
    <w:rsid w:val="0076289B"/>
    <w:rsid w:val="00763E0D"/>
    <w:rsid w:val="0076475D"/>
    <w:rsid w:val="007649AC"/>
    <w:rsid w:val="00766EBB"/>
    <w:rsid w:val="007722FA"/>
    <w:rsid w:val="0077380F"/>
    <w:rsid w:val="007743CA"/>
    <w:rsid w:val="00776403"/>
    <w:rsid w:val="00777B4C"/>
    <w:rsid w:val="00780A91"/>
    <w:rsid w:val="00781084"/>
    <w:rsid w:val="00781923"/>
    <w:rsid w:val="00784009"/>
    <w:rsid w:val="00784CB0"/>
    <w:rsid w:val="0078524F"/>
    <w:rsid w:val="00785558"/>
    <w:rsid w:val="007868B0"/>
    <w:rsid w:val="00786F12"/>
    <w:rsid w:val="0078751B"/>
    <w:rsid w:val="007902F5"/>
    <w:rsid w:val="00790968"/>
    <w:rsid w:val="00790CF3"/>
    <w:rsid w:val="00794717"/>
    <w:rsid w:val="00795A02"/>
    <w:rsid w:val="0079648C"/>
    <w:rsid w:val="00797105"/>
    <w:rsid w:val="007978CE"/>
    <w:rsid w:val="00797D07"/>
    <w:rsid w:val="007A0729"/>
    <w:rsid w:val="007A3C25"/>
    <w:rsid w:val="007A4717"/>
    <w:rsid w:val="007A59AB"/>
    <w:rsid w:val="007A7508"/>
    <w:rsid w:val="007B7F5C"/>
    <w:rsid w:val="007C1C1A"/>
    <w:rsid w:val="007C1EAE"/>
    <w:rsid w:val="007C2E80"/>
    <w:rsid w:val="007C3DF3"/>
    <w:rsid w:val="007C47D1"/>
    <w:rsid w:val="007C5873"/>
    <w:rsid w:val="007C5CBD"/>
    <w:rsid w:val="007C671F"/>
    <w:rsid w:val="007D0A59"/>
    <w:rsid w:val="007D0D89"/>
    <w:rsid w:val="007D52A8"/>
    <w:rsid w:val="007D52CD"/>
    <w:rsid w:val="007D5FAC"/>
    <w:rsid w:val="007D6479"/>
    <w:rsid w:val="007D7BC7"/>
    <w:rsid w:val="007D7FEF"/>
    <w:rsid w:val="007E2EBE"/>
    <w:rsid w:val="007E2F82"/>
    <w:rsid w:val="007E3568"/>
    <w:rsid w:val="007E543F"/>
    <w:rsid w:val="007E552C"/>
    <w:rsid w:val="007F0464"/>
    <w:rsid w:val="007F141A"/>
    <w:rsid w:val="007F2D72"/>
    <w:rsid w:val="007F3D00"/>
    <w:rsid w:val="007F3D98"/>
    <w:rsid w:val="007F4654"/>
    <w:rsid w:val="007F6FA7"/>
    <w:rsid w:val="007F794E"/>
    <w:rsid w:val="00801FBF"/>
    <w:rsid w:val="00803D3C"/>
    <w:rsid w:val="0080591C"/>
    <w:rsid w:val="0081037F"/>
    <w:rsid w:val="008109D2"/>
    <w:rsid w:val="008111F7"/>
    <w:rsid w:val="00813477"/>
    <w:rsid w:val="00814876"/>
    <w:rsid w:val="00814B12"/>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478C"/>
    <w:rsid w:val="008465C2"/>
    <w:rsid w:val="00847207"/>
    <w:rsid w:val="00847371"/>
    <w:rsid w:val="00847915"/>
    <w:rsid w:val="008508A7"/>
    <w:rsid w:val="008509FE"/>
    <w:rsid w:val="0085211F"/>
    <w:rsid w:val="00853C48"/>
    <w:rsid w:val="00853DFF"/>
    <w:rsid w:val="0085573E"/>
    <w:rsid w:val="00861129"/>
    <w:rsid w:val="00865DB7"/>
    <w:rsid w:val="008661E8"/>
    <w:rsid w:val="0086668C"/>
    <w:rsid w:val="008709E1"/>
    <w:rsid w:val="00871AEF"/>
    <w:rsid w:val="00872F1F"/>
    <w:rsid w:val="008738A6"/>
    <w:rsid w:val="00873FDE"/>
    <w:rsid w:val="00873FFC"/>
    <w:rsid w:val="008744DC"/>
    <w:rsid w:val="008754B1"/>
    <w:rsid w:val="00877C5C"/>
    <w:rsid w:val="00881142"/>
    <w:rsid w:val="00881AB0"/>
    <w:rsid w:val="00881FB4"/>
    <w:rsid w:val="00884C1F"/>
    <w:rsid w:val="00884D9A"/>
    <w:rsid w:val="008900A0"/>
    <w:rsid w:val="0089106B"/>
    <w:rsid w:val="008926F5"/>
    <w:rsid w:val="00893F4F"/>
    <w:rsid w:val="00894645"/>
    <w:rsid w:val="00894D7F"/>
    <w:rsid w:val="0089500F"/>
    <w:rsid w:val="008960AB"/>
    <w:rsid w:val="00896BB7"/>
    <w:rsid w:val="008972FD"/>
    <w:rsid w:val="008A02F5"/>
    <w:rsid w:val="008A14AB"/>
    <w:rsid w:val="008A321F"/>
    <w:rsid w:val="008A39DF"/>
    <w:rsid w:val="008A41EB"/>
    <w:rsid w:val="008A6840"/>
    <w:rsid w:val="008B0B83"/>
    <w:rsid w:val="008B3077"/>
    <w:rsid w:val="008B3765"/>
    <w:rsid w:val="008C0020"/>
    <w:rsid w:val="008C10D8"/>
    <w:rsid w:val="008C144B"/>
    <w:rsid w:val="008C4B4E"/>
    <w:rsid w:val="008C4EC6"/>
    <w:rsid w:val="008C5BDB"/>
    <w:rsid w:val="008C5BDF"/>
    <w:rsid w:val="008C67F8"/>
    <w:rsid w:val="008C77DF"/>
    <w:rsid w:val="008D12CF"/>
    <w:rsid w:val="008D1981"/>
    <w:rsid w:val="008D1F63"/>
    <w:rsid w:val="008D2C83"/>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3965"/>
    <w:rsid w:val="009243AC"/>
    <w:rsid w:val="0092721C"/>
    <w:rsid w:val="009302BC"/>
    <w:rsid w:val="009302E2"/>
    <w:rsid w:val="009305D2"/>
    <w:rsid w:val="00930F17"/>
    <w:rsid w:val="00931BA5"/>
    <w:rsid w:val="00932637"/>
    <w:rsid w:val="00934021"/>
    <w:rsid w:val="00934830"/>
    <w:rsid w:val="00935252"/>
    <w:rsid w:val="00936E3B"/>
    <w:rsid w:val="00942FE6"/>
    <w:rsid w:val="00943762"/>
    <w:rsid w:val="00943D55"/>
    <w:rsid w:val="009441C5"/>
    <w:rsid w:val="00944B21"/>
    <w:rsid w:val="00944F62"/>
    <w:rsid w:val="009473FE"/>
    <w:rsid w:val="00951C1B"/>
    <w:rsid w:val="0095244B"/>
    <w:rsid w:val="00952BB4"/>
    <w:rsid w:val="00954550"/>
    <w:rsid w:val="00956513"/>
    <w:rsid w:val="00956EF4"/>
    <w:rsid w:val="00957B12"/>
    <w:rsid w:val="00960E03"/>
    <w:rsid w:val="00963E09"/>
    <w:rsid w:val="00966797"/>
    <w:rsid w:val="00967F78"/>
    <w:rsid w:val="00970C17"/>
    <w:rsid w:val="0097160A"/>
    <w:rsid w:val="00972A26"/>
    <w:rsid w:val="009772D5"/>
    <w:rsid w:val="00980230"/>
    <w:rsid w:val="0098055C"/>
    <w:rsid w:val="00980AE6"/>
    <w:rsid w:val="0098171A"/>
    <w:rsid w:val="00982C89"/>
    <w:rsid w:val="00987CEF"/>
    <w:rsid w:val="00990A91"/>
    <w:rsid w:val="00990BFB"/>
    <w:rsid w:val="00992262"/>
    <w:rsid w:val="00993A92"/>
    <w:rsid w:val="009948F7"/>
    <w:rsid w:val="0099682B"/>
    <w:rsid w:val="009A0CB9"/>
    <w:rsid w:val="009A4472"/>
    <w:rsid w:val="009A723F"/>
    <w:rsid w:val="009B3077"/>
    <w:rsid w:val="009B4732"/>
    <w:rsid w:val="009B5355"/>
    <w:rsid w:val="009B5D2C"/>
    <w:rsid w:val="009B5E85"/>
    <w:rsid w:val="009B7C1E"/>
    <w:rsid w:val="009B7FB8"/>
    <w:rsid w:val="009C018C"/>
    <w:rsid w:val="009C4FC6"/>
    <w:rsid w:val="009C6CAB"/>
    <w:rsid w:val="009D0A67"/>
    <w:rsid w:val="009D0BDD"/>
    <w:rsid w:val="009D30D9"/>
    <w:rsid w:val="009D4CB2"/>
    <w:rsid w:val="009D4DA2"/>
    <w:rsid w:val="009D6922"/>
    <w:rsid w:val="009E1A9A"/>
    <w:rsid w:val="009E23B1"/>
    <w:rsid w:val="009E375D"/>
    <w:rsid w:val="009E45D0"/>
    <w:rsid w:val="009E6F30"/>
    <w:rsid w:val="009F06CE"/>
    <w:rsid w:val="009F25A3"/>
    <w:rsid w:val="009F29B2"/>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2EA"/>
    <w:rsid w:val="00A31753"/>
    <w:rsid w:val="00A31C4C"/>
    <w:rsid w:val="00A332A0"/>
    <w:rsid w:val="00A33CC4"/>
    <w:rsid w:val="00A346EC"/>
    <w:rsid w:val="00A346FD"/>
    <w:rsid w:val="00A3529C"/>
    <w:rsid w:val="00A3632A"/>
    <w:rsid w:val="00A36D07"/>
    <w:rsid w:val="00A36D9A"/>
    <w:rsid w:val="00A40A2B"/>
    <w:rsid w:val="00A42515"/>
    <w:rsid w:val="00A42BC4"/>
    <w:rsid w:val="00A4334E"/>
    <w:rsid w:val="00A43640"/>
    <w:rsid w:val="00A43F31"/>
    <w:rsid w:val="00A441CE"/>
    <w:rsid w:val="00A44750"/>
    <w:rsid w:val="00A46220"/>
    <w:rsid w:val="00A46DA5"/>
    <w:rsid w:val="00A512D9"/>
    <w:rsid w:val="00A513FD"/>
    <w:rsid w:val="00A51D42"/>
    <w:rsid w:val="00A54A51"/>
    <w:rsid w:val="00A560A6"/>
    <w:rsid w:val="00A56335"/>
    <w:rsid w:val="00A56B4D"/>
    <w:rsid w:val="00A6110E"/>
    <w:rsid w:val="00A61E93"/>
    <w:rsid w:val="00A6304F"/>
    <w:rsid w:val="00A66067"/>
    <w:rsid w:val="00A669C1"/>
    <w:rsid w:val="00A66F4B"/>
    <w:rsid w:val="00A72112"/>
    <w:rsid w:val="00A72F6A"/>
    <w:rsid w:val="00A73A48"/>
    <w:rsid w:val="00A75943"/>
    <w:rsid w:val="00A7625D"/>
    <w:rsid w:val="00A77FD7"/>
    <w:rsid w:val="00A817D4"/>
    <w:rsid w:val="00A81FBB"/>
    <w:rsid w:val="00A821D0"/>
    <w:rsid w:val="00A82AD6"/>
    <w:rsid w:val="00A82EAB"/>
    <w:rsid w:val="00A834B1"/>
    <w:rsid w:val="00A84F36"/>
    <w:rsid w:val="00A8670C"/>
    <w:rsid w:val="00A867CB"/>
    <w:rsid w:val="00A87F97"/>
    <w:rsid w:val="00A91007"/>
    <w:rsid w:val="00A9196D"/>
    <w:rsid w:val="00A92E86"/>
    <w:rsid w:val="00A96138"/>
    <w:rsid w:val="00A962FD"/>
    <w:rsid w:val="00A96858"/>
    <w:rsid w:val="00A969FF"/>
    <w:rsid w:val="00AA0CDA"/>
    <w:rsid w:val="00AA1F6E"/>
    <w:rsid w:val="00AA370E"/>
    <w:rsid w:val="00AA37F8"/>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1D1B"/>
    <w:rsid w:val="00AC2218"/>
    <w:rsid w:val="00AC6326"/>
    <w:rsid w:val="00AC67C7"/>
    <w:rsid w:val="00AD3AEE"/>
    <w:rsid w:val="00AD6A7E"/>
    <w:rsid w:val="00AE0219"/>
    <w:rsid w:val="00AE1233"/>
    <w:rsid w:val="00AE1E9B"/>
    <w:rsid w:val="00AE23FD"/>
    <w:rsid w:val="00AE3990"/>
    <w:rsid w:val="00AE6369"/>
    <w:rsid w:val="00AE63DE"/>
    <w:rsid w:val="00AF1F50"/>
    <w:rsid w:val="00AF26B3"/>
    <w:rsid w:val="00AF55EC"/>
    <w:rsid w:val="00AF65A2"/>
    <w:rsid w:val="00AF6936"/>
    <w:rsid w:val="00AF771D"/>
    <w:rsid w:val="00B00AB4"/>
    <w:rsid w:val="00B00CD9"/>
    <w:rsid w:val="00B014A0"/>
    <w:rsid w:val="00B0153F"/>
    <w:rsid w:val="00B029C2"/>
    <w:rsid w:val="00B03135"/>
    <w:rsid w:val="00B04178"/>
    <w:rsid w:val="00B048CC"/>
    <w:rsid w:val="00B04A34"/>
    <w:rsid w:val="00B04AFA"/>
    <w:rsid w:val="00B06FE2"/>
    <w:rsid w:val="00B07095"/>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434"/>
    <w:rsid w:val="00B25A20"/>
    <w:rsid w:val="00B26902"/>
    <w:rsid w:val="00B26C68"/>
    <w:rsid w:val="00B30171"/>
    <w:rsid w:val="00B302F5"/>
    <w:rsid w:val="00B30C99"/>
    <w:rsid w:val="00B33E5B"/>
    <w:rsid w:val="00B355AB"/>
    <w:rsid w:val="00B36F20"/>
    <w:rsid w:val="00B37719"/>
    <w:rsid w:val="00B40729"/>
    <w:rsid w:val="00B42B5E"/>
    <w:rsid w:val="00B43266"/>
    <w:rsid w:val="00B45827"/>
    <w:rsid w:val="00B461F9"/>
    <w:rsid w:val="00B474D0"/>
    <w:rsid w:val="00B52167"/>
    <w:rsid w:val="00B531BB"/>
    <w:rsid w:val="00B53218"/>
    <w:rsid w:val="00B546E3"/>
    <w:rsid w:val="00B55087"/>
    <w:rsid w:val="00B55158"/>
    <w:rsid w:val="00B559EC"/>
    <w:rsid w:val="00B55E04"/>
    <w:rsid w:val="00B5600C"/>
    <w:rsid w:val="00B569DE"/>
    <w:rsid w:val="00B57069"/>
    <w:rsid w:val="00B57CE0"/>
    <w:rsid w:val="00B61596"/>
    <w:rsid w:val="00B64BC3"/>
    <w:rsid w:val="00B661C0"/>
    <w:rsid w:val="00B66FDF"/>
    <w:rsid w:val="00B70712"/>
    <w:rsid w:val="00B70BB7"/>
    <w:rsid w:val="00B744CF"/>
    <w:rsid w:val="00B75363"/>
    <w:rsid w:val="00B766EE"/>
    <w:rsid w:val="00B8029F"/>
    <w:rsid w:val="00B8226C"/>
    <w:rsid w:val="00B851ED"/>
    <w:rsid w:val="00B856E6"/>
    <w:rsid w:val="00B86940"/>
    <w:rsid w:val="00B86DF8"/>
    <w:rsid w:val="00B8706D"/>
    <w:rsid w:val="00B91CDD"/>
    <w:rsid w:val="00B92B28"/>
    <w:rsid w:val="00B9722B"/>
    <w:rsid w:val="00B972CE"/>
    <w:rsid w:val="00BA0166"/>
    <w:rsid w:val="00BA1570"/>
    <w:rsid w:val="00BA2BDC"/>
    <w:rsid w:val="00BA3F55"/>
    <w:rsid w:val="00BA4270"/>
    <w:rsid w:val="00BA508D"/>
    <w:rsid w:val="00BA5D31"/>
    <w:rsid w:val="00BB0F3A"/>
    <w:rsid w:val="00BB1D52"/>
    <w:rsid w:val="00BB1F7B"/>
    <w:rsid w:val="00BB2086"/>
    <w:rsid w:val="00BB5974"/>
    <w:rsid w:val="00BB652B"/>
    <w:rsid w:val="00BC15E1"/>
    <w:rsid w:val="00BC1B9A"/>
    <w:rsid w:val="00BC47DD"/>
    <w:rsid w:val="00BC538C"/>
    <w:rsid w:val="00BC5E89"/>
    <w:rsid w:val="00BC67EE"/>
    <w:rsid w:val="00BD222E"/>
    <w:rsid w:val="00BD4BE6"/>
    <w:rsid w:val="00BD6961"/>
    <w:rsid w:val="00BE0A11"/>
    <w:rsid w:val="00BE0E84"/>
    <w:rsid w:val="00BE1ECE"/>
    <w:rsid w:val="00BE249A"/>
    <w:rsid w:val="00BE3F9A"/>
    <w:rsid w:val="00BE4F0A"/>
    <w:rsid w:val="00BE573B"/>
    <w:rsid w:val="00BE60AA"/>
    <w:rsid w:val="00BF0A32"/>
    <w:rsid w:val="00BF1B0B"/>
    <w:rsid w:val="00BF264A"/>
    <w:rsid w:val="00BF35F6"/>
    <w:rsid w:val="00BF5E90"/>
    <w:rsid w:val="00BF6FE2"/>
    <w:rsid w:val="00BF7470"/>
    <w:rsid w:val="00BF7C3D"/>
    <w:rsid w:val="00C006F0"/>
    <w:rsid w:val="00C015AA"/>
    <w:rsid w:val="00C062D0"/>
    <w:rsid w:val="00C1294A"/>
    <w:rsid w:val="00C1681D"/>
    <w:rsid w:val="00C16B79"/>
    <w:rsid w:val="00C17D57"/>
    <w:rsid w:val="00C214AD"/>
    <w:rsid w:val="00C21BD8"/>
    <w:rsid w:val="00C24629"/>
    <w:rsid w:val="00C3003A"/>
    <w:rsid w:val="00C31819"/>
    <w:rsid w:val="00C31825"/>
    <w:rsid w:val="00C31A61"/>
    <w:rsid w:val="00C32017"/>
    <w:rsid w:val="00C33BE7"/>
    <w:rsid w:val="00C35694"/>
    <w:rsid w:val="00C404ED"/>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6D72"/>
    <w:rsid w:val="00C5794A"/>
    <w:rsid w:val="00C61197"/>
    <w:rsid w:val="00C624E8"/>
    <w:rsid w:val="00C62EF1"/>
    <w:rsid w:val="00C65F8F"/>
    <w:rsid w:val="00C666CE"/>
    <w:rsid w:val="00C6714F"/>
    <w:rsid w:val="00C674FD"/>
    <w:rsid w:val="00C675D7"/>
    <w:rsid w:val="00C7077B"/>
    <w:rsid w:val="00C729CD"/>
    <w:rsid w:val="00C73CBE"/>
    <w:rsid w:val="00C7631A"/>
    <w:rsid w:val="00C8251B"/>
    <w:rsid w:val="00C82AFE"/>
    <w:rsid w:val="00C8350E"/>
    <w:rsid w:val="00C86370"/>
    <w:rsid w:val="00C866C5"/>
    <w:rsid w:val="00C86A91"/>
    <w:rsid w:val="00C8703B"/>
    <w:rsid w:val="00C905CD"/>
    <w:rsid w:val="00C90997"/>
    <w:rsid w:val="00C92654"/>
    <w:rsid w:val="00C926CE"/>
    <w:rsid w:val="00C92D00"/>
    <w:rsid w:val="00C938A2"/>
    <w:rsid w:val="00C96DDA"/>
    <w:rsid w:val="00CA3091"/>
    <w:rsid w:val="00CA526E"/>
    <w:rsid w:val="00CA5861"/>
    <w:rsid w:val="00CA7DF1"/>
    <w:rsid w:val="00CB063E"/>
    <w:rsid w:val="00CB46CA"/>
    <w:rsid w:val="00CB4EC5"/>
    <w:rsid w:val="00CB52A4"/>
    <w:rsid w:val="00CB64D4"/>
    <w:rsid w:val="00CB7BA1"/>
    <w:rsid w:val="00CC0C69"/>
    <w:rsid w:val="00CC31B6"/>
    <w:rsid w:val="00CC42E0"/>
    <w:rsid w:val="00CC4AC7"/>
    <w:rsid w:val="00CC6087"/>
    <w:rsid w:val="00CC7630"/>
    <w:rsid w:val="00CC7C8D"/>
    <w:rsid w:val="00CD0071"/>
    <w:rsid w:val="00CD1EC5"/>
    <w:rsid w:val="00CD2FD4"/>
    <w:rsid w:val="00CD346D"/>
    <w:rsid w:val="00CD4000"/>
    <w:rsid w:val="00CD65F7"/>
    <w:rsid w:val="00CD688D"/>
    <w:rsid w:val="00CD6EF8"/>
    <w:rsid w:val="00CD7375"/>
    <w:rsid w:val="00CE2071"/>
    <w:rsid w:val="00CE5E68"/>
    <w:rsid w:val="00CE656F"/>
    <w:rsid w:val="00CE68FC"/>
    <w:rsid w:val="00CE7222"/>
    <w:rsid w:val="00CF109F"/>
    <w:rsid w:val="00CF1C41"/>
    <w:rsid w:val="00CF447A"/>
    <w:rsid w:val="00CF4BE7"/>
    <w:rsid w:val="00CF5A1E"/>
    <w:rsid w:val="00CF6285"/>
    <w:rsid w:val="00D01F8B"/>
    <w:rsid w:val="00D0286D"/>
    <w:rsid w:val="00D0390E"/>
    <w:rsid w:val="00D049D3"/>
    <w:rsid w:val="00D04E98"/>
    <w:rsid w:val="00D05476"/>
    <w:rsid w:val="00D06517"/>
    <w:rsid w:val="00D06A73"/>
    <w:rsid w:val="00D07EA6"/>
    <w:rsid w:val="00D118B2"/>
    <w:rsid w:val="00D11C4A"/>
    <w:rsid w:val="00D13768"/>
    <w:rsid w:val="00D14795"/>
    <w:rsid w:val="00D15356"/>
    <w:rsid w:val="00D16B57"/>
    <w:rsid w:val="00D21726"/>
    <w:rsid w:val="00D21DC1"/>
    <w:rsid w:val="00D22810"/>
    <w:rsid w:val="00D22A42"/>
    <w:rsid w:val="00D22D88"/>
    <w:rsid w:val="00D243D3"/>
    <w:rsid w:val="00D26C2F"/>
    <w:rsid w:val="00D34FD3"/>
    <w:rsid w:val="00D35E01"/>
    <w:rsid w:val="00D36556"/>
    <w:rsid w:val="00D377DE"/>
    <w:rsid w:val="00D417FD"/>
    <w:rsid w:val="00D41D0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761"/>
    <w:rsid w:val="00D63C15"/>
    <w:rsid w:val="00D64928"/>
    <w:rsid w:val="00D70444"/>
    <w:rsid w:val="00D70DB5"/>
    <w:rsid w:val="00D75CED"/>
    <w:rsid w:val="00D805FB"/>
    <w:rsid w:val="00D80D4D"/>
    <w:rsid w:val="00D81F1F"/>
    <w:rsid w:val="00D8279E"/>
    <w:rsid w:val="00D83ED0"/>
    <w:rsid w:val="00D84206"/>
    <w:rsid w:val="00D848A7"/>
    <w:rsid w:val="00D850DA"/>
    <w:rsid w:val="00D85520"/>
    <w:rsid w:val="00D860C3"/>
    <w:rsid w:val="00D86291"/>
    <w:rsid w:val="00D86770"/>
    <w:rsid w:val="00D87F19"/>
    <w:rsid w:val="00D90A28"/>
    <w:rsid w:val="00D943EA"/>
    <w:rsid w:val="00D96690"/>
    <w:rsid w:val="00D974D3"/>
    <w:rsid w:val="00D975E7"/>
    <w:rsid w:val="00D97757"/>
    <w:rsid w:val="00DA0916"/>
    <w:rsid w:val="00DA2723"/>
    <w:rsid w:val="00DA5080"/>
    <w:rsid w:val="00DA570D"/>
    <w:rsid w:val="00DA6452"/>
    <w:rsid w:val="00DA695E"/>
    <w:rsid w:val="00DA6ADA"/>
    <w:rsid w:val="00DA6C53"/>
    <w:rsid w:val="00DA7DC5"/>
    <w:rsid w:val="00DB02AD"/>
    <w:rsid w:val="00DB071D"/>
    <w:rsid w:val="00DB2081"/>
    <w:rsid w:val="00DB2A0E"/>
    <w:rsid w:val="00DB3635"/>
    <w:rsid w:val="00DB4AD1"/>
    <w:rsid w:val="00DC0B85"/>
    <w:rsid w:val="00DC18B4"/>
    <w:rsid w:val="00DC23C5"/>
    <w:rsid w:val="00DC2D2C"/>
    <w:rsid w:val="00DC6751"/>
    <w:rsid w:val="00DC7051"/>
    <w:rsid w:val="00DD0DB2"/>
    <w:rsid w:val="00DD1196"/>
    <w:rsid w:val="00DD1D64"/>
    <w:rsid w:val="00DD6B1F"/>
    <w:rsid w:val="00DD759C"/>
    <w:rsid w:val="00DD799E"/>
    <w:rsid w:val="00DE099D"/>
    <w:rsid w:val="00DE0AE4"/>
    <w:rsid w:val="00DE0BB8"/>
    <w:rsid w:val="00DE3399"/>
    <w:rsid w:val="00DE41DB"/>
    <w:rsid w:val="00DF27E2"/>
    <w:rsid w:val="00DF2896"/>
    <w:rsid w:val="00DF637A"/>
    <w:rsid w:val="00DF74C6"/>
    <w:rsid w:val="00E00B59"/>
    <w:rsid w:val="00E029A1"/>
    <w:rsid w:val="00E02D97"/>
    <w:rsid w:val="00E0577E"/>
    <w:rsid w:val="00E07816"/>
    <w:rsid w:val="00E117CD"/>
    <w:rsid w:val="00E11D84"/>
    <w:rsid w:val="00E1286F"/>
    <w:rsid w:val="00E12AFA"/>
    <w:rsid w:val="00E12B6B"/>
    <w:rsid w:val="00E13523"/>
    <w:rsid w:val="00E14A6F"/>
    <w:rsid w:val="00E15E5F"/>
    <w:rsid w:val="00E167EC"/>
    <w:rsid w:val="00E2565F"/>
    <w:rsid w:val="00E34A48"/>
    <w:rsid w:val="00E3574E"/>
    <w:rsid w:val="00E363D5"/>
    <w:rsid w:val="00E36957"/>
    <w:rsid w:val="00E373F8"/>
    <w:rsid w:val="00E37982"/>
    <w:rsid w:val="00E379D9"/>
    <w:rsid w:val="00E41376"/>
    <w:rsid w:val="00E42FC6"/>
    <w:rsid w:val="00E43F1F"/>
    <w:rsid w:val="00E4494C"/>
    <w:rsid w:val="00E45B25"/>
    <w:rsid w:val="00E46C02"/>
    <w:rsid w:val="00E502BA"/>
    <w:rsid w:val="00E511AC"/>
    <w:rsid w:val="00E5360E"/>
    <w:rsid w:val="00E61740"/>
    <w:rsid w:val="00E617B0"/>
    <w:rsid w:val="00E61D9B"/>
    <w:rsid w:val="00E6205C"/>
    <w:rsid w:val="00E6252B"/>
    <w:rsid w:val="00E64653"/>
    <w:rsid w:val="00E65BBF"/>
    <w:rsid w:val="00E66729"/>
    <w:rsid w:val="00E67A36"/>
    <w:rsid w:val="00E71C71"/>
    <w:rsid w:val="00E73AAB"/>
    <w:rsid w:val="00E746D4"/>
    <w:rsid w:val="00E749A3"/>
    <w:rsid w:val="00E749A5"/>
    <w:rsid w:val="00E74D1E"/>
    <w:rsid w:val="00E75779"/>
    <w:rsid w:val="00E7641F"/>
    <w:rsid w:val="00E811D2"/>
    <w:rsid w:val="00E867B8"/>
    <w:rsid w:val="00E87DB5"/>
    <w:rsid w:val="00E922E2"/>
    <w:rsid w:val="00E94C27"/>
    <w:rsid w:val="00E95454"/>
    <w:rsid w:val="00E9548A"/>
    <w:rsid w:val="00EA185B"/>
    <w:rsid w:val="00EA318F"/>
    <w:rsid w:val="00EA384C"/>
    <w:rsid w:val="00EA3A97"/>
    <w:rsid w:val="00EA4049"/>
    <w:rsid w:val="00EA6C34"/>
    <w:rsid w:val="00EA78A8"/>
    <w:rsid w:val="00EA7D16"/>
    <w:rsid w:val="00EB0E3E"/>
    <w:rsid w:val="00EB1064"/>
    <w:rsid w:val="00EB12A4"/>
    <w:rsid w:val="00EB16BB"/>
    <w:rsid w:val="00EB1980"/>
    <w:rsid w:val="00EB2A53"/>
    <w:rsid w:val="00EB3AD6"/>
    <w:rsid w:val="00EB44EE"/>
    <w:rsid w:val="00EB51AA"/>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22DD"/>
    <w:rsid w:val="00EF62FC"/>
    <w:rsid w:val="00EF7252"/>
    <w:rsid w:val="00F00EF4"/>
    <w:rsid w:val="00F021F4"/>
    <w:rsid w:val="00F02FB9"/>
    <w:rsid w:val="00F0301E"/>
    <w:rsid w:val="00F037D9"/>
    <w:rsid w:val="00F06DB3"/>
    <w:rsid w:val="00F07799"/>
    <w:rsid w:val="00F1100E"/>
    <w:rsid w:val="00F115D6"/>
    <w:rsid w:val="00F12C90"/>
    <w:rsid w:val="00F146EC"/>
    <w:rsid w:val="00F14A31"/>
    <w:rsid w:val="00F14F56"/>
    <w:rsid w:val="00F1617E"/>
    <w:rsid w:val="00F16303"/>
    <w:rsid w:val="00F16D9D"/>
    <w:rsid w:val="00F176B6"/>
    <w:rsid w:val="00F20002"/>
    <w:rsid w:val="00F232A6"/>
    <w:rsid w:val="00F251AF"/>
    <w:rsid w:val="00F25526"/>
    <w:rsid w:val="00F26B20"/>
    <w:rsid w:val="00F30DB5"/>
    <w:rsid w:val="00F318E0"/>
    <w:rsid w:val="00F3271C"/>
    <w:rsid w:val="00F32826"/>
    <w:rsid w:val="00F337DD"/>
    <w:rsid w:val="00F33E31"/>
    <w:rsid w:val="00F43740"/>
    <w:rsid w:val="00F43D0D"/>
    <w:rsid w:val="00F43EAE"/>
    <w:rsid w:val="00F45AC0"/>
    <w:rsid w:val="00F476C6"/>
    <w:rsid w:val="00F47BFB"/>
    <w:rsid w:val="00F501FE"/>
    <w:rsid w:val="00F50E8F"/>
    <w:rsid w:val="00F52CBF"/>
    <w:rsid w:val="00F53BE1"/>
    <w:rsid w:val="00F56293"/>
    <w:rsid w:val="00F57EC5"/>
    <w:rsid w:val="00F60FAB"/>
    <w:rsid w:val="00F611D4"/>
    <w:rsid w:val="00F61782"/>
    <w:rsid w:val="00F63F55"/>
    <w:rsid w:val="00F6535B"/>
    <w:rsid w:val="00F66669"/>
    <w:rsid w:val="00F66CAA"/>
    <w:rsid w:val="00F70717"/>
    <w:rsid w:val="00F71552"/>
    <w:rsid w:val="00F7340B"/>
    <w:rsid w:val="00F7431C"/>
    <w:rsid w:val="00F745D4"/>
    <w:rsid w:val="00F74814"/>
    <w:rsid w:val="00F74AFD"/>
    <w:rsid w:val="00F76B94"/>
    <w:rsid w:val="00F80C33"/>
    <w:rsid w:val="00F81941"/>
    <w:rsid w:val="00F8226F"/>
    <w:rsid w:val="00F905AB"/>
    <w:rsid w:val="00F93FD5"/>
    <w:rsid w:val="00F969CF"/>
    <w:rsid w:val="00FA0486"/>
    <w:rsid w:val="00FA1CF2"/>
    <w:rsid w:val="00FA27FD"/>
    <w:rsid w:val="00FA3E55"/>
    <w:rsid w:val="00FA5295"/>
    <w:rsid w:val="00FA5FDC"/>
    <w:rsid w:val="00FA660A"/>
    <w:rsid w:val="00FA6CDD"/>
    <w:rsid w:val="00FB09F9"/>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E1C74"/>
    <w:rsid w:val="00FE2591"/>
    <w:rsid w:val="00FE307B"/>
    <w:rsid w:val="00FE353A"/>
    <w:rsid w:val="00FE4EBA"/>
    <w:rsid w:val="00FE53A8"/>
    <w:rsid w:val="00FE55B9"/>
    <w:rsid w:val="00FE5B68"/>
    <w:rsid w:val="00FE5C60"/>
    <w:rsid w:val="00FF0C63"/>
    <w:rsid w:val="00FF0EC6"/>
    <w:rsid w:val="00FF1DAB"/>
    <w:rsid w:val="00FF394A"/>
    <w:rsid w:val="00FF3DF8"/>
    <w:rsid w:val="00FF631C"/>
    <w:rsid w:val="019E7D6E"/>
    <w:rsid w:val="081366B8"/>
    <w:rsid w:val="0A30375A"/>
    <w:rsid w:val="0C007610"/>
    <w:rsid w:val="0D671FC7"/>
    <w:rsid w:val="11E5455D"/>
    <w:rsid w:val="16B52247"/>
    <w:rsid w:val="18906C52"/>
    <w:rsid w:val="1B19710E"/>
    <w:rsid w:val="1E6D693C"/>
    <w:rsid w:val="20F54C86"/>
    <w:rsid w:val="2CE81BAF"/>
    <w:rsid w:val="38F33167"/>
    <w:rsid w:val="3C963D43"/>
    <w:rsid w:val="423B34D2"/>
    <w:rsid w:val="488A7F5C"/>
    <w:rsid w:val="4C602F18"/>
    <w:rsid w:val="506A1849"/>
    <w:rsid w:val="55432304"/>
    <w:rsid w:val="56571EF6"/>
    <w:rsid w:val="583F60CB"/>
    <w:rsid w:val="5AD92ECE"/>
    <w:rsid w:val="5B9223A9"/>
    <w:rsid w:val="6062345E"/>
    <w:rsid w:val="67584F43"/>
    <w:rsid w:val="6BC1702A"/>
    <w:rsid w:val="6FAB5603"/>
    <w:rsid w:val="7263140C"/>
    <w:rsid w:val="75BE6EB5"/>
    <w:rsid w:val="77A5105E"/>
    <w:rsid w:val="78CF63CA"/>
    <w:rsid w:val="798961F7"/>
    <w:rsid w:val="7A020929"/>
    <w:rsid w:val="7B8C796F"/>
    <w:rsid w:val="7EEF6C2A"/>
    <w:rsid w:val="7F074C2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qFormat="1"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99"/>
    <w:pPr>
      <w:keepNext/>
      <w:keepLines/>
      <w:spacing w:before="340" w:after="330" w:line="578" w:lineRule="auto"/>
      <w:outlineLvl w:val="0"/>
    </w:pPr>
    <w:rPr>
      <w:b/>
      <w:kern w:val="44"/>
      <w:sz w:val="44"/>
      <w:szCs w:val="20"/>
    </w:rPr>
  </w:style>
  <w:style w:type="paragraph" w:styleId="2">
    <w:name w:val="heading 2"/>
    <w:basedOn w:val="1"/>
    <w:next w:val="1"/>
    <w:qFormat/>
    <w:uiPriority w:val="0"/>
    <w:pPr>
      <w:keepNext/>
      <w:keepLines/>
      <w:spacing w:before="60" w:after="60" w:line="360" w:lineRule="auto"/>
      <w:jc w:val="center"/>
      <w:outlineLvl w:val="1"/>
    </w:pPr>
    <w:rPr>
      <w:rFonts w:ascii="宋体" w:hAnsi="宋体"/>
      <w:b/>
      <w:bCs/>
      <w:sz w:val="28"/>
      <w:szCs w:val="32"/>
      <w:lang w:val="zh-CN"/>
    </w:rPr>
  </w:style>
  <w:style w:type="paragraph" w:styleId="4">
    <w:name w:val="heading 3"/>
    <w:basedOn w:val="1"/>
    <w:next w:val="1"/>
    <w:link w:val="48"/>
    <w:unhideWhenUsed/>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4"/>
    <w:qFormat/>
    <w:uiPriority w:val="99"/>
    <w:pPr>
      <w:jc w:val="left"/>
    </w:pPr>
    <w:rPr>
      <w:sz w:val="24"/>
      <w:szCs w:val="20"/>
    </w:rPr>
  </w:style>
  <w:style w:type="paragraph" w:styleId="6">
    <w:name w:val="Body Text"/>
    <w:basedOn w:val="1"/>
    <w:link w:val="43"/>
    <w:unhideWhenUsed/>
    <w:qFormat/>
    <w:locked/>
    <w:uiPriority w:val="99"/>
    <w:pPr>
      <w:spacing w:after="120"/>
    </w:pPr>
  </w:style>
  <w:style w:type="paragraph" w:styleId="7">
    <w:name w:val="Body Text Indent"/>
    <w:basedOn w:val="1"/>
    <w:link w:val="25"/>
    <w:qFormat/>
    <w:uiPriority w:val="99"/>
    <w:pPr>
      <w:ind w:firstLine="575" w:firstLineChars="274"/>
    </w:pPr>
    <w:rPr>
      <w:rFonts w:ascii="等线" w:eastAsia="等线"/>
      <w:sz w:val="22"/>
      <w:szCs w:val="20"/>
    </w:rPr>
  </w:style>
  <w:style w:type="paragraph" w:styleId="8">
    <w:name w:val="Block Text"/>
    <w:basedOn w:val="1"/>
    <w:unhideWhenUsed/>
    <w:qFormat/>
    <w:locked/>
    <w:uiPriority w:val="99"/>
    <w:pPr>
      <w:spacing w:after="120"/>
      <w:ind w:left="1440" w:leftChars="700" w:right="1440" w:rightChars="700"/>
    </w:pPr>
  </w:style>
  <w:style w:type="paragraph" w:styleId="9">
    <w:name w:val="index 4"/>
    <w:basedOn w:val="1"/>
    <w:next w:val="1"/>
    <w:qFormat/>
    <w:uiPriority w:val="99"/>
    <w:pPr>
      <w:ind w:left="600" w:leftChars="600"/>
    </w:pPr>
    <w:rPr>
      <w:rFonts w:ascii="Verdana" w:hAnsi="Verdana"/>
    </w:rPr>
  </w:style>
  <w:style w:type="paragraph" w:styleId="10">
    <w:name w:val="Plain Text"/>
    <w:basedOn w:val="1"/>
    <w:link w:val="26"/>
    <w:qFormat/>
    <w:uiPriority w:val="0"/>
    <w:rPr>
      <w:rFonts w:ascii="宋体" w:hAnsi="Courier New"/>
      <w:szCs w:val="20"/>
    </w:rPr>
  </w:style>
  <w:style w:type="paragraph" w:styleId="11">
    <w:name w:val="Date"/>
    <w:basedOn w:val="1"/>
    <w:next w:val="1"/>
    <w:link w:val="27"/>
    <w:qFormat/>
    <w:uiPriority w:val="99"/>
    <w:pPr>
      <w:ind w:left="100" w:leftChars="2500"/>
    </w:pPr>
    <w:rPr>
      <w:sz w:val="24"/>
      <w:szCs w:val="20"/>
    </w:rPr>
  </w:style>
  <w:style w:type="paragraph" w:styleId="12">
    <w:name w:val="Balloon Text"/>
    <w:basedOn w:val="1"/>
    <w:link w:val="28"/>
    <w:semiHidden/>
    <w:qFormat/>
    <w:uiPriority w:val="99"/>
    <w:rPr>
      <w:kern w:val="0"/>
      <w:sz w:val="2"/>
      <w:szCs w:val="20"/>
    </w:rPr>
  </w:style>
  <w:style w:type="paragraph" w:styleId="13">
    <w:name w:val="footer"/>
    <w:basedOn w:val="1"/>
    <w:link w:val="29"/>
    <w:qFormat/>
    <w:uiPriority w:val="99"/>
    <w:pPr>
      <w:tabs>
        <w:tab w:val="center" w:pos="4153"/>
        <w:tab w:val="right" w:pos="8306"/>
      </w:tabs>
      <w:snapToGrid w:val="0"/>
      <w:jc w:val="left"/>
    </w:pPr>
    <w:rPr>
      <w:kern w:val="0"/>
      <w:sz w:val="18"/>
      <w:szCs w:val="18"/>
    </w:rPr>
  </w:style>
  <w:style w:type="paragraph" w:styleId="14">
    <w:name w:val="header"/>
    <w:basedOn w:val="1"/>
    <w:link w:val="30"/>
    <w:qFormat/>
    <w:uiPriority w:val="99"/>
    <w:pPr>
      <w:pBdr>
        <w:bottom w:val="single" w:color="auto" w:sz="6" w:space="1"/>
      </w:pBdr>
      <w:tabs>
        <w:tab w:val="center" w:pos="4153"/>
        <w:tab w:val="right" w:pos="8306"/>
      </w:tabs>
      <w:snapToGrid w:val="0"/>
      <w:jc w:val="center"/>
    </w:pPr>
    <w:rPr>
      <w:sz w:val="18"/>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5"/>
    <w:next w:val="5"/>
    <w:link w:val="31"/>
    <w:qFormat/>
    <w:uiPriority w:val="99"/>
    <w:rPr>
      <w:b/>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semiHidden/>
    <w:unhideWhenUsed/>
    <w:qFormat/>
    <w:locked/>
    <w:uiPriority w:val="99"/>
    <w:rPr>
      <w:color w:val="800080" w:themeColor="followedHyperlink"/>
      <w:u w:val="single"/>
    </w:rPr>
  </w:style>
  <w:style w:type="character" w:styleId="21">
    <w:name w:val="Hyperlink"/>
    <w:qFormat/>
    <w:uiPriority w:val="99"/>
    <w:rPr>
      <w:rFonts w:cs="Times New Roman"/>
      <w:color w:val="0563C1"/>
      <w:u w:val="single"/>
    </w:rPr>
  </w:style>
  <w:style w:type="character" w:styleId="22">
    <w:name w:val="annotation reference"/>
    <w:qFormat/>
    <w:uiPriority w:val="99"/>
    <w:rPr>
      <w:rFonts w:cs="Times New Roman"/>
      <w:sz w:val="21"/>
    </w:rPr>
  </w:style>
  <w:style w:type="character" w:customStyle="1" w:styleId="23">
    <w:name w:val="标题 1 Char"/>
    <w:link w:val="3"/>
    <w:qFormat/>
    <w:locked/>
    <w:uiPriority w:val="99"/>
    <w:rPr>
      <w:rFonts w:cs="Times New Roman"/>
      <w:b/>
      <w:kern w:val="44"/>
      <w:sz w:val="44"/>
    </w:rPr>
  </w:style>
  <w:style w:type="character" w:customStyle="1" w:styleId="24">
    <w:name w:val="批注文字 Char"/>
    <w:link w:val="5"/>
    <w:qFormat/>
    <w:locked/>
    <w:uiPriority w:val="99"/>
    <w:rPr>
      <w:rFonts w:cs="Times New Roman"/>
      <w:kern w:val="2"/>
      <w:sz w:val="24"/>
    </w:rPr>
  </w:style>
  <w:style w:type="character" w:customStyle="1" w:styleId="25">
    <w:name w:val="正文文本缩进 Char"/>
    <w:link w:val="7"/>
    <w:qFormat/>
    <w:locked/>
    <w:uiPriority w:val="99"/>
    <w:rPr>
      <w:rFonts w:ascii="等线" w:eastAsia="等线" w:cs="Times New Roman"/>
      <w:kern w:val="2"/>
      <w:sz w:val="22"/>
    </w:rPr>
  </w:style>
  <w:style w:type="character" w:customStyle="1" w:styleId="26">
    <w:name w:val="纯文本 Char"/>
    <w:link w:val="10"/>
    <w:qFormat/>
    <w:locked/>
    <w:uiPriority w:val="0"/>
    <w:rPr>
      <w:rFonts w:ascii="宋体" w:hAnsi="Courier New" w:cs="Times New Roman"/>
      <w:kern w:val="2"/>
      <w:sz w:val="21"/>
    </w:rPr>
  </w:style>
  <w:style w:type="character" w:customStyle="1" w:styleId="27">
    <w:name w:val="日期 Char"/>
    <w:link w:val="11"/>
    <w:qFormat/>
    <w:locked/>
    <w:uiPriority w:val="99"/>
    <w:rPr>
      <w:rFonts w:cs="Times New Roman"/>
      <w:kern w:val="2"/>
      <w:sz w:val="24"/>
    </w:rPr>
  </w:style>
  <w:style w:type="character" w:customStyle="1" w:styleId="28">
    <w:name w:val="批注框文本 Char"/>
    <w:link w:val="12"/>
    <w:semiHidden/>
    <w:qFormat/>
    <w:locked/>
    <w:uiPriority w:val="99"/>
    <w:rPr>
      <w:rFonts w:cs="Times New Roman"/>
      <w:sz w:val="2"/>
    </w:rPr>
  </w:style>
  <w:style w:type="character" w:customStyle="1" w:styleId="29">
    <w:name w:val="页脚 Char"/>
    <w:link w:val="13"/>
    <w:semiHidden/>
    <w:qFormat/>
    <w:locked/>
    <w:uiPriority w:val="99"/>
    <w:rPr>
      <w:rFonts w:cs="Times New Roman"/>
      <w:sz w:val="18"/>
      <w:szCs w:val="18"/>
    </w:rPr>
  </w:style>
  <w:style w:type="character" w:customStyle="1" w:styleId="30">
    <w:name w:val="页眉 Char"/>
    <w:link w:val="14"/>
    <w:qFormat/>
    <w:locked/>
    <w:uiPriority w:val="99"/>
    <w:rPr>
      <w:rFonts w:cs="Times New Roman"/>
      <w:kern w:val="2"/>
      <w:sz w:val="18"/>
    </w:rPr>
  </w:style>
  <w:style w:type="character" w:customStyle="1" w:styleId="31">
    <w:name w:val="批注主题 Char"/>
    <w:link w:val="16"/>
    <w:qFormat/>
    <w:locked/>
    <w:uiPriority w:val="99"/>
    <w:rPr>
      <w:rFonts w:cs="Times New Roman"/>
      <w:b/>
      <w:kern w:val="2"/>
      <w:sz w:val="24"/>
    </w:rPr>
  </w:style>
  <w:style w:type="paragraph" w:customStyle="1" w:styleId="32">
    <w:name w:val="Char"/>
    <w:basedOn w:val="1"/>
    <w:qFormat/>
    <w:uiPriority w:val="99"/>
    <w:pPr>
      <w:tabs>
        <w:tab w:val="left" w:pos="360"/>
      </w:tabs>
    </w:pPr>
    <w:rPr>
      <w:sz w:val="24"/>
    </w:rPr>
  </w:style>
  <w:style w:type="character" w:customStyle="1" w:styleId="33">
    <w:name w:val="列出段落 Char"/>
    <w:link w:val="34"/>
    <w:qFormat/>
    <w:locked/>
    <w:uiPriority w:val="0"/>
  </w:style>
  <w:style w:type="paragraph" w:styleId="34">
    <w:name w:val="List Paragraph"/>
    <w:basedOn w:val="1"/>
    <w:link w:val="33"/>
    <w:qFormat/>
    <w:uiPriority w:val="0"/>
    <w:pPr>
      <w:widowControl/>
      <w:ind w:firstLine="420" w:firstLineChars="200"/>
      <w:jc w:val="left"/>
    </w:pPr>
    <w:rPr>
      <w:kern w:val="0"/>
      <w:sz w:val="20"/>
      <w:szCs w:val="20"/>
    </w:rPr>
  </w:style>
  <w:style w:type="table" w:customStyle="1" w:styleId="35">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Placeholder Text"/>
    <w:semiHidden/>
    <w:qFormat/>
    <w:uiPriority w:val="99"/>
    <w:rPr>
      <w:rFonts w:cs="Times New Roman"/>
      <w:color w:val="808080"/>
    </w:rPr>
  </w:style>
  <w:style w:type="paragraph" w:customStyle="1" w:styleId="37">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8">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9">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0">
    <w:name w:val="列出段落2"/>
    <w:basedOn w:val="1"/>
    <w:qFormat/>
    <w:uiPriority w:val="99"/>
    <w:pPr>
      <w:ind w:firstLine="420" w:firstLineChars="200"/>
    </w:pPr>
    <w:rPr>
      <w:rFonts w:ascii="Calibri" w:hAnsi="Calibri"/>
      <w:szCs w:val="22"/>
    </w:rPr>
  </w:style>
  <w:style w:type="character" w:customStyle="1" w:styleId="41">
    <w:name w:val="标题 2 Char Char Char"/>
    <w:qFormat/>
    <w:uiPriority w:val="99"/>
    <w:rPr>
      <w:rFonts w:ascii="Arial" w:hAnsi="Arial" w:eastAsia="黑体"/>
      <w:b/>
      <w:kern w:val="2"/>
      <w:sz w:val="32"/>
      <w:lang w:val="en-US" w:eastAsia="zh-CN"/>
    </w:rPr>
  </w:style>
  <w:style w:type="paragraph" w:customStyle="1" w:styleId="42">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3">
    <w:name w:val="正文文本 Char"/>
    <w:link w:val="6"/>
    <w:qFormat/>
    <w:uiPriority w:val="99"/>
    <w:rPr>
      <w:kern w:val="2"/>
      <w:sz w:val="21"/>
      <w:szCs w:val="24"/>
    </w:rPr>
  </w:style>
  <w:style w:type="paragraph" w:customStyle="1" w:styleId="44">
    <w:name w:val="正文1"/>
    <w:basedOn w:val="1"/>
    <w:qFormat/>
    <w:uiPriority w:val="0"/>
    <w:pPr>
      <w:widowControl/>
      <w:spacing w:after="200" w:line="300" w:lineRule="atLeast"/>
      <w:jc w:val="left"/>
    </w:pPr>
    <w:rPr>
      <w:rFonts w:ascii="Calibri" w:hAnsi="Calibri" w:cs="宋体"/>
      <w:kern w:val="0"/>
      <w:sz w:val="22"/>
      <w:szCs w:val="22"/>
    </w:rPr>
  </w:style>
  <w:style w:type="character" w:customStyle="1" w:styleId="45">
    <w:name w:val="font212"/>
    <w:basedOn w:val="19"/>
    <w:qFormat/>
    <w:uiPriority w:val="0"/>
    <w:rPr>
      <w:rFonts w:hint="eastAsia" w:ascii="宋体" w:hAnsi="宋体" w:eastAsia="宋体" w:cs="宋体"/>
      <w:color w:val="000000"/>
      <w:sz w:val="18"/>
      <w:szCs w:val="18"/>
      <w:u w:val="none"/>
    </w:rPr>
  </w:style>
  <w:style w:type="character" w:customStyle="1" w:styleId="46">
    <w:name w:val="font231"/>
    <w:basedOn w:val="19"/>
    <w:qFormat/>
    <w:uiPriority w:val="0"/>
    <w:rPr>
      <w:rFonts w:hint="eastAsia" w:ascii="宋体" w:hAnsi="宋体" w:eastAsia="宋体" w:cs="宋体"/>
      <w:b/>
      <w:color w:val="FF0000"/>
      <w:sz w:val="18"/>
      <w:szCs w:val="18"/>
      <w:u w:val="none"/>
    </w:rPr>
  </w:style>
  <w:style w:type="paragraph" w:customStyle="1" w:styleId="47">
    <w:name w:val="表格样式"/>
    <w:basedOn w:val="1"/>
    <w:qFormat/>
    <w:uiPriority w:val="0"/>
    <w:pPr>
      <w:spacing w:beforeLines="30" w:afterLines="30"/>
      <w:jc w:val="left"/>
    </w:pPr>
    <w:rPr>
      <w:szCs w:val="21"/>
      <w:lang w:val="zh-CN"/>
    </w:rPr>
  </w:style>
  <w:style w:type="character" w:customStyle="1" w:styleId="48">
    <w:name w:val="标题 3 Char"/>
    <w:basedOn w:val="19"/>
    <w:link w:val="4"/>
    <w:qFormat/>
    <w:uiPriority w:val="0"/>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A17D88-A8E9-4FD5-8ECA-689F4928970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3051</Words>
  <Characters>17394</Characters>
  <Lines>144</Lines>
  <Paragraphs>40</Paragraphs>
  <TotalTime>7</TotalTime>
  <ScaleCrop>false</ScaleCrop>
  <LinksUpToDate>false</LinksUpToDate>
  <CharactersWithSpaces>20405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2020-08-13T08:56:00Z</dcterms:created>
  <dc:creator>微软用户</dc:creator>
  <cp:lastModifiedBy>nxdlu</cp:lastModifiedBy>
  <cp:lastPrinted>2019-05-30T06:49:00Z</cp:lastPrinted>
  <dcterms:modified xsi:type="dcterms:W3CDTF">2020-09-23T05:38:11Z</dcterms:modified>
  <dc:title>淮海工学院A8-10号楼学生宿舍家具招标书</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