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大气物理学院定制化毫米波云雷达系统</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7"/>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（招标编号：SBC2020059）</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20年07月</w:t>
      </w:r>
      <w:r>
        <w:rPr>
          <w:rFonts w:hint="eastAsia" w:ascii="宋体" w:hAnsi="宋体" w:cs="仿宋"/>
          <w:sz w:val="28"/>
          <w:szCs w:val="28"/>
          <w:highlight w:val="none"/>
          <w:u w:val="single"/>
          <w:lang w:val="en-US" w:eastAsia="zh-CN"/>
        </w:rPr>
        <w:t>23</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大气物理学院定制化毫米波云雷达系统采购项目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大气物理学院定制化毫米波云雷达系统采购项目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Arial"/>
          <w:i/>
          <w:iCs/>
          <w:sz w:val="28"/>
          <w:szCs w:val="28"/>
          <w:highlight w:val="none"/>
          <w:u w:val="single"/>
        </w:rPr>
        <w:t>1.具有独立承担民事责任的能力</w:t>
      </w:r>
      <w:r>
        <w:rPr>
          <w:rFonts w:hint="eastAsia" w:ascii="宋体" w:hAnsi="宋体"/>
          <w:i/>
          <w:iCs/>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2.具有良好的商业信誉和健全的财务会计制度</w:t>
      </w:r>
      <w:r>
        <w:rPr>
          <w:rFonts w:hint="eastAsia" w:ascii="宋体" w:hAnsi="宋体"/>
          <w:i/>
          <w:iCs/>
          <w:sz w:val="28"/>
          <w:szCs w:val="28"/>
          <w:highlight w:val="none"/>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4.有依法缴纳税收和社会保障资金的良好记录</w:t>
      </w:r>
      <w:r>
        <w:rPr>
          <w:rFonts w:hint="eastAsia" w:ascii="宋体" w:hAnsi="宋体"/>
          <w:i/>
          <w:iCs/>
          <w:sz w:val="28"/>
          <w:szCs w:val="28"/>
          <w:highlight w:val="none"/>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5.参加政府采购活动前三年内，在经营活动中没有违法记录</w:t>
      </w:r>
      <w:r>
        <w:rPr>
          <w:rFonts w:hint="eastAsia" w:ascii="宋体" w:hAnsi="宋体"/>
          <w:i/>
          <w:iCs/>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（二）投标人不得存在下列情形之一</w:t>
      </w:r>
      <w:r>
        <w:rPr>
          <w:rFonts w:hint="eastAsia" w:ascii="宋体" w:hAnsi="宋体"/>
          <w:i/>
          <w:iCs/>
          <w:sz w:val="28"/>
          <w:szCs w:val="28"/>
          <w:highlight w:val="none"/>
          <w:u w:val="single"/>
        </w:rPr>
        <w:t>（</w:t>
      </w:r>
      <w:r>
        <w:rPr>
          <w:rFonts w:hint="eastAsia" w:ascii="宋体" w:hAnsi="宋体"/>
          <w:b/>
          <w:i/>
          <w:iCs/>
          <w:sz w:val="28"/>
          <w:szCs w:val="28"/>
          <w:highlight w:val="none"/>
          <w:u w:val="single"/>
        </w:rPr>
        <w:t>提供加盖投标人公章的承诺书）</w:t>
      </w:r>
      <w:r>
        <w:rPr>
          <w:rFonts w:hint="eastAsia" w:ascii="宋体" w:hAnsi="宋体" w:cs="宋体"/>
          <w:i/>
          <w:iCs/>
          <w:kern w:val="0"/>
          <w:sz w:val="28"/>
          <w:szCs w:val="28"/>
          <w:highlight w:val="none"/>
          <w:u w:val="single"/>
        </w:rPr>
        <w:t>：</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（三）</w:t>
      </w:r>
      <w:r>
        <w:rPr>
          <w:rFonts w:hint="eastAsia" w:ascii="宋体" w:hAnsi="宋体" w:cs="宋体"/>
          <w:bCs/>
          <w:i/>
          <w:iCs/>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highlight w:val="none"/>
          <w:u w:val="single"/>
        </w:rPr>
      </w:pPr>
      <w:r>
        <w:rPr>
          <w:rFonts w:hint="eastAsia" w:ascii="宋体" w:hAnsi="宋体" w:cs="宋体"/>
          <w:i/>
          <w:iCs/>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（提供本项目报名截止日后的以上两个网站截图并加盖单位公章）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6个月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六、本项目预算价为40.00万元，本项目只接受人民币报价。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“SBC2020059资料费”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“SBC2020059资料费”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w:t>
      </w:r>
      <w:r>
        <w:rPr>
          <w:rFonts w:hint="eastAsia" w:ascii="宋体" w:hAnsi="宋体"/>
          <w:sz w:val="28"/>
          <w:szCs w:val="28"/>
          <w:highlight w:val="none"/>
        </w:rPr>
        <w:t>请在</w:t>
      </w:r>
      <w:r>
        <w:rPr>
          <w:rFonts w:ascii="宋体" w:hAnsi="宋体"/>
          <w:b/>
          <w:sz w:val="28"/>
          <w:szCs w:val="28"/>
          <w:highlight w:val="none"/>
          <w:u w:val="single"/>
        </w:rPr>
        <w:t>2020</w:t>
      </w:r>
      <w:r>
        <w:rPr>
          <w:rFonts w:hint="eastAsia" w:ascii="宋体" w:hAnsi="宋体"/>
          <w:b/>
          <w:sz w:val="28"/>
          <w:szCs w:val="28"/>
          <w:highlight w:val="none"/>
          <w:u w:val="single"/>
        </w:rPr>
        <w:t>年07月</w:t>
      </w:r>
      <w:r>
        <w:rPr>
          <w:rFonts w:hint="eastAsia" w:ascii="宋体" w:hAnsi="宋体"/>
          <w:b/>
          <w:sz w:val="28"/>
          <w:szCs w:val="28"/>
          <w:highlight w:val="none"/>
          <w:u w:val="single"/>
          <w:lang w:val="en-US" w:eastAsia="zh-CN"/>
        </w:rPr>
        <w:t>29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12</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12</w:t>
      </w:r>
      <w:r>
        <w:rPr>
          <w:rFonts w:hint="eastAsia" w:ascii="宋体" w:hAnsi="宋体"/>
          <w:sz w:val="28"/>
          <w:szCs w:val="28"/>
          <w:highlight w:val="none"/>
        </w:rPr>
        <w:t>日09：00</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用户单位联系电话：15195928517，联系人：郜老师。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0"/>
        <w:spacing w:line="360" w:lineRule="auto"/>
        <w:ind w:left="99" w:leftChars="47" w:firstLine="4919" w:firstLineChars="1750"/>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20年0</w:t>
      </w:r>
      <w:r>
        <w:rPr>
          <w:rStyle w:val="39"/>
          <w:rFonts w:hint="eastAsia" w:ascii="宋体" w:hAnsi="宋体"/>
          <w:sz w:val="28"/>
          <w:szCs w:val="28"/>
          <w:highlight w:val="none"/>
        </w:rPr>
        <w:t>7</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23</w:t>
      </w:r>
      <w:r>
        <w:rPr>
          <w:rStyle w:val="39"/>
          <w:rFonts w:hint="eastAsia" w:ascii="宋体" w:hAnsi="宋体" w:eastAsia="宋体"/>
          <w:sz w:val="28"/>
          <w:szCs w:val="28"/>
          <w:highlight w:val="none"/>
        </w:rPr>
        <w:t>日</w:t>
      </w:r>
    </w:p>
    <w:bookmarkEnd w:id="8"/>
    <w:p>
      <w:pPr>
        <w:pStyle w:val="9"/>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516"/>
        <w:gridCol w:w="3667"/>
        <w:gridCol w:w="1767"/>
        <w:gridCol w:w="962"/>
        <w:gridCol w:w="790"/>
        <w:gridCol w:w="2534"/>
      </w:tblGrid>
      <w:tr>
        <w:tblPrEx>
          <w:tblCellMar>
            <w:top w:w="15" w:type="dxa"/>
            <w:left w:w="15" w:type="dxa"/>
            <w:bottom w:w="15" w:type="dxa"/>
            <w:right w:w="15" w:type="dxa"/>
          </w:tblCellMar>
        </w:tblPrEx>
        <w:tc>
          <w:tcPr>
            <w:tcW w:w="2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分包</w:t>
            </w:r>
          </w:p>
        </w:tc>
        <w:tc>
          <w:tcPr>
            <w:tcW w:w="17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仪器设备名称</w:t>
            </w:r>
          </w:p>
        </w:tc>
        <w:tc>
          <w:tcPr>
            <w:tcW w:w="8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参考型号</w:t>
            </w:r>
          </w:p>
        </w:tc>
        <w:tc>
          <w:tcPr>
            <w:tcW w:w="47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单位</w:t>
            </w:r>
          </w:p>
        </w:tc>
        <w:tc>
          <w:tcPr>
            <w:tcW w:w="3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数量</w:t>
            </w:r>
          </w:p>
        </w:tc>
        <w:tc>
          <w:tcPr>
            <w:tcW w:w="12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主要配置或技术参数</w:t>
            </w:r>
          </w:p>
        </w:tc>
      </w:tr>
      <w:tr>
        <w:tblPrEx>
          <w:tblCellMar>
            <w:top w:w="15" w:type="dxa"/>
            <w:left w:w="15" w:type="dxa"/>
            <w:bottom w:w="15" w:type="dxa"/>
            <w:right w:w="15" w:type="dxa"/>
          </w:tblCellMar>
        </w:tblPrEx>
        <w:trPr>
          <w:trHeight w:val="365" w:hRule="atLeast"/>
        </w:trPr>
        <w:tc>
          <w:tcPr>
            <w:tcW w:w="2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rPr>
              <w:t>1</w:t>
            </w:r>
          </w:p>
        </w:tc>
        <w:tc>
          <w:tcPr>
            <w:tcW w:w="1791" w:type="pct"/>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kern w:val="0"/>
                <w:sz w:val="24"/>
                <w:highlight w:val="none"/>
              </w:rPr>
            </w:pPr>
            <w:r>
              <w:rPr>
                <w:rFonts w:hint="eastAsia"/>
                <w:color w:val="000000"/>
                <w:sz w:val="24"/>
                <w:highlight w:val="none"/>
              </w:rPr>
              <w:t>定制化毫米波云雷达系统</w:t>
            </w:r>
          </w:p>
        </w:tc>
        <w:tc>
          <w:tcPr>
            <w:tcW w:w="863" w:type="pct"/>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highlight w:val="none"/>
              </w:rPr>
            </w:pP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highlight w:val="none"/>
              </w:rPr>
            </w:pPr>
            <w:r>
              <w:rPr>
                <w:rFonts w:hint="eastAsia"/>
                <w:color w:val="000000"/>
                <w:sz w:val="24"/>
                <w:highlight w:val="none"/>
              </w:rPr>
              <w:t>套</w:t>
            </w:r>
          </w:p>
        </w:tc>
        <w:tc>
          <w:tcPr>
            <w:tcW w:w="386" w:type="pct"/>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highlight w:val="none"/>
              </w:rPr>
            </w:pPr>
            <w:r>
              <w:rPr>
                <w:color w:val="000000"/>
                <w:sz w:val="24"/>
                <w:highlight w:val="none"/>
              </w:rPr>
              <w:t>1</w:t>
            </w:r>
          </w:p>
        </w:tc>
        <w:tc>
          <w:tcPr>
            <w:tcW w:w="12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sz w:val="24"/>
                <w:highlight w:val="none"/>
              </w:rPr>
              <w:t>详见表后内容</w:t>
            </w:r>
          </w:p>
        </w:tc>
      </w:tr>
    </w:tbl>
    <w:p>
      <w:pPr>
        <w:rPr>
          <w:b/>
          <w:highlight w:val="none"/>
        </w:rPr>
      </w:pPr>
      <w:r>
        <w:rPr>
          <w:rFonts w:hint="eastAsia"/>
          <w:b/>
          <w:highlight w:val="none"/>
        </w:rPr>
        <w:t>以上所有设备要求免费质保期至少</w:t>
      </w:r>
      <w:r>
        <w:rPr>
          <w:rFonts w:hint="eastAsia" w:ascii="宋体" w:hAnsi="宋体"/>
          <w:color w:val="000000"/>
          <w:sz w:val="28"/>
          <w:szCs w:val="28"/>
          <w:highlight w:val="none"/>
        </w:rPr>
        <w:t>2</w:t>
      </w:r>
      <w:r>
        <w:rPr>
          <w:rFonts w:hint="eastAsia"/>
          <w:b/>
          <w:highlight w:val="none"/>
        </w:rPr>
        <w:t>年。</w:t>
      </w:r>
    </w:p>
    <w:p>
      <w:pPr>
        <w:rPr>
          <w:b/>
          <w:highlight w:val="none"/>
        </w:rPr>
      </w:pPr>
    </w:p>
    <w:p>
      <w:pPr>
        <w:rPr>
          <w:b/>
          <w:highlight w:val="none"/>
        </w:rPr>
      </w:pPr>
      <w:r>
        <w:rPr>
          <w:b/>
          <w:color w:val="000000"/>
          <w:kern w:val="0"/>
          <w:sz w:val="24"/>
          <w:highlight w:val="none"/>
        </w:rPr>
        <w:t>主要配置或技术参数</w:t>
      </w:r>
      <w:r>
        <w:rPr>
          <w:b/>
          <w:highlight w:val="none"/>
        </w:rPr>
        <w:t>：（标注“</w:t>
      </w:r>
      <w:r>
        <w:rPr>
          <w:rFonts w:ascii="MS Mincho" w:hAnsi="MS Mincho" w:eastAsia="MS Mincho" w:cs="MS Mincho"/>
          <w:color w:val="000000"/>
          <w:kern w:val="0"/>
          <w:sz w:val="20"/>
          <w:szCs w:val="20"/>
          <w:highlight w:val="none"/>
        </w:rPr>
        <w:t>★</w:t>
      </w:r>
      <w:r>
        <w:rPr>
          <w:b/>
          <w:highlight w:val="none"/>
        </w:rPr>
        <w:t>”指标为必须满足项，不满足按</w:t>
      </w:r>
      <w:r>
        <w:rPr>
          <w:rFonts w:hint="eastAsia"/>
          <w:b/>
          <w:highlight w:val="none"/>
        </w:rPr>
        <w:t>无效</w:t>
      </w:r>
      <w:r>
        <w:rPr>
          <w:b/>
          <w:highlight w:val="none"/>
        </w:rPr>
        <w:t>标处理。）</w:t>
      </w:r>
    </w:p>
    <w:p>
      <w:pPr>
        <w:snapToGrid w:val="0"/>
        <w:spacing w:before="156" w:beforeLines="50"/>
        <w:rPr>
          <w:b/>
          <w:sz w:val="24"/>
          <w:highlight w:val="none"/>
        </w:rPr>
      </w:pPr>
    </w:p>
    <w:p>
      <w:pPr>
        <w:spacing w:line="312" w:lineRule="auto"/>
        <w:ind w:right="105" w:rightChars="50"/>
        <w:rPr>
          <w:rFonts w:ascii="黑体" w:hAnsi="黑体" w:eastAsia="黑体"/>
          <w:sz w:val="24"/>
          <w:highlight w:val="none"/>
        </w:rPr>
      </w:pPr>
      <w:r>
        <w:rPr>
          <w:rFonts w:hint="eastAsia" w:ascii="黑体" w:hAnsi="黑体" w:eastAsia="黑体"/>
          <w:sz w:val="24"/>
          <w:highlight w:val="none"/>
        </w:rPr>
        <w:t>拟采购定制化毫米波云雷达系统应具备以下功能：</w:t>
      </w:r>
    </w:p>
    <w:p>
      <w:pPr>
        <w:spacing w:line="312" w:lineRule="auto"/>
        <w:ind w:left="105" w:leftChars="50" w:right="105" w:rightChars="50" w:firstLine="480"/>
        <w:rPr>
          <w:rFonts w:ascii="仿宋" w:hAnsi="仿宋" w:eastAsia="仿宋"/>
          <w:sz w:val="24"/>
          <w:highlight w:val="none"/>
        </w:rPr>
      </w:pPr>
      <w:r>
        <w:rPr>
          <w:rFonts w:hint="eastAsia" w:ascii="MS Mincho" w:hAnsi="MS Mincho" w:cs="MS Mincho"/>
          <w:color w:val="000000"/>
          <w:kern w:val="0"/>
          <w:sz w:val="20"/>
          <w:szCs w:val="20"/>
          <w:highlight w:val="none"/>
        </w:rPr>
        <w:t>1.</w:t>
      </w:r>
      <w:r>
        <w:rPr>
          <w:rFonts w:hint="eastAsia" w:ascii="MS Mincho" w:hAnsi="MS Mincho" w:eastAsia="MS Mincho" w:cs="MS Mincho"/>
          <w:color w:val="000000"/>
          <w:kern w:val="0"/>
          <w:sz w:val="20"/>
          <w:szCs w:val="20"/>
          <w:highlight w:val="none"/>
        </w:rPr>
        <w:t xml:space="preserve"> </w:t>
      </w:r>
      <w:r>
        <w:rPr>
          <w:rFonts w:hint="eastAsia" w:ascii="仿宋" w:hAnsi="仿宋" w:eastAsia="仿宋"/>
          <w:sz w:val="24"/>
          <w:highlight w:val="none"/>
        </w:rPr>
        <w:t>可用于云、雾、弱降水等目标的探测，可连续不间断获取站点周边高时空分辨率的气象目标宏观、微观和动力学特性信息；</w:t>
      </w:r>
    </w:p>
    <w:p>
      <w:pPr>
        <w:spacing w:line="312" w:lineRule="auto"/>
        <w:ind w:left="105" w:leftChars="50" w:right="105" w:rightChars="50" w:firstLine="480"/>
        <w:rPr>
          <w:rFonts w:ascii="仿宋" w:hAnsi="仿宋" w:eastAsia="仿宋"/>
          <w:sz w:val="24"/>
          <w:highlight w:val="none"/>
        </w:rPr>
      </w:pPr>
      <w:r>
        <w:rPr>
          <w:rFonts w:hint="eastAsia" w:ascii="MS Mincho" w:hAnsi="MS Mincho" w:cs="MS Mincho"/>
          <w:color w:val="000000"/>
          <w:kern w:val="0"/>
          <w:sz w:val="20"/>
          <w:szCs w:val="20"/>
          <w:highlight w:val="none"/>
        </w:rPr>
        <w:t>2.</w:t>
      </w:r>
      <w:r>
        <w:rPr>
          <w:rFonts w:hint="eastAsia" w:ascii="MS Mincho" w:hAnsi="MS Mincho" w:eastAsia="MS Mincho" w:cs="MS Mincho"/>
          <w:color w:val="000000"/>
          <w:kern w:val="0"/>
          <w:sz w:val="20"/>
          <w:szCs w:val="20"/>
          <w:highlight w:val="none"/>
        </w:rPr>
        <w:t xml:space="preserve"> </w:t>
      </w:r>
      <w:r>
        <w:rPr>
          <w:rFonts w:hint="eastAsia" w:ascii="仿宋" w:hAnsi="仿宋" w:eastAsia="仿宋"/>
          <w:sz w:val="24"/>
          <w:highlight w:val="none"/>
        </w:rPr>
        <w:t>采用全固态脉冲多普勒体制，可对10km 范围内的非降水云或弱降水云的空间位置与分布、强度、速度、谱宽等信息进行定量测量，从而获取云底高、云顶高、云厚、云中上升气流速度等气象信息；</w:t>
      </w:r>
    </w:p>
    <w:p>
      <w:pPr>
        <w:spacing w:line="312" w:lineRule="auto"/>
        <w:ind w:left="105" w:leftChars="50" w:right="105" w:rightChars="50" w:firstLine="480"/>
        <w:rPr>
          <w:rFonts w:ascii="仿宋" w:hAnsi="仿宋" w:eastAsia="仿宋"/>
          <w:sz w:val="24"/>
          <w:highlight w:val="none"/>
        </w:rPr>
      </w:pPr>
      <w:r>
        <w:rPr>
          <w:rFonts w:hint="eastAsia" w:ascii="MS Mincho" w:hAnsi="MS Mincho" w:cs="MS Mincho"/>
          <w:color w:val="000000"/>
          <w:kern w:val="0"/>
          <w:sz w:val="20"/>
          <w:szCs w:val="20"/>
          <w:highlight w:val="none"/>
        </w:rPr>
        <w:t>3.</w:t>
      </w:r>
      <w:r>
        <w:rPr>
          <w:rFonts w:hint="eastAsia" w:ascii="MS Mincho" w:hAnsi="MS Mincho" w:eastAsia="MS Mincho" w:cs="MS Mincho"/>
          <w:color w:val="000000"/>
          <w:kern w:val="0"/>
          <w:sz w:val="20"/>
          <w:szCs w:val="20"/>
          <w:highlight w:val="none"/>
        </w:rPr>
        <w:t xml:space="preserve"> </w:t>
      </w:r>
      <w:r>
        <w:rPr>
          <w:rFonts w:hint="eastAsia" w:ascii="仿宋" w:hAnsi="仿宋" w:eastAsia="仿宋"/>
          <w:sz w:val="24"/>
          <w:highlight w:val="none"/>
        </w:rPr>
        <w:t>具有本地控制/遥控工作方式，自动获取探测数据，可通过远程遥控功能和数据通信实现无人值守运行；</w:t>
      </w:r>
    </w:p>
    <w:p>
      <w:pPr>
        <w:spacing w:line="312" w:lineRule="auto"/>
        <w:ind w:left="105" w:leftChars="50" w:right="105" w:rightChars="50" w:firstLine="480"/>
        <w:rPr>
          <w:rFonts w:ascii="仿宋" w:hAnsi="仿宋" w:eastAsia="仿宋"/>
          <w:sz w:val="24"/>
          <w:highlight w:val="none"/>
        </w:rPr>
      </w:pPr>
      <w:r>
        <w:rPr>
          <w:rFonts w:hint="eastAsia" w:ascii="MS Mincho" w:hAnsi="MS Mincho" w:cs="MS Mincho"/>
          <w:color w:val="000000"/>
          <w:kern w:val="0"/>
          <w:sz w:val="20"/>
          <w:szCs w:val="20"/>
          <w:highlight w:val="none"/>
        </w:rPr>
        <w:t>4.</w:t>
      </w:r>
      <w:r>
        <w:rPr>
          <w:rFonts w:hint="eastAsia" w:ascii="MS Mincho" w:hAnsi="MS Mincho" w:eastAsia="MS Mincho" w:cs="MS Mincho"/>
          <w:color w:val="000000"/>
          <w:kern w:val="0"/>
          <w:sz w:val="20"/>
          <w:szCs w:val="20"/>
          <w:highlight w:val="none"/>
        </w:rPr>
        <w:t xml:space="preserve"> </w:t>
      </w:r>
      <w:r>
        <w:rPr>
          <w:rFonts w:hint="eastAsia" w:ascii="仿宋" w:hAnsi="仿宋" w:eastAsia="仿宋"/>
          <w:sz w:val="24"/>
          <w:highlight w:val="none"/>
        </w:rPr>
        <w:t>具有较高的可靠性、稳定性、可维护性，以确保雷达系统能稳定可靠运行，具备连续不间断工作能力和不同环境和天气条件下工作和探测的能力。</w:t>
      </w:r>
    </w:p>
    <w:p>
      <w:pPr>
        <w:spacing w:line="312" w:lineRule="auto"/>
        <w:ind w:left="105" w:leftChars="50" w:right="105" w:rightChars="50" w:firstLine="480"/>
        <w:rPr>
          <w:rFonts w:ascii="仿宋" w:hAnsi="仿宋" w:eastAsia="仿宋"/>
          <w:sz w:val="24"/>
          <w:highlight w:val="none"/>
        </w:rPr>
      </w:pPr>
      <w:r>
        <w:rPr>
          <w:rFonts w:hint="eastAsia" w:ascii="仿宋" w:hAnsi="仿宋" w:eastAsia="仿宋"/>
          <w:sz w:val="24"/>
          <w:highlight w:val="none"/>
        </w:rPr>
        <w:t>具体技术指标如下：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jc w:val="center"/>
              <w:rPr>
                <w:rFonts w:ascii="黑体" w:hAnsi="黑体" w:eastAsia="黑体"/>
                <w:sz w:val="24"/>
                <w:highlight w:val="none"/>
              </w:rPr>
            </w:pPr>
            <w:r>
              <w:rPr>
                <w:rFonts w:ascii="黑体" w:hAnsi="黑体" w:eastAsia="黑体"/>
                <w:sz w:val="24"/>
                <w:highlight w:val="none"/>
              </w:rPr>
              <w:t>项目</w:t>
            </w:r>
          </w:p>
        </w:tc>
        <w:tc>
          <w:tcPr>
            <w:tcW w:w="4674" w:type="dxa"/>
            <w:shd w:val="clear" w:color="auto" w:fill="auto"/>
            <w:vAlign w:val="center"/>
          </w:tcPr>
          <w:p>
            <w:pPr>
              <w:adjustRightInd w:val="0"/>
              <w:snapToGrid w:val="0"/>
              <w:jc w:val="center"/>
              <w:rPr>
                <w:rFonts w:ascii="黑体" w:hAnsi="黑体" w:eastAsia="黑体"/>
                <w:sz w:val="24"/>
                <w:highlight w:val="none"/>
              </w:rPr>
            </w:pPr>
            <w:r>
              <w:rPr>
                <w:rFonts w:ascii="黑体" w:hAnsi="黑体" w:eastAsia="黑体"/>
                <w:sz w:val="24"/>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ascii="MS Mincho" w:hAnsi="MS Mincho" w:eastAsia="MS Mincho" w:cs="MS Mincho"/>
                <w:color w:val="000000"/>
                <w:kern w:val="0"/>
                <w:sz w:val="20"/>
                <w:szCs w:val="20"/>
                <w:highlight w:val="none"/>
              </w:rPr>
              <w:t>★</w:t>
            </w:r>
            <w:r>
              <w:rPr>
                <w:sz w:val="24"/>
                <w:highlight w:val="none"/>
              </w:rPr>
              <w:t>技术体制</w:t>
            </w:r>
          </w:p>
        </w:tc>
        <w:tc>
          <w:tcPr>
            <w:tcW w:w="4674" w:type="dxa"/>
            <w:shd w:val="clear" w:color="auto" w:fill="auto"/>
            <w:vAlign w:val="center"/>
          </w:tcPr>
          <w:p>
            <w:pPr>
              <w:adjustRightInd w:val="0"/>
              <w:snapToGrid w:val="0"/>
              <w:ind w:left="210" w:leftChars="100"/>
              <w:rPr>
                <w:sz w:val="24"/>
                <w:highlight w:val="none"/>
              </w:rPr>
            </w:pPr>
            <w:r>
              <w:rPr>
                <w:sz w:val="24"/>
                <w:highlight w:val="none"/>
              </w:rPr>
              <w:t>全固态多普勒体制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工作频率</w:t>
            </w:r>
          </w:p>
        </w:tc>
        <w:tc>
          <w:tcPr>
            <w:tcW w:w="4674" w:type="dxa"/>
            <w:shd w:val="clear" w:color="auto" w:fill="auto"/>
            <w:vAlign w:val="center"/>
          </w:tcPr>
          <w:p>
            <w:pPr>
              <w:adjustRightInd w:val="0"/>
              <w:snapToGrid w:val="0"/>
              <w:ind w:left="210" w:leftChars="100"/>
              <w:rPr>
                <w:sz w:val="24"/>
                <w:highlight w:val="none"/>
              </w:rPr>
            </w:pPr>
            <w:r>
              <w:rPr>
                <w:sz w:val="24"/>
                <w:highlight w:val="none"/>
              </w:rPr>
              <w:t>Ka波段（35GHz）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天线扫描方式</w:t>
            </w:r>
          </w:p>
        </w:tc>
        <w:tc>
          <w:tcPr>
            <w:tcW w:w="4674" w:type="dxa"/>
            <w:shd w:val="clear" w:color="auto" w:fill="auto"/>
            <w:vAlign w:val="center"/>
          </w:tcPr>
          <w:p>
            <w:pPr>
              <w:adjustRightInd w:val="0"/>
              <w:snapToGrid w:val="0"/>
              <w:ind w:left="210" w:leftChars="100"/>
              <w:rPr>
                <w:sz w:val="24"/>
                <w:highlight w:val="none"/>
              </w:rPr>
            </w:pPr>
            <w:r>
              <w:rPr>
                <w:sz w:val="24"/>
                <w:highlight w:val="none"/>
              </w:rPr>
              <w:t>垂直固定指向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探测要素</w:t>
            </w:r>
          </w:p>
        </w:tc>
        <w:tc>
          <w:tcPr>
            <w:tcW w:w="4674" w:type="dxa"/>
            <w:shd w:val="clear" w:color="auto" w:fill="auto"/>
            <w:vAlign w:val="center"/>
          </w:tcPr>
          <w:p>
            <w:pPr>
              <w:adjustRightInd w:val="0"/>
              <w:snapToGrid w:val="0"/>
              <w:ind w:left="210" w:leftChars="100"/>
              <w:rPr>
                <w:sz w:val="24"/>
                <w:highlight w:val="none"/>
              </w:rPr>
            </w:pPr>
            <w:r>
              <w:rPr>
                <w:sz w:val="24"/>
                <w:highlight w:val="none"/>
              </w:rPr>
              <w:t>强度Z、速度V、谱宽W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探测高度范围</w:t>
            </w:r>
          </w:p>
        </w:tc>
        <w:tc>
          <w:tcPr>
            <w:tcW w:w="4674" w:type="dxa"/>
            <w:shd w:val="clear" w:color="auto" w:fill="auto"/>
            <w:vAlign w:val="center"/>
          </w:tcPr>
          <w:p>
            <w:pPr>
              <w:adjustRightInd w:val="0"/>
              <w:snapToGrid w:val="0"/>
              <w:ind w:left="210" w:leftChars="100"/>
              <w:rPr>
                <w:sz w:val="24"/>
                <w:highlight w:val="none"/>
              </w:rPr>
            </w:pPr>
            <w:r>
              <w:rPr>
                <w:sz w:val="24"/>
                <w:highlight w:val="none"/>
              </w:rPr>
              <w:t>≥</w:t>
            </w:r>
            <w:r>
              <w:rPr>
                <w:rFonts w:hint="eastAsia"/>
                <w:sz w:val="24"/>
                <w:highlight w:val="none"/>
              </w:rPr>
              <w:t xml:space="preserve"> </w:t>
            </w:r>
            <w:r>
              <w:rPr>
                <w:sz w:val="24"/>
                <w:highlight w:val="none"/>
              </w:rPr>
              <w:t>10km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ascii="MS Mincho" w:hAnsi="MS Mincho" w:eastAsia="MS Mincho" w:cs="MS Mincho"/>
                <w:color w:val="000000"/>
                <w:kern w:val="0"/>
                <w:sz w:val="20"/>
                <w:szCs w:val="20"/>
                <w:highlight w:val="none"/>
              </w:rPr>
              <w:t>★</w:t>
            </w:r>
            <w:r>
              <w:rPr>
                <w:sz w:val="24"/>
                <w:highlight w:val="none"/>
              </w:rPr>
              <w:t>发射功率</w:t>
            </w:r>
          </w:p>
        </w:tc>
        <w:tc>
          <w:tcPr>
            <w:tcW w:w="4674" w:type="dxa"/>
            <w:shd w:val="clear" w:color="auto" w:fill="auto"/>
            <w:vAlign w:val="center"/>
          </w:tcPr>
          <w:p>
            <w:pPr>
              <w:adjustRightInd w:val="0"/>
              <w:snapToGrid w:val="0"/>
              <w:ind w:left="210" w:leftChars="100"/>
              <w:rPr>
                <w:sz w:val="24"/>
                <w:highlight w:val="none"/>
              </w:rPr>
            </w:pPr>
            <w:r>
              <w:rPr>
                <w:sz w:val="24"/>
                <w:highlight w:val="none"/>
              </w:rPr>
              <w:t>≥</w:t>
            </w:r>
            <w:r>
              <w:rPr>
                <w:rFonts w:hint="eastAsia"/>
                <w:sz w:val="24"/>
                <w:highlight w:val="none"/>
              </w:rPr>
              <w:t xml:space="preserve"> </w:t>
            </w:r>
            <w:r>
              <w:rPr>
                <w:sz w:val="24"/>
                <w:highlight w:val="none"/>
              </w:rPr>
              <w:t>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rFonts w:ascii="MS Mincho" w:hAnsi="MS Mincho" w:eastAsia="MS Mincho" w:cs="MS Mincho"/>
                <w:color w:val="000000"/>
                <w:kern w:val="0"/>
                <w:sz w:val="20"/>
                <w:szCs w:val="20"/>
                <w:highlight w:val="none"/>
              </w:rPr>
            </w:pPr>
            <w:r>
              <w:rPr>
                <w:rFonts w:ascii="MS Mincho" w:hAnsi="MS Mincho" w:eastAsia="MS Mincho" w:cs="MS Mincho"/>
                <w:color w:val="000000"/>
                <w:kern w:val="0"/>
                <w:sz w:val="20"/>
                <w:szCs w:val="20"/>
                <w:highlight w:val="none"/>
              </w:rPr>
              <w:t>★</w:t>
            </w:r>
            <w:r>
              <w:rPr>
                <w:rFonts w:hint="eastAsia"/>
                <w:sz w:val="24"/>
                <w:highlight w:val="none"/>
              </w:rPr>
              <w:t>天</w:t>
            </w:r>
            <w:r>
              <w:rPr>
                <w:sz w:val="24"/>
                <w:highlight w:val="none"/>
              </w:rPr>
              <w:t>线</w:t>
            </w:r>
            <w:r>
              <w:rPr>
                <w:rFonts w:hint="eastAsia"/>
                <w:sz w:val="24"/>
                <w:highlight w:val="none"/>
              </w:rPr>
              <w:t>尺寸（直径）</w:t>
            </w:r>
          </w:p>
        </w:tc>
        <w:tc>
          <w:tcPr>
            <w:tcW w:w="4674" w:type="dxa"/>
            <w:shd w:val="clear" w:color="auto" w:fill="auto"/>
            <w:vAlign w:val="center"/>
          </w:tcPr>
          <w:p>
            <w:pPr>
              <w:adjustRightInd w:val="0"/>
              <w:snapToGrid w:val="0"/>
              <w:ind w:left="210" w:leftChars="100"/>
              <w:rPr>
                <w:sz w:val="24"/>
                <w:highlight w:val="none"/>
              </w:rPr>
            </w:pPr>
            <w:r>
              <w:rPr>
                <w:sz w:val="24"/>
                <w:highlight w:val="none"/>
              </w:rPr>
              <w:t>≥</w:t>
            </w:r>
            <w:r>
              <w:rPr>
                <w:rFonts w:hint="eastAsia"/>
                <w:sz w:val="24"/>
                <w:highlight w:val="none"/>
              </w:rPr>
              <w:t xml:space="preserve"> 1.6m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ascii="MS Mincho" w:hAnsi="MS Mincho" w:eastAsia="MS Mincho" w:cs="MS Mincho"/>
                <w:color w:val="000000"/>
                <w:kern w:val="0"/>
                <w:sz w:val="20"/>
                <w:szCs w:val="20"/>
                <w:highlight w:val="none"/>
              </w:rPr>
              <w:t>★</w:t>
            </w:r>
            <w:r>
              <w:rPr>
                <w:sz w:val="24"/>
                <w:highlight w:val="none"/>
              </w:rPr>
              <w:t>强度</w:t>
            </w:r>
            <w:r>
              <w:rPr>
                <w:rFonts w:hint="eastAsia"/>
                <w:sz w:val="24"/>
                <w:highlight w:val="none"/>
              </w:rPr>
              <w:t>（精度）</w:t>
            </w:r>
          </w:p>
        </w:tc>
        <w:tc>
          <w:tcPr>
            <w:tcW w:w="4674" w:type="dxa"/>
            <w:shd w:val="clear" w:color="auto" w:fill="auto"/>
            <w:vAlign w:val="center"/>
          </w:tcPr>
          <w:p>
            <w:pPr>
              <w:adjustRightInd w:val="0"/>
              <w:snapToGrid w:val="0"/>
              <w:ind w:left="210" w:leftChars="100"/>
              <w:rPr>
                <w:sz w:val="24"/>
                <w:highlight w:val="none"/>
              </w:rPr>
            </w:pPr>
            <w:r>
              <w:rPr>
                <w:sz w:val="24"/>
                <w:highlight w:val="none"/>
              </w:rPr>
              <w:t>-4</w:t>
            </w:r>
            <w:r>
              <w:rPr>
                <w:rFonts w:hint="eastAsia"/>
                <w:sz w:val="24"/>
                <w:highlight w:val="none"/>
              </w:rPr>
              <w:t>5</w:t>
            </w:r>
            <w:r>
              <w:rPr>
                <w:sz w:val="24"/>
                <w:highlight w:val="none"/>
              </w:rPr>
              <w:t>~+3</w:t>
            </w:r>
            <w:r>
              <w:rPr>
                <w:rFonts w:hint="eastAsia"/>
                <w:sz w:val="24"/>
                <w:highlight w:val="none"/>
              </w:rPr>
              <w:t>5</w:t>
            </w:r>
            <w:r>
              <w:rPr>
                <w:sz w:val="24"/>
                <w:highlight w:val="none"/>
              </w:rPr>
              <w:t xml:space="preserve"> dBZ（≤1dBZ）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ascii="MS Mincho" w:hAnsi="MS Mincho" w:eastAsia="MS Mincho" w:cs="MS Mincho"/>
                <w:color w:val="000000"/>
                <w:kern w:val="0"/>
                <w:sz w:val="20"/>
                <w:szCs w:val="20"/>
                <w:highlight w:val="none"/>
              </w:rPr>
              <w:t>★</w:t>
            </w:r>
            <w:r>
              <w:rPr>
                <w:sz w:val="24"/>
                <w:highlight w:val="none"/>
              </w:rPr>
              <w:t>速度</w:t>
            </w:r>
            <w:r>
              <w:rPr>
                <w:rFonts w:hint="eastAsia"/>
                <w:sz w:val="24"/>
                <w:highlight w:val="none"/>
              </w:rPr>
              <w:t>（精度）</w:t>
            </w:r>
          </w:p>
        </w:tc>
        <w:tc>
          <w:tcPr>
            <w:tcW w:w="4674" w:type="dxa"/>
            <w:shd w:val="clear" w:color="auto" w:fill="auto"/>
            <w:vAlign w:val="center"/>
          </w:tcPr>
          <w:p>
            <w:pPr>
              <w:adjustRightInd w:val="0"/>
              <w:snapToGrid w:val="0"/>
              <w:ind w:left="210" w:leftChars="100"/>
              <w:rPr>
                <w:sz w:val="24"/>
                <w:highlight w:val="none"/>
              </w:rPr>
            </w:pPr>
            <w:r>
              <w:rPr>
                <w:sz w:val="24"/>
                <w:highlight w:val="none"/>
              </w:rPr>
              <w:t>-15m/s~+15m/s（≤1m/s）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谱宽</w:t>
            </w:r>
            <w:r>
              <w:rPr>
                <w:rFonts w:hint="eastAsia"/>
                <w:sz w:val="24"/>
                <w:highlight w:val="none"/>
              </w:rPr>
              <w:t>（精度）</w:t>
            </w:r>
          </w:p>
        </w:tc>
        <w:tc>
          <w:tcPr>
            <w:tcW w:w="4674" w:type="dxa"/>
            <w:shd w:val="clear" w:color="auto" w:fill="auto"/>
            <w:vAlign w:val="center"/>
          </w:tcPr>
          <w:p>
            <w:pPr>
              <w:adjustRightInd w:val="0"/>
              <w:snapToGrid w:val="0"/>
              <w:ind w:left="210" w:leftChars="100"/>
              <w:rPr>
                <w:sz w:val="24"/>
                <w:highlight w:val="none"/>
              </w:rPr>
            </w:pPr>
            <w:r>
              <w:rPr>
                <w:sz w:val="24"/>
                <w:highlight w:val="none"/>
              </w:rPr>
              <w:t>0~15m/s（≤1m/s）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二次产品</w:t>
            </w:r>
          </w:p>
        </w:tc>
        <w:tc>
          <w:tcPr>
            <w:tcW w:w="4674" w:type="dxa"/>
            <w:shd w:val="clear" w:color="auto" w:fill="auto"/>
            <w:vAlign w:val="center"/>
          </w:tcPr>
          <w:p>
            <w:pPr>
              <w:adjustRightInd w:val="0"/>
              <w:snapToGrid w:val="0"/>
              <w:ind w:left="210" w:leftChars="100"/>
              <w:rPr>
                <w:sz w:val="24"/>
                <w:highlight w:val="none"/>
              </w:rPr>
            </w:pPr>
            <w:r>
              <w:rPr>
                <w:sz w:val="24"/>
                <w:highlight w:val="none"/>
              </w:rPr>
              <w:t>云底高、云顶高、云量、云厚、垂直液态水含量、功率谱、云中上升气流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574" w:type="dxa"/>
            <w:shd w:val="clear" w:color="auto" w:fill="auto"/>
            <w:vAlign w:val="center"/>
          </w:tcPr>
          <w:p>
            <w:pPr>
              <w:adjustRightInd w:val="0"/>
              <w:snapToGrid w:val="0"/>
              <w:ind w:left="210" w:leftChars="100"/>
              <w:rPr>
                <w:sz w:val="24"/>
                <w:highlight w:val="none"/>
              </w:rPr>
            </w:pPr>
            <w:r>
              <w:rPr>
                <w:sz w:val="24"/>
                <w:highlight w:val="none"/>
              </w:rPr>
              <w:t>室外工作</w:t>
            </w:r>
          </w:p>
          <w:p>
            <w:pPr>
              <w:adjustRightInd w:val="0"/>
              <w:snapToGrid w:val="0"/>
              <w:ind w:left="210" w:leftChars="100"/>
              <w:rPr>
                <w:sz w:val="24"/>
                <w:highlight w:val="none"/>
              </w:rPr>
            </w:pPr>
            <w:r>
              <w:rPr>
                <w:sz w:val="24"/>
                <w:highlight w:val="none"/>
              </w:rPr>
              <w:t>环境适应性</w:t>
            </w:r>
          </w:p>
        </w:tc>
        <w:tc>
          <w:tcPr>
            <w:tcW w:w="4674" w:type="dxa"/>
            <w:shd w:val="clear" w:color="auto" w:fill="auto"/>
            <w:vAlign w:val="center"/>
          </w:tcPr>
          <w:p>
            <w:pPr>
              <w:adjustRightInd w:val="0"/>
              <w:snapToGrid w:val="0"/>
              <w:ind w:left="210" w:leftChars="100"/>
              <w:rPr>
                <w:sz w:val="24"/>
                <w:highlight w:val="none"/>
              </w:rPr>
            </w:pPr>
            <w:r>
              <w:rPr>
                <w:sz w:val="24"/>
                <w:highlight w:val="none"/>
              </w:rPr>
              <w:t>温度：-40</w:t>
            </w:r>
            <w:r>
              <w:rPr>
                <w:rFonts w:ascii="MS Mincho" w:hAnsi="MS Mincho" w:eastAsia="MS Mincho" w:cs="MS Mincho"/>
                <w:sz w:val="24"/>
                <w:highlight w:val="none"/>
              </w:rPr>
              <w:t>℃</w:t>
            </w:r>
            <w:r>
              <w:rPr>
                <w:sz w:val="24"/>
                <w:highlight w:val="none"/>
              </w:rPr>
              <w:t>～+50</w:t>
            </w:r>
            <w:r>
              <w:rPr>
                <w:rFonts w:ascii="MS Mincho" w:hAnsi="MS Mincho" w:eastAsia="MS Mincho" w:cs="MS Mincho"/>
                <w:sz w:val="24"/>
                <w:highlight w:val="none"/>
              </w:rPr>
              <w:t>℃</w:t>
            </w:r>
          </w:p>
          <w:p>
            <w:pPr>
              <w:adjustRightInd w:val="0"/>
              <w:snapToGrid w:val="0"/>
              <w:ind w:left="210" w:leftChars="100"/>
              <w:rPr>
                <w:sz w:val="24"/>
                <w:highlight w:val="none"/>
              </w:rPr>
            </w:pPr>
            <w:r>
              <w:rPr>
                <w:sz w:val="24"/>
                <w:highlight w:val="none"/>
              </w:rPr>
              <w:t>相对湿度：≤98%（+30</w:t>
            </w:r>
            <w:r>
              <w:rPr>
                <w:rFonts w:ascii="MS Mincho" w:hAnsi="MS Mincho" w:eastAsia="MS Mincho" w:cs="MS Mincho"/>
                <w:sz w:val="24"/>
                <w:highlight w:val="none"/>
              </w:rPr>
              <w:t>℃</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rFonts w:hint="eastAsia"/>
                <w:sz w:val="24"/>
                <w:highlight w:val="none"/>
              </w:rPr>
              <w:t>可靠性</w:t>
            </w:r>
          </w:p>
        </w:tc>
        <w:tc>
          <w:tcPr>
            <w:tcW w:w="4674" w:type="dxa"/>
            <w:shd w:val="clear" w:color="auto" w:fill="auto"/>
            <w:vAlign w:val="center"/>
          </w:tcPr>
          <w:p>
            <w:pPr>
              <w:adjustRightInd w:val="0"/>
              <w:snapToGrid w:val="0"/>
              <w:ind w:left="210" w:leftChars="100"/>
              <w:rPr>
                <w:sz w:val="24"/>
                <w:highlight w:val="none"/>
              </w:rPr>
            </w:pPr>
            <w:r>
              <w:rPr>
                <w:rFonts w:hint="eastAsia"/>
                <w:sz w:val="24"/>
                <w:highlight w:val="none"/>
              </w:rPr>
              <w:t xml:space="preserve">平均故障间隔时间（MTBF）≥ </w:t>
            </w:r>
            <w:r>
              <w:rPr>
                <w:sz w:val="24"/>
                <w:highlight w:val="none"/>
              </w:rPr>
              <w:t>500h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rFonts w:hint="eastAsia"/>
                <w:sz w:val="24"/>
                <w:highlight w:val="none"/>
              </w:rPr>
              <w:t>维修性</w:t>
            </w:r>
          </w:p>
        </w:tc>
        <w:tc>
          <w:tcPr>
            <w:tcW w:w="4674" w:type="dxa"/>
            <w:shd w:val="clear" w:color="auto" w:fill="auto"/>
            <w:vAlign w:val="center"/>
          </w:tcPr>
          <w:p>
            <w:pPr>
              <w:adjustRightInd w:val="0"/>
              <w:snapToGrid w:val="0"/>
              <w:ind w:left="210" w:leftChars="100"/>
              <w:rPr>
                <w:sz w:val="24"/>
                <w:highlight w:val="none"/>
              </w:rPr>
            </w:pPr>
            <w:r>
              <w:rPr>
                <w:rFonts w:hint="eastAsia"/>
                <w:sz w:val="24"/>
                <w:highlight w:val="none"/>
              </w:rPr>
              <w:t xml:space="preserve">平均故障修复时间（MTTR）≤ </w:t>
            </w:r>
            <w:r>
              <w:rPr>
                <w:sz w:val="24"/>
                <w:highlight w:val="none"/>
              </w:rPr>
              <w:t>0.5h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rFonts w:hint="eastAsia"/>
                <w:sz w:val="24"/>
                <w:highlight w:val="none"/>
              </w:rPr>
              <w:t>保障性</w:t>
            </w:r>
          </w:p>
        </w:tc>
        <w:tc>
          <w:tcPr>
            <w:tcW w:w="4674" w:type="dxa"/>
            <w:shd w:val="clear" w:color="auto" w:fill="auto"/>
            <w:vAlign w:val="center"/>
          </w:tcPr>
          <w:p>
            <w:pPr>
              <w:adjustRightInd w:val="0"/>
              <w:snapToGrid w:val="0"/>
              <w:ind w:left="210" w:leftChars="100"/>
              <w:rPr>
                <w:sz w:val="24"/>
                <w:highlight w:val="none"/>
              </w:rPr>
            </w:pPr>
            <w:r>
              <w:rPr>
                <w:rFonts w:hint="eastAsia"/>
                <w:sz w:val="24"/>
                <w:highlight w:val="none"/>
              </w:rPr>
              <w:t>连续工作时间：可24h 连续工作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74" w:type="dxa"/>
            <w:shd w:val="clear" w:color="auto" w:fill="auto"/>
            <w:vAlign w:val="center"/>
          </w:tcPr>
          <w:p>
            <w:pPr>
              <w:adjustRightInd w:val="0"/>
              <w:snapToGrid w:val="0"/>
              <w:ind w:left="210" w:leftChars="100"/>
              <w:rPr>
                <w:sz w:val="24"/>
                <w:highlight w:val="none"/>
              </w:rPr>
            </w:pPr>
            <w:r>
              <w:rPr>
                <w:sz w:val="24"/>
                <w:highlight w:val="none"/>
              </w:rPr>
              <w:t>工作海拔高度</w:t>
            </w:r>
          </w:p>
        </w:tc>
        <w:tc>
          <w:tcPr>
            <w:tcW w:w="4674" w:type="dxa"/>
            <w:shd w:val="clear" w:color="auto" w:fill="auto"/>
            <w:vAlign w:val="center"/>
          </w:tcPr>
          <w:p>
            <w:pPr>
              <w:adjustRightInd w:val="0"/>
              <w:snapToGrid w:val="0"/>
              <w:ind w:left="210" w:leftChars="100"/>
              <w:rPr>
                <w:sz w:val="24"/>
                <w:highlight w:val="none"/>
              </w:rPr>
            </w:pPr>
            <w:r>
              <w:rPr>
                <w:sz w:val="24"/>
                <w:highlight w:val="none"/>
              </w:rPr>
              <w:t>≤5000m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2574" w:type="dxa"/>
            <w:shd w:val="clear" w:color="auto" w:fill="auto"/>
            <w:vAlign w:val="center"/>
          </w:tcPr>
          <w:p>
            <w:pPr>
              <w:adjustRightInd w:val="0"/>
              <w:snapToGrid w:val="0"/>
              <w:ind w:left="210" w:leftChars="100"/>
              <w:rPr>
                <w:sz w:val="24"/>
                <w:highlight w:val="none"/>
              </w:rPr>
            </w:pPr>
            <w:r>
              <w:rPr>
                <w:sz w:val="24"/>
                <w:highlight w:val="none"/>
              </w:rPr>
              <w:t>抗风能力</w:t>
            </w:r>
          </w:p>
        </w:tc>
        <w:tc>
          <w:tcPr>
            <w:tcW w:w="4674" w:type="dxa"/>
            <w:shd w:val="clear" w:color="auto" w:fill="auto"/>
            <w:vAlign w:val="center"/>
          </w:tcPr>
          <w:p>
            <w:pPr>
              <w:adjustRightInd w:val="0"/>
              <w:snapToGrid w:val="0"/>
              <w:ind w:left="210" w:leftChars="100"/>
              <w:rPr>
                <w:sz w:val="24"/>
                <w:highlight w:val="none"/>
              </w:rPr>
            </w:pPr>
            <w:r>
              <w:rPr>
                <w:sz w:val="24"/>
                <w:highlight w:val="none"/>
              </w:rPr>
              <w:t>≤20m/s 时，保精度；</w:t>
            </w:r>
          </w:p>
          <w:p>
            <w:pPr>
              <w:adjustRightInd w:val="0"/>
              <w:snapToGrid w:val="0"/>
              <w:ind w:left="210" w:leftChars="100"/>
              <w:rPr>
                <w:sz w:val="24"/>
                <w:highlight w:val="none"/>
              </w:rPr>
            </w:pPr>
            <w:r>
              <w:rPr>
                <w:sz w:val="24"/>
                <w:highlight w:val="none"/>
              </w:rPr>
              <w:t>20m/s～28m/s 时，允许降低精度工作；</w:t>
            </w:r>
          </w:p>
          <w:p>
            <w:pPr>
              <w:adjustRightInd w:val="0"/>
              <w:snapToGrid w:val="0"/>
              <w:ind w:left="210" w:leftChars="100"/>
              <w:rPr>
                <w:sz w:val="24"/>
                <w:highlight w:val="none"/>
              </w:rPr>
            </w:pPr>
            <w:r>
              <w:rPr>
                <w:sz w:val="24"/>
                <w:highlight w:val="none"/>
              </w:rPr>
              <w:t>＞28m/s 时，不开机工作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4"/>
                <w:highlight w:val="none"/>
              </w:rPr>
              <w:t>防护能力</w:t>
            </w:r>
          </w:p>
        </w:tc>
        <w:tc>
          <w:tcPr>
            <w:tcW w:w="4674" w:type="dxa"/>
            <w:shd w:val="clear" w:color="auto" w:fill="auto"/>
            <w:vAlign w:val="center"/>
          </w:tcPr>
          <w:p>
            <w:pPr>
              <w:adjustRightInd w:val="0"/>
              <w:snapToGrid w:val="0"/>
              <w:ind w:left="210" w:leftChars="100"/>
              <w:rPr>
                <w:sz w:val="24"/>
                <w:highlight w:val="none"/>
              </w:rPr>
            </w:pPr>
            <w:r>
              <w:rPr>
                <w:rFonts w:hint="eastAsia"/>
                <w:sz w:val="24"/>
                <w:highlight w:val="none"/>
              </w:rPr>
              <w:t>防水、防风沙、防盐雾、防霉、防淋雨，防运输的冲击振动，符合国家有关规定，满足野外运输要求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供电方式市电</w:t>
            </w:r>
          </w:p>
        </w:tc>
        <w:tc>
          <w:tcPr>
            <w:tcW w:w="4674" w:type="dxa"/>
            <w:shd w:val="clear" w:color="auto" w:fill="auto"/>
            <w:vAlign w:val="center"/>
          </w:tcPr>
          <w:p>
            <w:pPr>
              <w:adjustRightInd w:val="0"/>
              <w:snapToGrid w:val="0"/>
              <w:ind w:left="210" w:leftChars="100"/>
              <w:rPr>
                <w:sz w:val="24"/>
                <w:highlight w:val="none"/>
              </w:rPr>
            </w:pPr>
            <w:r>
              <w:rPr>
                <w:sz w:val="24"/>
                <w:highlight w:val="none"/>
              </w:rPr>
              <w:t>供电方式市电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sz w:val="24"/>
                <w:highlight w:val="none"/>
              </w:rPr>
              <w:t>电压220V±10%</w:t>
            </w:r>
          </w:p>
        </w:tc>
        <w:tc>
          <w:tcPr>
            <w:tcW w:w="4674" w:type="dxa"/>
            <w:shd w:val="clear" w:color="auto" w:fill="auto"/>
            <w:vAlign w:val="center"/>
          </w:tcPr>
          <w:p>
            <w:pPr>
              <w:adjustRightInd w:val="0"/>
              <w:snapToGrid w:val="0"/>
              <w:ind w:left="210" w:leftChars="100"/>
              <w:rPr>
                <w:sz w:val="24"/>
                <w:highlight w:val="none"/>
              </w:rPr>
            </w:pPr>
            <w:r>
              <w:rPr>
                <w:sz w:val="24"/>
                <w:highlight w:val="none"/>
              </w:rPr>
              <w:t>电压220V±10%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4" w:type="dxa"/>
            <w:shd w:val="clear" w:color="auto" w:fill="auto"/>
            <w:vAlign w:val="center"/>
          </w:tcPr>
          <w:p>
            <w:pPr>
              <w:adjustRightInd w:val="0"/>
              <w:snapToGrid w:val="0"/>
              <w:ind w:left="210" w:leftChars="100"/>
              <w:rPr>
                <w:sz w:val="24"/>
                <w:highlight w:val="none"/>
              </w:rPr>
            </w:pPr>
            <w:r>
              <w:rPr>
                <w:sz w:val="24"/>
                <w:highlight w:val="none"/>
              </w:rPr>
              <w:t>频率50Hz±5%</w:t>
            </w:r>
          </w:p>
        </w:tc>
        <w:tc>
          <w:tcPr>
            <w:tcW w:w="4674" w:type="dxa"/>
            <w:shd w:val="clear" w:color="auto" w:fill="auto"/>
            <w:vAlign w:val="center"/>
          </w:tcPr>
          <w:p>
            <w:pPr>
              <w:adjustRightInd w:val="0"/>
              <w:snapToGrid w:val="0"/>
              <w:ind w:left="210" w:leftChars="100"/>
              <w:rPr>
                <w:sz w:val="24"/>
                <w:highlight w:val="none"/>
              </w:rPr>
            </w:pPr>
            <w:r>
              <w:rPr>
                <w:sz w:val="24"/>
                <w:highlight w:val="none"/>
              </w:rPr>
              <w:t>频率50Hz±5%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74" w:type="dxa"/>
            <w:shd w:val="clear" w:color="auto" w:fill="auto"/>
            <w:vAlign w:val="center"/>
          </w:tcPr>
          <w:p>
            <w:pPr>
              <w:adjustRightInd w:val="0"/>
              <w:snapToGrid w:val="0"/>
              <w:ind w:left="210" w:leftChars="100"/>
              <w:rPr>
                <w:sz w:val="24"/>
                <w:highlight w:val="none"/>
              </w:rPr>
            </w:pPr>
            <w:r>
              <w:rPr>
                <w:rFonts w:hint="eastAsia"/>
                <w:sz w:val="28"/>
                <w:szCs w:val="28"/>
                <w:highlight w:val="none"/>
              </w:rPr>
              <w:t>▲</w:t>
            </w:r>
            <w:r>
              <w:rPr>
                <w:sz w:val="24"/>
                <w:highlight w:val="none"/>
              </w:rPr>
              <w:t>功耗≤1kw</w:t>
            </w:r>
          </w:p>
        </w:tc>
        <w:tc>
          <w:tcPr>
            <w:tcW w:w="4674" w:type="dxa"/>
            <w:shd w:val="clear" w:color="auto" w:fill="auto"/>
            <w:vAlign w:val="center"/>
          </w:tcPr>
          <w:p>
            <w:pPr>
              <w:adjustRightInd w:val="0"/>
              <w:snapToGrid w:val="0"/>
              <w:ind w:left="210" w:leftChars="100"/>
              <w:rPr>
                <w:sz w:val="24"/>
                <w:highlight w:val="none"/>
              </w:rPr>
            </w:pPr>
            <w:r>
              <w:rPr>
                <w:sz w:val="24"/>
                <w:highlight w:val="none"/>
              </w:rPr>
              <w:t>功耗≤1kw</w:t>
            </w:r>
          </w:p>
        </w:tc>
      </w:tr>
    </w:tbl>
    <w:p>
      <w:pPr>
        <w:snapToGrid w:val="0"/>
        <w:spacing w:before="156" w:beforeLines="50"/>
        <w:rPr>
          <w:b/>
          <w:sz w:val="24"/>
          <w:highlight w:val="none"/>
        </w:rPr>
      </w:pPr>
    </w:p>
    <w:p>
      <w:pPr>
        <w:pStyle w:val="7"/>
        <w:ind w:left="1470" w:right="1470"/>
        <w:rPr>
          <w:highlight w:val="none"/>
        </w:rPr>
      </w:pPr>
    </w:p>
    <w:p>
      <w:pPr>
        <w:widowControl/>
        <w:jc w:val="left"/>
        <w:rPr>
          <w:rFonts w:hAnsi="宋体"/>
          <w:b/>
          <w:sz w:val="28"/>
          <w:szCs w:val="28"/>
          <w:highlight w:val="none"/>
        </w:rPr>
      </w:pPr>
    </w:p>
    <w:p>
      <w:pPr>
        <w:pStyle w:val="9"/>
        <w:adjustRightInd w:val="0"/>
        <w:snapToGrid w:val="0"/>
        <w:spacing w:before="120" w:after="120" w:line="360" w:lineRule="auto"/>
        <w:rPr>
          <w:rFonts w:hAnsi="宋体"/>
          <w:b/>
          <w:sz w:val="28"/>
          <w:szCs w:val="28"/>
          <w:highlight w:val="none"/>
        </w:rPr>
      </w:pPr>
      <w:r>
        <w:rPr>
          <w:rFonts w:hint="eastAsia" w:hAnsi="宋体"/>
          <w:b/>
          <w:sz w:val="28"/>
          <w:szCs w:val="28"/>
          <w:highlight w:val="none"/>
        </w:rPr>
        <w:t>注：</w:t>
      </w:r>
      <w:r>
        <w:rPr>
          <w:rFonts w:hint="eastAsia" w:hAnsi="宋体"/>
          <w:b/>
          <w:sz w:val="28"/>
          <w:szCs w:val="28"/>
          <w:highlight w:val="none"/>
          <w:u w:val="single"/>
        </w:rPr>
        <w:t>报价时必须注明或说明品牌中具体投标品牌，否则投标无效。</w:t>
      </w:r>
    </w:p>
    <w:p>
      <w:pPr>
        <w:widowControl/>
        <w:jc w:val="left"/>
        <w:rPr>
          <w:rFonts w:hAnsi="宋体"/>
          <w:b/>
          <w:sz w:val="28"/>
          <w:szCs w:val="28"/>
          <w:highlight w:val="none"/>
        </w:rPr>
      </w:pPr>
      <w:r>
        <w:rPr>
          <w:rFonts w:hint="eastAsia" w:ascii="宋体" w:hAnsi="宋体"/>
          <w:b/>
          <w:sz w:val="28"/>
          <w:szCs w:val="28"/>
          <w:highlight w:val="none"/>
        </w:rPr>
        <w:t>★</w:t>
      </w:r>
      <w:r>
        <w:rPr>
          <w:rFonts w:hint="eastAsia"/>
          <w:sz w:val="28"/>
          <w:szCs w:val="28"/>
          <w:highlight w:val="none"/>
        </w:rPr>
        <w:t>▲</w:t>
      </w:r>
      <w:r>
        <w:rPr>
          <w:rFonts w:hint="eastAsia" w:ascii="宋体" w:hAnsi="宋体"/>
          <w:b/>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highlight w:val="none"/>
        </w:rPr>
      </w:pPr>
    </w:p>
    <w:p>
      <w:pPr>
        <w:widowControl/>
        <w:jc w:val="left"/>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12" w:lineRule="auto"/>
        <w:ind w:left="105" w:leftChars="50" w:right="105" w:rightChars="50" w:firstLine="480"/>
        <w:rPr>
          <w:rFonts w:ascii="宋体" w:hAnsi="宋体" w:cs="宋体"/>
          <w:sz w:val="24"/>
          <w:highlight w:val="none"/>
        </w:rPr>
      </w:pPr>
      <w:r>
        <w:rPr>
          <w:rFonts w:hint="eastAsia" w:ascii="宋体" w:hAnsi="宋体" w:cs="宋体"/>
          <w:sz w:val="24"/>
          <w:highlight w:val="none"/>
        </w:rPr>
        <w:t>1.供货期：同生效后6个月内完成安装调试等。</w:t>
      </w:r>
    </w:p>
    <w:p>
      <w:pPr>
        <w:spacing w:line="312" w:lineRule="auto"/>
        <w:ind w:left="105" w:leftChars="50" w:right="105" w:rightChars="50" w:firstLine="480"/>
        <w:rPr>
          <w:rFonts w:ascii="宋体" w:hAnsi="宋体" w:cs="宋体"/>
          <w:sz w:val="24"/>
          <w:highlight w:val="none"/>
        </w:rPr>
      </w:pPr>
      <w:r>
        <w:rPr>
          <w:rFonts w:hint="eastAsia" w:ascii="宋体" w:hAnsi="宋体" w:cs="宋体"/>
          <w:sz w:val="24"/>
          <w:highlight w:val="none"/>
        </w:rPr>
        <w:t>2.厂家负责免费安装、调试及定标。</w:t>
      </w:r>
    </w:p>
    <w:p>
      <w:pPr>
        <w:spacing w:line="312" w:lineRule="auto"/>
        <w:ind w:left="105" w:leftChars="50" w:right="105" w:rightChars="50" w:firstLine="480"/>
        <w:rPr>
          <w:rFonts w:ascii="宋体" w:hAnsi="宋体" w:cs="宋体"/>
          <w:sz w:val="24"/>
          <w:highlight w:val="none"/>
        </w:rPr>
      </w:pPr>
      <w:r>
        <w:rPr>
          <w:rFonts w:hint="eastAsia" w:ascii="宋体" w:hAnsi="宋体" w:cs="宋体"/>
          <w:sz w:val="24"/>
          <w:highlight w:val="none"/>
        </w:rPr>
        <w:t>3.厂家负责免费培训本校人员实际操作过程。</w:t>
      </w:r>
    </w:p>
    <w:p>
      <w:pPr>
        <w:spacing w:line="312" w:lineRule="auto"/>
        <w:ind w:left="105" w:leftChars="50" w:right="105" w:rightChars="50" w:firstLine="480"/>
        <w:rPr>
          <w:rFonts w:ascii="宋体" w:hAnsi="宋体" w:cs="宋体"/>
          <w:sz w:val="24"/>
          <w:highlight w:val="none"/>
        </w:rPr>
      </w:pPr>
      <w:r>
        <w:rPr>
          <w:rFonts w:hint="eastAsia" w:ascii="宋体" w:hAnsi="宋体" w:cs="宋体"/>
          <w:sz w:val="24"/>
          <w:highlight w:val="none"/>
        </w:rPr>
        <w:t>4.厂家提供不少于2年的免费质保（自验收合格之日起）。</w:t>
      </w:r>
    </w:p>
    <w:p>
      <w:pPr>
        <w:spacing w:line="312" w:lineRule="auto"/>
        <w:ind w:left="105" w:leftChars="50" w:right="105" w:rightChars="50" w:firstLine="480"/>
        <w:rPr>
          <w:rFonts w:ascii="宋体" w:hAnsi="宋体" w:cs="宋体"/>
          <w:sz w:val="24"/>
          <w:highlight w:val="none"/>
        </w:rPr>
      </w:pPr>
    </w:p>
    <w:p>
      <w:pPr>
        <w:adjustRightInd w:val="0"/>
        <w:snapToGrid w:val="0"/>
        <w:spacing w:line="360" w:lineRule="auto"/>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pStyle w:val="7"/>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6"/>
        <w:tblW w:w="8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7"/>
        <w:gridCol w:w="1276"/>
        <w:gridCol w:w="5500"/>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07" w:type="dxa"/>
            <w:vAlign w:val="center"/>
          </w:tcPr>
          <w:p>
            <w:pPr>
              <w:kinsoku w:val="0"/>
              <w:overflowPunct w:val="0"/>
              <w:spacing w:before="88" w:after="120"/>
              <w:rPr>
                <w:rFonts w:ascii="宋体" w:cs="宋体"/>
                <w:szCs w:val="21"/>
                <w:highlight w:val="none"/>
              </w:rPr>
            </w:pPr>
            <w:r>
              <w:rPr>
                <w:rFonts w:hint="eastAsia" w:ascii="宋体" w:hAnsi="宋体" w:cs="宋体"/>
                <w:szCs w:val="21"/>
                <w:highlight w:val="none"/>
              </w:rPr>
              <w:t>序号</w:t>
            </w:r>
          </w:p>
        </w:tc>
        <w:tc>
          <w:tcPr>
            <w:tcW w:w="1276" w:type="dxa"/>
            <w:vAlign w:val="center"/>
          </w:tcPr>
          <w:p>
            <w:pPr>
              <w:kinsoku w:val="0"/>
              <w:overflowPunct w:val="0"/>
              <w:spacing w:before="88" w:after="120"/>
              <w:jc w:val="center"/>
              <w:rPr>
                <w:rFonts w:ascii="宋体" w:cs="宋体"/>
                <w:szCs w:val="21"/>
                <w:highlight w:val="none"/>
              </w:rPr>
            </w:pPr>
            <w:r>
              <w:rPr>
                <w:rFonts w:hint="eastAsia" w:ascii="宋体" w:hAnsi="宋体" w:cs="宋体"/>
                <w:szCs w:val="21"/>
                <w:highlight w:val="none"/>
              </w:rPr>
              <w:t>评审因素</w:t>
            </w:r>
          </w:p>
        </w:tc>
        <w:tc>
          <w:tcPr>
            <w:tcW w:w="5500" w:type="dxa"/>
            <w:vAlign w:val="center"/>
          </w:tcPr>
          <w:p>
            <w:pPr>
              <w:kinsoku w:val="0"/>
              <w:overflowPunct w:val="0"/>
              <w:spacing w:before="88" w:after="120"/>
              <w:ind w:right="34" w:rightChars="16"/>
              <w:jc w:val="center"/>
              <w:rPr>
                <w:rFonts w:ascii="宋体" w:cs="宋体"/>
                <w:szCs w:val="21"/>
                <w:highlight w:val="none"/>
              </w:rPr>
            </w:pPr>
            <w:r>
              <w:rPr>
                <w:rFonts w:hint="eastAsia" w:ascii="宋体" w:hAnsi="宋体" w:cs="宋体"/>
                <w:szCs w:val="21"/>
                <w:highlight w:val="none"/>
              </w:rPr>
              <w:t>评分细节</w:t>
            </w:r>
          </w:p>
        </w:tc>
        <w:tc>
          <w:tcPr>
            <w:tcW w:w="878" w:type="dxa"/>
            <w:vAlign w:val="center"/>
          </w:tcPr>
          <w:p>
            <w:pPr>
              <w:kinsoku w:val="0"/>
              <w:overflowPunct w:val="0"/>
              <w:spacing w:before="88" w:after="120"/>
              <w:ind w:left="172"/>
              <w:rPr>
                <w:rFonts w:asci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961" w:type="dxa"/>
            <w:gridSpan w:val="4"/>
            <w:vAlign w:val="center"/>
          </w:tcPr>
          <w:p>
            <w:pPr>
              <w:spacing w:line="360" w:lineRule="exact"/>
              <w:rPr>
                <w:rFonts w:ascii="宋体" w:cs="宋体"/>
                <w:szCs w:val="21"/>
                <w:highlight w:val="none"/>
              </w:rPr>
            </w:pPr>
            <w:r>
              <w:rPr>
                <w:rFonts w:ascii="宋体" w:hAnsi="宋体" w:cs="宋体"/>
                <w:kern w:val="0"/>
                <w:szCs w:val="21"/>
                <w:highlight w:val="none"/>
              </w:rPr>
              <w:t>1</w:t>
            </w:r>
            <w:r>
              <w:rPr>
                <w:rFonts w:hint="eastAsia" w:ascii="宋体" w:hAnsi="宋体" w:cs="宋体"/>
                <w:kern w:val="0"/>
                <w:szCs w:val="21"/>
                <w:highlight w:val="none"/>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307" w:type="dxa"/>
            <w:vAlign w:val="center"/>
          </w:tcPr>
          <w:p>
            <w:pPr>
              <w:kinsoku w:val="0"/>
              <w:overflowPunct w:val="0"/>
              <w:jc w:val="center"/>
              <w:rPr>
                <w:rFonts w:ascii="宋体" w:cs="宋体"/>
                <w:szCs w:val="21"/>
                <w:highlight w:val="none"/>
              </w:rPr>
            </w:pPr>
            <w:r>
              <w:rPr>
                <w:rFonts w:ascii="宋体" w:hAnsi="宋体" w:cs="宋体"/>
                <w:szCs w:val="21"/>
                <w:highlight w:val="none"/>
              </w:rPr>
              <w:t>1.1</w:t>
            </w:r>
          </w:p>
        </w:tc>
        <w:tc>
          <w:tcPr>
            <w:tcW w:w="1276" w:type="dxa"/>
            <w:vAlign w:val="center"/>
          </w:tcPr>
          <w:p>
            <w:pPr>
              <w:kinsoku w:val="0"/>
              <w:overflowPunct w:val="0"/>
              <w:ind w:right="155"/>
              <w:jc w:val="center"/>
              <w:rPr>
                <w:rFonts w:ascii="宋体" w:cs="宋体"/>
                <w:szCs w:val="21"/>
                <w:highlight w:val="none"/>
              </w:rPr>
            </w:pPr>
            <w:r>
              <w:rPr>
                <w:rFonts w:hint="eastAsia" w:ascii="宋体" w:hAnsi="宋体" w:cs="宋体"/>
                <w:szCs w:val="21"/>
                <w:highlight w:val="none"/>
              </w:rPr>
              <w:t>价格分</w:t>
            </w:r>
          </w:p>
        </w:tc>
        <w:tc>
          <w:tcPr>
            <w:tcW w:w="5500" w:type="dxa"/>
            <w:vAlign w:val="center"/>
          </w:tcPr>
          <w:p>
            <w:pPr>
              <w:rPr>
                <w:rFonts w:ascii="宋体" w:cs="宋体"/>
                <w:bCs/>
                <w:kern w:val="0"/>
                <w:szCs w:val="21"/>
                <w:highlight w:val="none"/>
              </w:rPr>
            </w:pPr>
            <w:r>
              <w:rPr>
                <w:rFonts w:hint="eastAsia" w:ascii="宋体" w:hAnsi="宋体" w:cs="宋体"/>
                <w:bCs/>
                <w:kern w:val="0"/>
                <w:szCs w:val="21"/>
                <w:highlight w:val="none"/>
              </w:rPr>
              <w:t>以通过资格审查、实质性响应招标文件要求且报价最低的投标报价为评标基准价（须未超过采购预算或最高限价），其价格分为满分</w:t>
            </w:r>
            <w:r>
              <w:rPr>
                <w:rFonts w:ascii="宋体" w:hAnsi="宋体" w:cs="宋体"/>
                <w:bCs/>
                <w:kern w:val="0"/>
                <w:szCs w:val="21"/>
                <w:highlight w:val="none"/>
              </w:rPr>
              <w:t>30</w:t>
            </w:r>
            <w:r>
              <w:rPr>
                <w:rFonts w:hint="eastAsia" w:ascii="宋体" w:hAnsi="宋体" w:cs="宋体"/>
                <w:bCs/>
                <w:kern w:val="0"/>
                <w:szCs w:val="21"/>
                <w:highlight w:val="none"/>
              </w:rPr>
              <w:t>分。其他投标人的价格分统一按照下列公式计算：投标报价得分</w:t>
            </w:r>
            <w:r>
              <w:rPr>
                <w:rFonts w:ascii="宋体" w:hAnsi="宋体" w:cs="宋体"/>
                <w:bCs/>
                <w:kern w:val="0"/>
                <w:szCs w:val="21"/>
                <w:highlight w:val="none"/>
              </w:rPr>
              <w:t>=</w:t>
            </w:r>
            <w:r>
              <w:rPr>
                <w:rFonts w:hint="eastAsia" w:ascii="宋体" w:hAnsi="宋体" w:cs="宋体"/>
                <w:bCs/>
                <w:kern w:val="0"/>
                <w:szCs w:val="21"/>
                <w:highlight w:val="none"/>
              </w:rPr>
              <w:t>（评标基准价</w:t>
            </w:r>
            <w:r>
              <w:rPr>
                <w:rFonts w:ascii="宋体" w:hAnsi="宋体" w:cs="宋体"/>
                <w:bCs/>
                <w:kern w:val="0"/>
                <w:szCs w:val="21"/>
                <w:highlight w:val="none"/>
              </w:rPr>
              <w:t>/</w:t>
            </w:r>
            <w:r>
              <w:rPr>
                <w:rFonts w:hint="eastAsia" w:ascii="宋体" w:hAnsi="宋体" w:cs="宋体"/>
                <w:bCs/>
                <w:kern w:val="0"/>
                <w:szCs w:val="21"/>
                <w:highlight w:val="none"/>
              </w:rPr>
              <w:t>投标报价）</w:t>
            </w:r>
            <w:r>
              <w:rPr>
                <w:rFonts w:ascii="宋体" w:hAnsi="宋体" w:cs="宋体"/>
                <w:bCs/>
                <w:kern w:val="0"/>
                <w:szCs w:val="21"/>
                <w:highlight w:val="none"/>
              </w:rPr>
              <w:t>*</w:t>
            </w:r>
            <w:r>
              <w:rPr>
                <w:rFonts w:hint="eastAsia" w:ascii="宋体" w:hAnsi="宋体" w:cs="宋体"/>
                <w:bCs/>
                <w:kern w:val="0"/>
                <w:szCs w:val="21"/>
                <w:highlight w:val="none"/>
              </w:rPr>
              <w:t>价格权值</w:t>
            </w:r>
            <w:r>
              <w:rPr>
                <w:rFonts w:ascii="宋体" w:hAnsi="宋体" w:cs="宋体"/>
                <w:bCs/>
                <w:kern w:val="0"/>
                <w:szCs w:val="21"/>
                <w:highlight w:val="none"/>
              </w:rPr>
              <w:t>* 100</w:t>
            </w:r>
            <w:r>
              <w:rPr>
                <w:rFonts w:hint="eastAsia" w:ascii="宋体" w:hAnsi="宋体" w:cs="宋体"/>
                <w:bCs/>
                <w:kern w:val="0"/>
                <w:szCs w:val="21"/>
                <w:highlight w:val="none"/>
              </w:rPr>
              <w:t>（价格权值为3</w:t>
            </w:r>
            <w:r>
              <w:rPr>
                <w:rFonts w:ascii="宋体" w:hAnsi="宋体" w:cs="宋体"/>
                <w:bCs/>
                <w:kern w:val="0"/>
                <w:szCs w:val="21"/>
                <w:highlight w:val="none"/>
              </w:rPr>
              <w:t>0%</w:t>
            </w:r>
            <w:r>
              <w:rPr>
                <w:rFonts w:hint="eastAsia" w:ascii="宋体" w:hAnsi="宋体" w:cs="宋体"/>
                <w:bCs/>
                <w:kern w:val="0"/>
                <w:szCs w:val="21"/>
                <w:highlight w:val="none"/>
              </w:rPr>
              <w:t>）。</w:t>
            </w:r>
          </w:p>
        </w:tc>
        <w:tc>
          <w:tcPr>
            <w:tcW w:w="878" w:type="dxa"/>
            <w:vAlign w:val="center"/>
          </w:tcPr>
          <w:p>
            <w:pPr>
              <w:spacing w:line="360" w:lineRule="exact"/>
              <w:jc w:val="center"/>
              <w:rPr>
                <w:rFonts w:ascii="宋体" w:cs="宋体"/>
                <w:kern w:val="0"/>
                <w:szCs w:val="21"/>
                <w:highlight w:val="none"/>
              </w:rPr>
            </w:pPr>
            <w:r>
              <w:rPr>
                <w:rFonts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961" w:type="dxa"/>
            <w:gridSpan w:val="4"/>
            <w:vAlign w:val="center"/>
          </w:tcPr>
          <w:p>
            <w:pPr>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vAlign w:val="center"/>
          </w:tcPr>
          <w:p>
            <w:pPr>
              <w:jc w:val="center"/>
              <w:rPr>
                <w:rFonts w:ascii="宋体" w:cs="宋体"/>
                <w:kern w:val="0"/>
                <w:szCs w:val="21"/>
                <w:highlight w:val="none"/>
              </w:rPr>
            </w:pPr>
            <w:r>
              <w:rPr>
                <w:rFonts w:ascii="宋体" w:hAnsi="宋体" w:cs="宋体"/>
                <w:kern w:val="0"/>
                <w:szCs w:val="21"/>
                <w:highlight w:val="none"/>
              </w:rPr>
              <w:t>2.1</w:t>
            </w:r>
          </w:p>
        </w:tc>
        <w:tc>
          <w:tcPr>
            <w:tcW w:w="1276" w:type="dxa"/>
            <w:vAlign w:val="center"/>
          </w:tcPr>
          <w:p>
            <w:pPr>
              <w:jc w:val="center"/>
              <w:rPr>
                <w:rFonts w:ascii="宋体" w:cs="宋体"/>
                <w:kern w:val="0"/>
                <w:szCs w:val="21"/>
                <w:highlight w:val="none"/>
              </w:rPr>
            </w:pPr>
            <w:r>
              <w:rPr>
                <w:rFonts w:hint="eastAsia" w:ascii="宋体" w:hAnsi="宋体" w:cs="宋体"/>
                <w:kern w:val="0"/>
                <w:szCs w:val="21"/>
                <w:highlight w:val="none"/>
              </w:rPr>
              <w:t>技术参数</w:t>
            </w:r>
          </w:p>
        </w:tc>
        <w:tc>
          <w:tcPr>
            <w:tcW w:w="5500" w:type="dxa"/>
            <w:vAlign w:val="center"/>
          </w:tcPr>
          <w:p>
            <w:pPr>
              <w:rPr>
                <w:rFonts w:ascii="宋体" w:hAnsi="宋体" w:cs="宋体"/>
                <w:bCs/>
                <w:kern w:val="0"/>
                <w:szCs w:val="21"/>
                <w:highlight w:val="none"/>
              </w:rPr>
            </w:pPr>
            <w:r>
              <w:rPr>
                <w:rFonts w:hint="eastAsia" w:ascii="宋体" w:hAnsi="宋体" w:cs="宋体"/>
                <w:bCs/>
                <w:kern w:val="0"/>
                <w:szCs w:val="21"/>
                <w:highlight w:val="none"/>
              </w:rPr>
              <w:t>设备技术参数全部满足招标要求的得满分；打★号指标为核心指标项，如有负偏离按无效投标处理；打▲号为重要指标，有一项负偏离扣</w:t>
            </w:r>
            <w:r>
              <w:rPr>
                <w:rFonts w:hint="eastAsia" w:ascii="宋体" w:hAnsi="宋体" w:cs="宋体"/>
                <w:bCs/>
                <w:kern w:val="0"/>
                <w:szCs w:val="21"/>
                <w:highlight w:val="none"/>
                <w:lang w:val="en-US" w:eastAsia="zh-CN"/>
              </w:rPr>
              <w:t>2</w:t>
            </w:r>
            <w:bookmarkStart w:id="11" w:name="_GoBack"/>
            <w:bookmarkEnd w:id="11"/>
            <w:r>
              <w:rPr>
                <w:rFonts w:hint="eastAsia" w:ascii="宋体" w:hAnsi="宋体" w:cs="宋体"/>
                <w:bCs/>
                <w:kern w:val="0"/>
                <w:szCs w:val="21"/>
                <w:highlight w:val="none"/>
              </w:rPr>
              <w:t>分，扣完为止。非打★▲指标，有一项负偏离扣1分。</w:t>
            </w:r>
          </w:p>
          <w:p>
            <w:pPr>
              <w:rPr>
                <w:highlight w:val="none"/>
              </w:rPr>
            </w:pPr>
            <w:r>
              <w:rPr>
                <w:rFonts w:hint="eastAsia" w:ascii="宋体" w:hAnsi="宋体" w:cs="宋体"/>
                <w:bCs/>
                <w:kern w:val="0"/>
                <w:szCs w:val="21"/>
                <w:highlight w:val="none"/>
              </w:rPr>
              <w:t>各投标供应商均应如实填写偏离情况，核心指标与重要指标需提供证明其应标参数的证明材料（加盖单位公章）</w:t>
            </w:r>
          </w:p>
        </w:tc>
        <w:tc>
          <w:tcPr>
            <w:tcW w:w="878" w:type="dxa"/>
            <w:vAlign w:val="center"/>
          </w:tcPr>
          <w:p>
            <w:pPr>
              <w:jc w:val="center"/>
              <w:rPr>
                <w:highlight w:val="none"/>
              </w:rPr>
            </w:pPr>
            <w:r>
              <w:rPr>
                <w:rFonts w:hint="eastAsia" w:ascii="宋体" w:hAnsi="宋体" w:cs="宋体"/>
                <w:kern w:val="0"/>
                <w:szCs w:val="21"/>
                <w:highlight w:val="none"/>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2.2</w:t>
            </w:r>
          </w:p>
        </w:tc>
        <w:tc>
          <w:tcPr>
            <w:tcW w:w="1276" w:type="dxa"/>
            <w:vAlign w:val="center"/>
          </w:tcPr>
          <w:p>
            <w:pPr>
              <w:jc w:val="center"/>
              <w:rPr>
                <w:rFonts w:ascii="宋体" w:hAnsi="宋体" w:cs="宋体"/>
                <w:bCs/>
                <w:kern w:val="0"/>
                <w:szCs w:val="21"/>
                <w:highlight w:val="none"/>
              </w:rPr>
            </w:pPr>
            <w:r>
              <w:rPr>
                <w:rFonts w:hint="eastAsia" w:ascii="宋体" w:hAnsi="宋体" w:cs="宋体"/>
                <w:bCs/>
                <w:kern w:val="0"/>
                <w:szCs w:val="21"/>
                <w:highlight w:val="none"/>
              </w:rPr>
              <w:t>自动化</w:t>
            </w:r>
            <w:r>
              <w:rPr>
                <w:rFonts w:ascii="宋体" w:hAnsi="宋体" w:cs="宋体"/>
                <w:bCs/>
                <w:kern w:val="0"/>
                <w:szCs w:val="21"/>
                <w:highlight w:val="none"/>
              </w:rPr>
              <w:t>智能化设计</w:t>
            </w:r>
          </w:p>
        </w:tc>
        <w:tc>
          <w:tcPr>
            <w:tcW w:w="5500" w:type="dxa"/>
            <w:vAlign w:val="center"/>
          </w:tcPr>
          <w:p>
            <w:pPr>
              <w:rPr>
                <w:rFonts w:ascii="宋体" w:hAnsi="宋体" w:cs="宋体"/>
                <w:bCs/>
                <w:kern w:val="0"/>
                <w:szCs w:val="21"/>
                <w:highlight w:val="none"/>
              </w:rPr>
            </w:pPr>
            <w:r>
              <w:rPr>
                <w:rFonts w:hint="eastAsia" w:ascii="宋体" w:hAnsi="宋体" w:cs="宋体"/>
                <w:bCs/>
                <w:kern w:val="0"/>
                <w:szCs w:val="21"/>
                <w:highlight w:val="none"/>
              </w:rPr>
              <w:t>自动化运行功能设计完善，智能化程度高，具有较强的自主工作和保障能力，故障诊断覆盖全面。有以上设计，论证充分并有成功应用的，</w:t>
            </w:r>
            <w:r>
              <w:rPr>
                <w:rFonts w:hint="eastAsia" w:ascii="宋体" w:hAnsi="宋体" w:cs="宋体"/>
                <w:bCs/>
                <w:kern w:val="0"/>
                <w:szCs w:val="21"/>
                <w:highlight w:val="none"/>
              </w:rPr>
              <w:t>得5</w:t>
            </w:r>
            <w:r>
              <w:rPr>
                <w:rFonts w:hint="eastAsia" w:ascii="宋体" w:hAnsi="宋体" w:cs="宋体"/>
                <w:bCs/>
                <w:kern w:val="0"/>
                <w:szCs w:val="21"/>
                <w:highlight w:val="none"/>
              </w:rPr>
              <w:t>；有以上设计且论证充分，但尚未完全应用的，</w:t>
            </w:r>
            <w:r>
              <w:rPr>
                <w:rFonts w:hint="eastAsia" w:ascii="宋体" w:hAnsi="宋体" w:cs="宋体"/>
                <w:bCs/>
                <w:kern w:val="0"/>
                <w:szCs w:val="21"/>
                <w:highlight w:val="none"/>
              </w:rPr>
              <w:t>得3</w:t>
            </w:r>
            <w:r>
              <w:rPr>
                <w:rFonts w:hint="eastAsia" w:ascii="宋体" w:hAnsi="宋体" w:cs="宋体"/>
                <w:bCs/>
                <w:kern w:val="0"/>
                <w:szCs w:val="21"/>
                <w:highlight w:val="none"/>
              </w:rPr>
              <w:t>；有部分设计考虑，论证较为充分的，得</w:t>
            </w:r>
            <w:r>
              <w:rPr>
                <w:rFonts w:ascii="宋体" w:hAnsi="宋体" w:cs="宋体"/>
                <w:bCs/>
                <w:kern w:val="0"/>
                <w:szCs w:val="21"/>
                <w:highlight w:val="none"/>
              </w:rPr>
              <w:t>1</w:t>
            </w:r>
            <w:r>
              <w:rPr>
                <w:rFonts w:hint="eastAsia" w:ascii="宋体" w:hAnsi="宋体" w:cs="宋体"/>
                <w:bCs/>
                <w:kern w:val="0"/>
                <w:szCs w:val="21"/>
                <w:highlight w:val="none"/>
              </w:rPr>
              <w:t>；没有以上设计的，</w:t>
            </w:r>
            <w:r>
              <w:rPr>
                <w:rFonts w:ascii="宋体" w:hAnsi="宋体" w:cs="宋体"/>
                <w:bCs/>
                <w:kern w:val="0"/>
                <w:szCs w:val="21"/>
                <w:highlight w:val="none"/>
              </w:rPr>
              <w:t>不得分</w:t>
            </w:r>
            <w:r>
              <w:rPr>
                <w:rFonts w:hint="eastAsia" w:ascii="宋体" w:hAnsi="宋体" w:cs="宋体"/>
                <w:bCs/>
                <w:kern w:val="0"/>
                <w:szCs w:val="21"/>
                <w:highlight w:val="none"/>
              </w:rPr>
              <w:t>。</w:t>
            </w:r>
          </w:p>
        </w:tc>
        <w:tc>
          <w:tcPr>
            <w:tcW w:w="878"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307"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2.3</w:t>
            </w:r>
          </w:p>
        </w:tc>
        <w:tc>
          <w:tcPr>
            <w:tcW w:w="1276" w:type="dxa"/>
            <w:vAlign w:val="center"/>
          </w:tcPr>
          <w:p>
            <w:pPr>
              <w:jc w:val="center"/>
              <w:rPr>
                <w:rFonts w:ascii="宋体" w:hAnsi="宋体" w:cs="宋体"/>
                <w:bCs/>
                <w:kern w:val="0"/>
                <w:szCs w:val="21"/>
                <w:highlight w:val="none"/>
              </w:rPr>
            </w:pPr>
            <w:r>
              <w:rPr>
                <w:rFonts w:ascii="宋体" w:hAnsi="宋体" w:cs="宋体"/>
                <w:bCs/>
                <w:kern w:val="0"/>
                <w:szCs w:val="21"/>
                <w:highlight w:val="none"/>
              </w:rPr>
              <w:t>操作简便性设计</w:t>
            </w:r>
          </w:p>
        </w:tc>
        <w:tc>
          <w:tcPr>
            <w:tcW w:w="5500" w:type="dxa"/>
            <w:vAlign w:val="center"/>
          </w:tcPr>
          <w:p>
            <w:pPr>
              <w:rPr>
                <w:rFonts w:ascii="宋体" w:hAnsi="宋体" w:cs="宋体"/>
                <w:bCs/>
                <w:kern w:val="0"/>
                <w:szCs w:val="21"/>
                <w:highlight w:val="none"/>
              </w:rPr>
            </w:pPr>
            <w:r>
              <w:rPr>
                <w:rFonts w:hint="eastAsia" w:ascii="宋体" w:hAnsi="宋体" w:cs="宋体"/>
                <w:bCs/>
                <w:kern w:val="0"/>
                <w:szCs w:val="21"/>
                <w:highlight w:val="none"/>
              </w:rPr>
              <w:t>操作维护简单、设备组成、机柜等精简集约，人力物力需求少，操作岗位集中高效，备品备件简约充足、维修维护方便快速。有以上设计，论证充分并有成功应用的，得</w:t>
            </w:r>
            <w:r>
              <w:rPr>
                <w:rFonts w:ascii="宋体" w:hAnsi="宋体" w:cs="宋体"/>
                <w:bCs/>
                <w:kern w:val="0"/>
                <w:szCs w:val="21"/>
                <w:highlight w:val="none"/>
              </w:rPr>
              <w:t>2-3</w:t>
            </w:r>
            <w:r>
              <w:rPr>
                <w:rFonts w:hint="eastAsia" w:ascii="宋体" w:hAnsi="宋体" w:cs="宋体"/>
                <w:bCs/>
                <w:kern w:val="0"/>
                <w:szCs w:val="21"/>
                <w:highlight w:val="none"/>
              </w:rPr>
              <w:t>；有以上设计且论证充分，但尚未完全应用的，得</w:t>
            </w:r>
            <w:r>
              <w:rPr>
                <w:rFonts w:ascii="宋体" w:hAnsi="宋体" w:cs="宋体"/>
                <w:bCs/>
                <w:kern w:val="0"/>
                <w:szCs w:val="21"/>
                <w:highlight w:val="none"/>
              </w:rPr>
              <w:t>1-2</w:t>
            </w:r>
            <w:r>
              <w:rPr>
                <w:rFonts w:hint="eastAsia" w:ascii="宋体" w:hAnsi="宋体" w:cs="宋体"/>
                <w:bCs/>
                <w:kern w:val="0"/>
                <w:szCs w:val="21"/>
                <w:highlight w:val="none"/>
              </w:rPr>
              <w:t>；有部分设计考虑，论证较为充分的，得</w:t>
            </w:r>
            <w:r>
              <w:rPr>
                <w:rFonts w:ascii="宋体" w:hAnsi="宋体" w:cs="宋体"/>
                <w:bCs/>
                <w:kern w:val="0"/>
                <w:szCs w:val="21"/>
                <w:highlight w:val="none"/>
              </w:rPr>
              <w:t>1</w:t>
            </w:r>
            <w:r>
              <w:rPr>
                <w:rFonts w:hint="eastAsia" w:ascii="宋体" w:hAnsi="宋体" w:cs="宋体"/>
                <w:bCs/>
                <w:kern w:val="0"/>
                <w:szCs w:val="21"/>
                <w:highlight w:val="none"/>
              </w:rPr>
              <w:t>；没有以上设计的，</w:t>
            </w:r>
            <w:r>
              <w:rPr>
                <w:rFonts w:ascii="宋体" w:hAnsi="宋体" w:cs="宋体"/>
                <w:bCs/>
                <w:kern w:val="0"/>
                <w:szCs w:val="21"/>
                <w:highlight w:val="none"/>
              </w:rPr>
              <w:t>不得分</w:t>
            </w:r>
            <w:r>
              <w:rPr>
                <w:rFonts w:hint="eastAsia" w:ascii="宋体" w:hAnsi="宋体" w:cs="宋体"/>
                <w:bCs/>
                <w:kern w:val="0"/>
                <w:szCs w:val="21"/>
                <w:highlight w:val="none"/>
              </w:rPr>
              <w:t>。</w:t>
            </w:r>
          </w:p>
        </w:tc>
        <w:tc>
          <w:tcPr>
            <w:tcW w:w="878"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61" w:type="dxa"/>
            <w:gridSpan w:val="4"/>
            <w:vAlign w:val="center"/>
          </w:tcPr>
          <w:p>
            <w:pPr>
              <w:kinsoku w:val="0"/>
              <w:overflowPunct w:val="0"/>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307" w:type="dxa"/>
            <w:vAlign w:val="center"/>
          </w:tcPr>
          <w:p>
            <w:pPr>
              <w:kinsoku w:val="0"/>
              <w:overflowPunct w:val="0"/>
              <w:jc w:val="center"/>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1</w:t>
            </w:r>
          </w:p>
        </w:tc>
        <w:tc>
          <w:tcPr>
            <w:tcW w:w="1276" w:type="dxa"/>
            <w:vAlign w:val="center"/>
          </w:tcPr>
          <w:p>
            <w:pPr>
              <w:kinsoku w:val="0"/>
              <w:overflowPunct w:val="0"/>
              <w:jc w:val="center"/>
              <w:rPr>
                <w:rFonts w:ascii="宋体" w:cs="宋体"/>
                <w:szCs w:val="21"/>
                <w:highlight w:val="none"/>
              </w:rPr>
            </w:pPr>
            <w:r>
              <w:rPr>
                <w:rFonts w:hint="eastAsia" w:ascii="宋体" w:hAnsi="宋体" w:cs="宋体"/>
                <w:szCs w:val="21"/>
                <w:highlight w:val="none"/>
              </w:rPr>
              <w:t>安装调试方案</w:t>
            </w:r>
          </w:p>
        </w:tc>
        <w:tc>
          <w:tcPr>
            <w:tcW w:w="5500" w:type="dxa"/>
            <w:vAlign w:val="center"/>
          </w:tcPr>
          <w:p>
            <w:pPr>
              <w:kinsoku w:val="0"/>
              <w:overflowPunct w:val="0"/>
              <w:ind w:right="245"/>
              <w:jc w:val="left"/>
              <w:rPr>
                <w:rFonts w:ascii="宋体" w:cs="宋体"/>
                <w:szCs w:val="21"/>
                <w:highlight w:val="none"/>
              </w:rPr>
            </w:pPr>
            <w:r>
              <w:rPr>
                <w:rFonts w:hint="eastAsia" w:ascii="宋体" w:hAnsi="宋体" w:cs="宋体"/>
                <w:szCs w:val="21"/>
                <w:highlight w:val="none"/>
              </w:rPr>
              <w:t>依据供应商提供的本次招标采购设备到校后的安装调试方案的完整性、合理性进行评审。方案的完整、合理、针对性强的得4分；方案比较完整、合理，有一定针对性的得2-3分；方案合理完整性、合理性、针对性一般的得0-1分。</w:t>
            </w:r>
          </w:p>
        </w:tc>
        <w:tc>
          <w:tcPr>
            <w:tcW w:w="878" w:type="dxa"/>
            <w:vAlign w:val="center"/>
          </w:tcPr>
          <w:p>
            <w:pPr>
              <w:spacing w:line="360" w:lineRule="exact"/>
              <w:jc w:val="center"/>
              <w:rPr>
                <w:rFonts w:asci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307" w:type="dxa"/>
            <w:vAlign w:val="center"/>
          </w:tcPr>
          <w:p>
            <w:pPr>
              <w:jc w:val="center"/>
              <w:rPr>
                <w:rFonts w:asci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2</w:t>
            </w:r>
          </w:p>
        </w:tc>
        <w:tc>
          <w:tcPr>
            <w:tcW w:w="1276" w:type="dxa"/>
            <w:vAlign w:val="center"/>
          </w:tcPr>
          <w:p>
            <w:pPr>
              <w:kinsoku w:val="0"/>
              <w:overflowPunct w:val="0"/>
              <w:jc w:val="center"/>
              <w:rPr>
                <w:rFonts w:ascii="宋体" w:cs="宋体"/>
                <w:szCs w:val="21"/>
                <w:highlight w:val="none"/>
              </w:rPr>
            </w:pPr>
            <w:r>
              <w:rPr>
                <w:rFonts w:hint="eastAsia" w:ascii="宋体" w:hAnsi="宋体" w:cs="宋体"/>
                <w:szCs w:val="21"/>
                <w:highlight w:val="none"/>
              </w:rPr>
              <w:t>售后服务方案</w:t>
            </w:r>
          </w:p>
        </w:tc>
        <w:tc>
          <w:tcPr>
            <w:tcW w:w="5500" w:type="dxa"/>
            <w:vAlign w:val="center"/>
          </w:tcPr>
          <w:p>
            <w:pPr>
              <w:kinsoku w:val="0"/>
              <w:overflowPunct w:val="0"/>
              <w:jc w:val="left"/>
              <w:rPr>
                <w:rFonts w:ascii="宋体" w:cs="宋体"/>
                <w:szCs w:val="21"/>
                <w:highlight w:val="none"/>
              </w:rPr>
            </w:pPr>
            <w:r>
              <w:rPr>
                <w:rFonts w:hint="eastAsia" w:ascii="宋体" w:hAnsi="宋体" w:cs="宋体"/>
                <w:szCs w:val="21"/>
                <w:highlight w:val="none"/>
              </w:rPr>
              <w:t>依据供应商提供的售后服务方案进行评审。方案的完整、合理、针对性强的得3-4分；方案比较完整、合理，有一定针对性的得0-2分。</w:t>
            </w:r>
          </w:p>
        </w:tc>
        <w:tc>
          <w:tcPr>
            <w:tcW w:w="878" w:type="dxa"/>
            <w:vAlign w:val="center"/>
          </w:tcPr>
          <w:p>
            <w:pPr>
              <w:spacing w:line="360" w:lineRule="exact"/>
              <w:jc w:val="center"/>
              <w:rPr>
                <w:rFonts w:ascii="宋体" w:hAnsi="宋体" w:cs="宋体"/>
                <w:highlight w:val="none"/>
              </w:rPr>
            </w:pPr>
            <w:r>
              <w:rPr>
                <w:rFonts w:hint="eastAsia" w:ascii="宋体" w:hAnsi="宋体" w:cs="宋体"/>
                <w:highlight w:val="none"/>
              </w:rPr>
              <w:t>4</w:t>
            </w:r>
          </w:p>
          <w:p>
            <w:pPr>
              <w:pStyle w:val="7"/>
              <w:ind w:left="1470" w:right="1470"/>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307" w:type="dxa"/>
            <w:vAlign w:val="center"/>
          </w:tcPr>
          <w:p>
            <w:pPr>
              <w:jc w:val="center"/>
              <w:rPr>
                <w:rFonts w:asci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3</w:t>
            </w:r>
          </w:p>
        </w:tc>
        <w:tc>
          <w:tcPr>
            <w:tcW w:w="1276" w:type="dxa"/>
            <w:vAlign w:val="center"/>
          </w:tcPr>
          <w:p>
            <w:pPr>
              <w:kinsoku w:val="0"/>
              <w:overflowPunct w:val="0"/>
              <w:jc w:val="center"/>
              <w:rPr>
                <w:rFonts w:ascii="宋体" w:cs="宋体"/>
                <w:szCs w:val="21"/>
                <w:highlight w:val="none"/>
              </w:rPr>
            </w:pPr>
            <w:r>
              <w:rPr>
                <w:rFonts w:hint="eastAsia" w:ascii="宋体" w:hAnsi="宋体" w:cs="宋体"/>
                <w:szCs w:val="21"/>
                <w:highlight w:val="none"/>
              </w:rPr>
              <w:t>服务能力</w:t>
            </w:r>
          </w:p>
        </w:tc>
        <w:tc>
          <w:tcPr>
            <w:tcW w:w="5500" w:type="dxa"/>
            <w:vAlign w:val="center"/>
          </w:tcPr>
          <w:p>
            <w:pPr>
              <w:kinsoku w:val="0"/>
              <w:overflowPunct w:val="0"/>
              <w:jc w:val="left"/>
              <w:rPr>
                <w:rFonts w:ascii="宋体" w:cs="宋体"/>
                <w:szCs w:val="21"/>
                <w:highlight w:val="none"/>
              </w:rPr>
            </w:pPr>
            <w:r>
              <w:rPr>
                <w:rFonts w:hint="eastAsia" w:ascii="宋体" w:hAnsi="宋体" w:cs="宋体"/>
                <w:szCs w:val="21"/>
                <w:highlight w:val="none"/>
              </w:rPr>
              <w:t>依据供应商提供服务能力（包括服务体系</w:t>
            </w:r>
            <w:r>
              <w:rPr>
                <w:rFonts w:hint="eastAsia" w:ascii="宋体" w:cs="宋体"/>
                <w:szCs w:val="21"/>
                <w:highlight w:val="none"/>
              </w:rPr>
              <w:t>、</w:t>
            </w:r>
            <w:r>
              <w:rPr>
                <w:rFonts w:hint="eastAsia" w:ascii="宋体" w:hAnsi="宋体" w:cs="宋体"/>
                <w:szCs w:val="21"/>
                <w:highlight w:val="none"/>
              </w:rPr>
              <w:t>响应时间等）进行评审。服务能力好的得2-3分；服务能力较好的得0-2分。</w:t>
            </w:r>
          </w:p>
        </w:tc>
        <w:tc>
          <w:tcPr>
            <w:tcW w:w="878" w:type="dxa"/>
            <w:vAlign w:val="center"/>
          </w:tcPr>
          <w:p>
            <w:pPr>
              <w:spacing w:line="360" w:lineRule="exact"/>
              <w:jc w:val="center"/>
              <w:rPr>
                <w:rFonts w:asci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307"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3.4</w:t>
            </w:r>
          </w:p>
        </w:tc>
        <w:tc>
          <w:tcPr>
            <w:tcW w:w="1276" w:type="dxa"/>
            <w:vAlign w:val="center"/>
          </w:tcPr>
          <w:p>
            <w:pPr>
              <w:kinsoku w:val="0"/>
              <w:overflowPunct w:val="0"/>
              <w:jc w:val="center"/>
              <w:rPr>
                <w:rFonts w:ascii="宋体" w:hAnsi="宋体" w:cs="宋体"/>
                <w:szCs w:val="21"/>
                <w:highlight w:val="none"/>
              </w:rPr>
            </w:pPr>
            <w:r>
              <w:rPr>
                <w:rFonts w:hint="eastAsia" w:ascii="宋体" w:hAnsi="宋体" w:cs="宋体"/>
                <w:szCs w:val="21"/>
                <w:highlight w:val="none"/>
              </w:rPr>
              <w:t>原厂认证培训</w:t>
            </w:r>
          </w:p>
        </w:tc>
        <w:tc>
          <w:tcPr>
            <w:tcW w:w="5500" w:type="dxa"/>
            <w:vAlign w:val="center"/>
          </w:tcPr>
          <w:p>
            <w:pPr>
              <w:kinsoku w:val="0"/>
              <w:overflowPunct w:val="0"/>
              <w:jc w:val="left"/>
              <w:rPr>
                <w:rFonts w:ascii="宋体" w:hAnsi="宋体" w:cs="宋体"/>
                <w:szCs w:val="21"/>
                <w:highlight w:val="none"/>
              </w:rPr>
            </w:pPr>
            <w:r>
              <w:rPr>
                <w:rFonts w:hint="eastAsia" w:ascii="宋体" w:hAnsi="宋体" w:cs="宋体"/>
                <w:szCs w:val="21"/>
                <w:highlight w:val="none"/>
              </w:rPr>
              <w:t>提供原厂认证的培训。由评委根据培训方案优劣进行评审。培训方案完整、合理、针对性强的得3分；培训方案比较完整、合理、有一定针对性的得2分；培训方案完整性、合理性、针对性一般的得0-1分。</w:t>
            </w:r>
          </w:p>
        </w:tc>
        <w:tc>
          <w:tcPr>
            <w:tcW w:w="87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1" w:type="dxa"/>
            <w:gridSpan w:val="4"/>
            <w:vAlign w:val="center"/>
          </w:tcPr>
          <w:p>
            <w:pPr>
              <w:kinsoku w:val="0"/>
              <w:overflowPunct w:val="0"/>
              <w:ind w:left="123"/>
              <w:rPr>
                <w:rFonts w:ascii="宋体" w:cs="宋体"/>
                <w:szCs w:val="21"/>
                <w:highlight w:val="none"/>
              </w:rPr>
            </w:pPr>
            <w:r>
              <w:rPr>
                <w:rFonts w:ascii="宋体" w:hAnsi="宋体" w:cs="宋体"/>
                <w:szCs w:val="21"/>
                <w:highlight w:val="none"/>
              </w:rPr>
              <w:t>4</w:t>
            </w:r>
            <w:r>
              <w:rPr>
                <w:rFonts w:hint="eastAsia" w:ascii="宋体" w:hAnsi="宋体" w:cs="宋体"/>
                <w:szCs w:val="21"/>
                <w:highlight w:val="none"/>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atLeast"/>
          <w:jc w:val="center"/>
        </w:trPr>
        <w:tc>
          <w:tcPr>
            <w:tcW w:w="1307" w:type="dxa"/>
            <w:vAlign w:val="center"/>
          </w:tcPr>
          <w:p>
            <w:pPr>
              <w:kinsoku w:val="0"/>
              <w:overflowPunct w:val="0"/>
              <w:ind w:left="213"/>
              <w:jc w:val="center"/>
              <w:rPr>
                <w:rFonts w:ascii="宋体" w:cs="宋体"/>
                <w:szCs w:val="21"/>
                <w:highlight w:val="none"/>
              </w:rPr>
            </w:pPr>
            <w:r>
              <w:rPr>
                <w:rFonts w:ascii="宋体" w:hAnsi="宋体" w:cs="宋体"/>
                <w:szCs w:val="21"/>
                <w:highlight w:val="none"/>
              </w:rPr>
              <w:t>4.1</w:t>
            </w:r>
          </w:p>
        </w:tc>
        <w:tc>
          <w:tcPr>
            <w:tcW w:w="1276" w:type="dxa"/>
            <w:vAlign w:val="center"/>
          </w:tcPr>
          <w:p>
            <w:pPr>
              <w:kinsoku w:val="0"/>
              <w:overflowPunct w:val="0"/>
              <w:ind w:left="155" w:right="155"/>
              <w:jc w:val="center"/>
              <w:rPr>
                <w:rFonts w:ascii="宋体" w:cs="宋体"/>
                <w:kern w:val="0"/>
                <w:szCs w:val="21"/>
                <w:highlight w:val="none"/>
              </w:rPr>
            </w:pPr>
            <w:r>
              <w:rPr>
                <w:rFonts w:hint="eastAsia" w:ascii="宋体" w:hAnsi="宋体" w:cs="宋体"/>
                <w:szCs w:val="21"/>
                <w:highlight w:val="none"/>
              </w:rPr>
              <w:t>业绩</w:t>
            </w:r>
          </w:p>
        </w:tc>
        <w:tc>
          <w:tcPr>
            <w:tcW w:w="5500" w:type="dxa"/>
            <w:vAlign w:val="center"/>
          </w:tcPr>
          <w:p>
            <w:pPr>
              <w:kinsoku w:val="0"/>
              <w:overflowPunct w:val="0"/>
              <w:ind w:right="155"/>
              <w:jc w:val="center"/>
              <w:rPr>
                <w:rFonts w:ascii="宋体" w:cs="宋体"/>
                <w:szCs w:val="21"/>
                <w:highlight w:val="none"/>
              </w:rPr>
            </w:pPr>
            <w:r>
              <w:rPr>
                <w:rFonts w:hint="eastAsia" w:ascii="宋体" w:hAnsi="宋体" w:cs="宋体"/>
                <w:szCs w:val="21"/>
                <w:highlight w:val="none"/>
              </w:rPr>
              <w:t>依据投标人自</w:t>
            </w:r>
            <w:r>
              <w:rPr>
                <w:rFonts w:ascii="宋体" w:hAnsi="宋体" w:cs="宋体"/>
                <w:szCs w:val="21"/>
                <w:highlight w:val="none"/>
              </w:rPr>
              <w:t>2019</w:t>
            </w:r>
            <w:r>
              <w:rPr>
                <w:rFonts w:hint="eastAsia" w:ascii="宋体" w:hAnsi="宋体" w:cs="宋体"/>
                <w:szCs w:val="21"/>
                <w:highlight w:val="none"/>
              </w:rPr>
              <w:t>年</w:t>
            </w:r>
            <w:r>
              <w:rPr>
                <w:rFonts w:ascii="宋体" w:hAnsi="宋体" w:cs="宋体"/>
                <w:szCs w:val="21"/>
                <w:highlight w:val="none"/>
              </w:rPr>
              <w:t>1</w:t>
            </w:r>
            <w:r>
              <w:rPr>
                <w:rFonts w:hint="eastAsia" w:ascii="宋体" w:hAnsi="宋体" w:cs="宋体"/>
                <w:szCs w:val="21"/>
                <w:highlight w:val="none"/>
              </w:rPr>
              <w:t>月</w:t>
            </w:r>
            <w:r>
              <w:rPr>
                <w:rFonts w:ascii="宋体" w:hAnsi="宋体" w:cs="宋体"/>
                <w:szCs w:val="21"/>
                <w:highlight w:val="none"/>
              </w:rPr>
              <w:t>1</w:t>
            </w:r>
            <w:r>
              <w:rPr>
                <w:rFonts w:hint="eastAsia" w:ascii="宋体" w:hAnsi="宋体" w:cs="宋体"/>
                <w:szCs w:val="21"/>
                <w:highlight w:val="none"/>
              </w:rPr>
              <w:t>日以来完成过同类项目案例，每提供一个得</w:t>
            </w:r>
            <w:r>
              <w:rPr>
                <w:rFonts w:ascii="宋体" w:hAnsi="宋体" w:cs="宋体"/>
                <w:szCs w:val="21"/>
                <w:highlight w:val="none"/>
              </w:rPr>
              <w:t>1</w:t>
            </w:r>
            <w:r>
              <w:rPr>
                <w:rFonts w:hint="eastAsia" w:ascii="宋体" w:hAnsi="宋体" w:cs="宋体"/>
                <w:szCs w:val="21"/>
                <w:highlight w:val="none"/>
              </w:rPr>
              <w:t>分，最多4分。提供有效的合同（时间以合同签订日期为准）及采购清单。（复印件加盖公章，原件备查）</w:t>
            </w:r>
          </w:p>
        </w:tc>
        <w:tc>
          <w:tcPr>
            <w:tcW w:w="878" w:type="dxa"/>
            <w:vAlign w:val="center"/>
          </w:tcPr>
          <w:p>
            <w:pPr>
              <w:spacing w:line="360" w:lineRule="exact"/>
              <w:jc w:val="center"/>
              <w:rPr>
                <w:rFonts w:asci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8961" w:type="dxa"/>
            <w:gridSpan w:val="4"/>
            <w:vAlign w:val="center"/>
          </w:tcPr>
          <w:p>
            <w:pPr>
              <w:kinsoku w:val="0"/>
              <w:overflowPunct w:val="0"/>
              <w:ind w:left="123"/>
              <w:rPr>
                <w:rFonts w:ascii="宋体" w:hAnsi="宋体" w:cs="宋体"/>
                <w:kern w:val="0"/>
                <w:szCs w:val="21"/>
                <w:highlight w:val="none"/>
              </w:rPr>
            </w:pPr>
            <w:r>
              <w:rPr>
                <w:rFonts w:hint="eastAsia" w:ascii="宋体" w:hAnsi="宋体" w:cs="宋体"/>
                <w:szCs w:val="21"/>
                <w:highlight w:val="none"/>
              </w:rPr>
              <w:t>5、投标文件制作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307" w:type="dxa"/>
            <w:vAlign w:val="center"/>
          </w:tcPr>
          <w:p>
            <w:pPr>
              <w:kinsoku w:val="0"/>
              <w:overflowPunct w:val="0"/>
              <w:ind w:left="213"/>
              <w:jc w:val="center"/>
              <w:rPr>
                <w:rFonts w:ascii="宋体" w:hAnsi="宋体" w:cs="宋体"/>
                <w:szCs w:val="21"/>
                <w:highlight w:val="none"/>
              </w:rPr>
            </w:pPr>
            <w:r>
              <w:rPr>
                <w:rFonts w:hint="eastAsia" w:ascii="宋体" w:hAnsi="宋体" w:cs="宋体"/>
                <w:szCs w:val="21"/>
                <w:highlight w:val="none"/>
              </w:rPr>
              <w:t>5.1</w:t>
            </w:r>
          </w:p>
        </w:tc>
        <w:tc>
          <w:tcPr>
            <w:tcW w:w="1276" w:type="dxa"/>
            <w:vAlign w:val="center"/>
          </w:tcPr>
          <w:p>
            <w:pPr>
              <w:kinsoku w:val="0"/>
              <w:overflowPunct w:val="0"/>
              <w:ind w:left="155" w:right="155"/>
              <w:jc w:val="center"/>
              <w:rPr>
                <w:rFonts w:ascii="宋体" w:hAnsi="宋体" w:cs="宋体"/>
                <w:szCs w:val="21"/>
                <w:highlight w:val="none"/>
              </w:rPr>
            </w:pPr>
            <w:r>
              <w:rPr>
                <w:rFonts w:hint="eastAsia" w:ascii="宋体" w:hAnsi="宋体" w:cs="宋体"/>
                <w:szCs w:val="21"/>
                <w:highlight w:val="none"/>
              </w:rPr>
              <w:t>投标文件制作</w:t>
            </w:r>
          </w:p>
        </w:tc>
        <w:tc>
          <w:tcPr>
            <w:tcW w:w="5500" w:type="dxa"/>
            <w:vAlign w:val="center"/>
          </w:tcPr>
          <w:p>
            <w:pPr>
              <w:kinsoku w:val="0"/>
              <w:overflowPunct w:val="0"/>
              <w:ind w:right="155"/>
              <w:jc w:val="center"/>
              <w:rPr>
                <w:rFonts w:ascii="宋体" w:hAnsi="宋体" w:cs="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878" w:type="dxa"/>
            <w:vAlign w:val="center"/>
          </w:tcPr>
          <w:p>
            <w:pPr>
              <w:kinsoku w:val="0"/>
              <w:overflowPunct w:val="0"/>
              <w:ind w:right="155"/>
              <w:jc w:val="center"/>
              <w:rPr>
                <w:rFonts w:ascii="宋体" w:hAnsi="宋体" w:cs="宋体"/>
                <w:szCs w:val="21"/>
                <w:highlight w:val="none"/>
              </w:rPr>
            </w:pPr>
            <w:r>
              <w:rPr>
                <w:rFonts w:hint="eastAsia" w:ascii="宋体" w:hAnsi="宋体" w:cs="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质保期2年。（自交货验收合格之日起计）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验收合格后，凭验收凭证和货物验收合格等文件20内支付至合同金额的100%，质量保证金返还5%，剩余5%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Courier New">
    <w:panose1 w:val="02070309020205020404"/>
    <w:charset w:val="00"/>
    <w:family w:val="auto"/>
    <w:pitch w:val="default"/>
    <w:sig w:usb0="E0002EFF" w:usb1="C0007843" w:usb2="00000009" w:usb3="00000000" w:csb0="400001FF" w:csb1="FFFF0000"/>
  </w:font>
  <w:font w:name="Arial Unicode MS">
    <w:altName w:val="Arial"/>
    <w:panose1 w:val="020B0604020202020204"/>
    <w:charset w:val="00"/>
    <w:family w:val="auto"/>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8D73D6"/>
    <w:rsid w:val="07D33D16"/>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6723C1"/>
    <w:rsid w:val="14896182"/>
    <w:rsid w:val="155010AB"/>
    <w:rsid w:val="15572C10"/>
    <w:rsid w:val="1584594C"/>
    <w:rsid w:val="15907301"/>
    <w:rsid w:val="15A069B5"/>
    <w:rsid w:val="15A90346"/>
    <w:rsid w:val="15B24E31"/>
    <w:rsid w:val="16AA09BD"/>
    <w:rsid w:val="17833DE3"/>
    <w:rsid w:val="19775424"/>
    <w:rsid w:val="1A241EC0"/>
    <w:rsid w:val="1AE96A89"/>
    <w:rsid w:val="1C121D57"/>
    <w:rsid w:val="1C4A137C"/>
    <w:rsid w:val="1F11313D"/>
    <w:rsid w:val="1F956998"/>
    <w:rsid w:val="20DC5C02"/>
    <w:rsid w:val="20DE7ECC"/>
    <w:rsid w:val="20FE711F"/>
    <w:rsid w:val="21A70E96"/>
    <w:rsid w:val="225E4DAF"/>
    <w:rsid w:val="22891E2D"/>
    <w:rsid w:val="22D33607"/>
    <w:rsid w:val="23FD2509"/>
    <w:rsid w:val="243943F8"/>
    <w:rsid w:val="24E05430"/>
    <w:rsid w:val="267A7579"/>
    <w:rsid w:val="27961F1E"/>
    <w:rsid w:val="27AD7C03"/>
    <w:rsid w:val="28C46277"/>
    <w:rsid w:val="29062B05"/>
    <w:rsid w:val="29127A38"/>
    <w:rsid w:val="2AB43BC5"/>
    <w:rsid w:val="2B556F15"/>
    <w:rsid w:val="2B7F4BC3"/>
    <w:rsid w:val="2CE81BAF"/>
    <w:rsid w:val="2DAC05D8"/>
    <w:rsid w:val="2E726843"/>
    <w:rsid w:val="2EDC02FF"/>
    <w:rsid w:val="2EEC5388"/>
    <w:rsid w:val="3172033E"/>
    <w:rsid w:val="3227588C"/>
    <w:rsid w:val="325F6558"/>
    <w:rsid w:val="331653E5"/>
    <w:rsid w:val="351529A9"/>
    <w:rsid w:val="355A74E9"/>
    <w:rsid w:val="35FD1F7A"/>
    <w:rsid w:val="366D672C"/>
    <w:rsid w:val="36E3150F"/>
    <w:rsid w:val="384A4707"/>
    <w:rsid w:val="385D644E"/>
    <w:rsid w:val="38F33167"/>
    <w:rsid w:val="39C83C69"/>
    <w:rsid w:val="39CE5E1D"/>
    <w:rsid w:val="3A9701E9"/>
    <w:rsid w:val="3B4244C5"/>
    <w:rsid w:val="3C003247"/>
    <w:rsid w:val="3C8E6F2D"/>
    <w:rsid w:val="3D6145DC"/>
    <w:rsid w:val="3E5E0082"/>
    <w:rsid w:val="3EDB4EA4"/>
    <w:rsid w:val="3FC31914"/>
    <w:rsid w:val="405D6728"/>
    <w:rsid w:val="41110191"/>
    <w:rsid w:val="414A37BB"/>
    <w:rsid w:val="41B45A04"/>
    <w:rsid w:val="42643A73"/>
    <w:rsid w:val="42AA1012"/>
    <w:rsid w:val="43FB66E3"/>
    <w:rsid w:val="44DC7F4B"/>
    <w:rsid w:val="45651876"/>
    <w:rsid w:val="46AA377D"/>
    <w:rsid w:val="49363676"/>
    <w:rsid w:val="49D47D5A"/>
    <w:rsid w:val="49F62026"/>
    <w:rsid w:val="4A4B48E3"/>
    <w:rsid w:val="4B5137BF"/>
    <w:rsid w:val="4DA86B45"/>
    <w:rsid w:val="4E3720DD"/>
    <w:rsid w:val="4FAF38AA"/>
    <w:rsid w:val="51497070"/>
    <w:rsid w:val="51E025FE"/>
    <w:rsid w:val="52FD675A"/>
    <w:rsid w:val="532B7AD5"/>
    <w:rsid w:val="53D80FA7"/>
    <w:rsid w:val="542D758B"/>
    <w:rsid w:val="5473349C"/>
    <w:rsid w:val="54B6223B"/>
    <w:rsid w:val="54E15A0F"/>
    <w:rsid w:val="55344B23"/>
    <w:rsid w:val="56732DC5"/>
    <w:rsid w:val="56C21B98"/>
    <w:rsid w:val="57360F05"/>
    <w:rsid w:val="581F495D"/>
    <w:rsid w:val="58484116"/>
    <w:rsid w:val="58DA78C0"/>
    <w:rsid w:val="58E017CC"/>
    <w:rsid w:val="5AC859BF"/>
    <w:rsid w:val="5C0F2072"/>
    <w:rsid w:val="5CFC1D50"/>
    <w:rsid w:val="5E6C25B6"/>
    <w:rsid w:val="5E84123F"/>
    <w:rsid w:val="5F0028BB"/>
    <w:rsid w:val="5F9764C2"/>
    <w:rsid w:val="607E0927"/>
    <w:rsid w:val="60D968DA"/>
    <w:rsid w:val="60F41422"/>
    <w:rsid w:val="619D5BCC"/>
    <w:rsid w:val="6233128F"/>
    <w:rsid w:val="62635DDC"/>
    <w:rsid w:val="62FE3555"/>
    <w:rsid w:val="63D7368B"/>
    <w:rsid w:val="657A0549"/>
    <w:rsid w:val="665A104A"/>
    <w:rsid w:val="68A603CF"/>
    <w:rsid w:val="69E27B06"/>
    <w:rsid w:val="69EA623B"/>
    <w:rsid w:val="6A0F3694"/>
    <w:rsid w:val="6A5445FC"/>
    <w:rsid w:val="6A5C1E75"/>
    <w:rsid w:val="6AB76CFB"/>
    <w:rsid w:val="6BC1702A"/>
    <w:rsid w:val="6C282248"/>
    <w:rsid w:val="6CBD55AC"/>
    <w:rsid w:val="6DE636A7"/>
    <w:rsid w:val="6DE86594"/>
    <w:rsid w:val="73607DE9"/>
    <w:rsid w:val="73711235"/>
    <w:rsid w:val="753E278B"/>
    <w:rsid w:val="75BE6EB5"/>
    <w:rsid w:val="7815375E"/>
    <w:rsid w:val="790D6252"/>
    <w:rsid w:val="7AE40810"/>
    <w:rsid w:val="7B0749C7"/>
    <w:rsid w:val="7BBB6C68"/>
    <w:rsid w:val="7C574749"/>
    <w:rsid w:val="7C8E2CF6"/>
    <w:rsid w:val="7C967B8B"/>
    <w:rsid w:val="7CD015B7"/>
    <w:rsid w:val="7E4931C0"/>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字符"/>
    <w:link w:val="3"/>
    <w:qFormat/>
    <w:locked/>
    <w:uiPriority w:val="99"/>
    <w:rPr>
      <w:rFonts w:cs="Times New Roman"/>
      <w:b/>
      <w:kern w:val="44"/>
      <w:sz w:val="44"/>
    </w:rPr>
  </w:style>
  <w:style w:type="character" w:customStyle="1" w:styleId="22">
    <w:name w:val="批注文字字符"/>
    <w:link w:val="4"/>
    <w:qFormat/>
    <w:locked/>
    <w:uiPriority w:val="99"/>
    <w:rPr>
      <w:rFonts w:cs="Times New Roman"/>
      <w:kern w:val="2"/>
      <w:sz w:val="24"/>
    </w:rPr>
  </w:style>
  <w:style w:type="character" w:customStyle="1" w:styleId="23">
    <w:name w:val="正文文本缩进字符"/>
    <w:link w:val="6"/>
    <w:qFormat/>
    <w:locked/>
    <w:uiPriority w:val="99"/>
    <w:rPr>
      <w:rFonts w:ascii="等线" w:eastAsia="等线" w:cs="Times New Roman"/>
      <w:kern w:val="2"/>
      <w:sz w:val="22"/>
    </w:rPr>
  </w:style>
  <w:style w:type="character" w:customStyle="1" w:styleId="24">
    <w:name w:val="纯文本字符"/>
    <w:link w:val="9"/>
    <w:qFormat/>
    <w:locked/>
    <w:uiPriority w:val="0"/>
    <w:rPr>
      <w:rFonts w:ascii="宋体" w:hAnsi="Courier New" w:cs="Times New Roman"/>
      <w:kern w:val="2"/>
      <w:sz w:val="21"/>
    </w:rPr>
  </w:style>
  <w:style w:type="character" w:customStyle="1" w:styleId="25">
    <w:name w:val="日期字符"/>
    <w:link w:val="10"/>
    <w:qFormat/>
    <w:locked/>
    <w:uiPriority w:val="99"/>
    <w:rPr>
      <w:rFonts w:cs="Times New Roman"/>
      <w:kern w:val="2"/>
      <w:sz w:val="24"/>
    </w:rPr>
  </w:style>
  <w:style w:type="character" w:customStyle="1" w:styleId="26">
    <w:name w:val="批注框文本字符"/>
    <w:link w:val="11"/>
    <w:semiHidden/>
    <w:qFormat/>
    <w:locked/>
    <w:uiPriority w:val="99"/>
    <w:rPr>
      <w:rFonts w:cs="Times New Roman"/>
      <w:sz w:val="2"/>
    </w:rPr>
  </w:style>
  <w:style w:type="character" w:customStyle="1" w:styleId="27">
    <w:name w:val="页脚字符"/>
    <w:link w:val="12"/>
    <w:semiHidden/>
    <w:qFormat/>
    <w:locked/>
    <w:uiPriority w:val="99"/>
    <w:rPr>
      <w:rFonts w:cs="Times New Roman"/>
      <w:sz w:val="18"/>
      <w:szCs w:val="18"/>
    </w:rPr>
  </w:style>
  <w:style w:type="character" w:customStyle="1" w:styleId="28">
    <w:name w:val="页眉字符"/>
    <w:link w:val="13"/>
    <w:qFormat/>
    <w:locked/>
    <w:uiPriority w:val="99"/>
    <w:rPr>
      <w:rFonts w:cs="Times New Roman"/>
      <w:kern w:val="2"/>
      <w:sz w:val="18"/>
    </w:rPr>
  </w:style>
  <w:style w:type="character" w:customStyle="1" w:styleId="29">
    <w:name w:val="批注主题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CF09E-2D81-0146-A8E1-1695D27C153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2110</Words>
  <Characters>12027</Characters>
  <Lines>100</Lines>
  <Paragraphs>28</Paragraphs>
  <TotalTime>49</TotalTime>
  <ScaleCrop>false</ScaleCrop>
  <LinksUpToDate>false</LinksUpToDate>
  <CharactersWithSpaces>14109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nxdlu</cp:lastModifiedBy>
  <cp:lastPrinted>2019-11-22T01:53:00Z</cp:lastPrinted>
  <dcterms:modified xsi:type="dcterms:W3CDTF">2020-07-23T06:56:30Z</dcterms:modified>
  <dc:title>淮海工学院A8-10号楼学生宿舍家具招标书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