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highlight w:val="none"/>
        </w:rPr>
      </w:pPr>
      <w:bookmarkStart w:id="0" w:name="OLE_LINK2"/>
      <w:bookmarkStart w:id="1" w:name="OLE_LINK1"/>
      <w:r>
        <w:rPr>
          <w:b/>
          <w:color w:val="auto"/>
          <w:sz w:val="44"/>
          <w:szCs w:val="44"/>
          <w:highlight w:val="none"/>
        </w:rPr>
        <w:t>南京信息工程大学</w:t>
      </w:r>
      <w:bookmarkEnd w:id="0"/>
      <w:bookmarkEnd w:id="1"/>
      <w:bookmarkStart w:id="2" w:name="_Hlk19539886"/>
      <w:r>
        <w:rPr>
          <w:rFonts w:hint="eastAsia"/>
          <w:b/>
          <w:color w:val="auto"/>
          <w:sz w:val="44"/>
          <w:szCs w:val="44"/>
          <w:highlight w:val="none"/>
        </w:rPr>
        <w:t>滨江学院</w:t>
      </w:r>
      <w:r>
        <w:rPr>
          <w:rFonts w:hint="eastAsia"/>
          <w:b/>
          <w:color w:val="auto"/>
          <w:sz w:val="44"/>
          <w:szCs w:val="44"/>
          <w:highlight w:val="none"/>
          <w:lang w:eastAsia="zh-CN"/>
        </w:rPr>
        <w:t>（</w:t>
      </w:r>
      <w:r>
        <w:rPr>
          <w:rFonts w:hint="eastAsia"/>
          <w:b/>
          <w:color w:val="auto"/>
          <w:sz w:val="44"/>
          <w:szCs w:val="44"/>
          <w:highlight w:val="none"/>
          <w:lang w:val="en-US" w:eastAsia="zh-CN"/>
        </w:rPr>
        <w:t>无锡校区</w:t>
      </w:r>
      <w:r>
        <w:rPr>
          <w:rFonts w:hint="eastAsia"/>
          <w:b/>
          <w:color w:val="auto"/>
          <w:sz w:val="44"/>
          <w:szCs w:val="44"/>
          <w:highlight w:val="none"/>
          <w:lang w:eastAsia="zh-CN"/>
        </w:rPr>
        <w:t>）</w:t>
      </w:r>
      <w:r>
        <w:rPr>
          <w:rFonts w:hint="eastAsia"/>
          <w:b/>
          <w:color w:val="auto"/>
          <w:sz w:val="44"/>
          <w:szCs w:val="44"/>
          <w:highlight w:val="none"/>
        </w:rPr>
        <w:t>创新创业实践教育中心</w:t>
      </w:r>
      <w:bookmarkEnd w:id="2"/>
      <w:r>
        <w:rPr>
          <w:rFonts w:hint="eastAsia"/>
          <w:b/>
          <w:color w:val="auto"/>
          <w:sz w:val="44"/>
          <w:szCs w:val="44"/>
          <w:highlight w:val="none"/>
        </w:rPr>
        <w:t>采购</w:t>
      </w:r>
      <w:r>
        <w:rPr>
          <w:b/>
          <w:color w:val="auto"/>
          <w:sz w:val="44"/>
          <w:szCs w:val="44"/>
          <w:highlight w:val="none"/>
        </w:rPr>
        <w:t>项目招标文件</w:t>
      </w:r>
    </w:p>
    <w:p>
      <w:pPr>
        <w:jc w:val="center"/>
        <w:rPr>
          <w:b/>
          <w:color w:val="auto"/>
          <w:sz w:val="44"/>
          <w:szCs w:val="44"/>
          <w:highlight w:val="none"/>
        </w:rPr>
      </w:pPr>
    </w:p>
    <w:p>
      <w:pPr>
        <w:adjustRightInd w:val="0"/>
        <w:snapToGrid w:val="0"/>
        <w:spacing w:line="360" w:lineRule="auto"/>
        <w:jc w:val="center"/>
        <w:rPr>
          <w:rFonts w:ascii="宋体" w:cs="仿宋"/>
          <w:color w:val="auto"/>
          <w:sz w:val="28"/>
          <w:szCs w:val="28"/>
          <w:highlight w:val="none"/>
        </w:rPr>
      </w:pPr>
      <w:r>
        <w:rPr>
          <w:rFonts w:hint="eastAsia" w:ascii="宋体" w:hAnsi="宋体" w:cs="仿宋"/>
          <w:color w:val="auto"/>
          <w:sz w:val="28"/>
          <w:szCs w:val="28"/>
          <w:highlight w:val="none"/>
        </w:rPr>
        <w:t>（招标编号：</w:t>
      </w:r>
      <w:r>
        <w:rPr>
          <w:rFonts w:hint="eastAsia" w:ascii="宋体" w:hAnsi="宋体" w:cs="仿宋"/>
          <w:color w:val="auto"/>
          <w:sz w:val="28"/>
          <w:szCs w:val="28"/>
          <w:highlight w:val="none"/>
          <w:u w:val="single"/>
        </w:rPr>
        <w:t>BJ</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20005</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20年08月1</w:t>
      </w:r>
      <w:r>
        <w:rPr>
          <w:rFonts w:hint="eastAsia" w:ascii="宋体" w:hAnsi="宋体" w:cs="仿宋"/>
          <w:color w:val="auto"/>
          <w:sz w:val="28"/>
          <w:szCs w:val="28"/>
          <w:highlight w:val="none"/>
          <w:u w:val="single"/>
          <w:lang w:val="en-US" w:eastAsia="zh-CN"/>
        </w:rPr>
        <w:t>7</w:t>
      </w:r>
      <w:r>
        <w:rPr>
          <w:rFonts w:hint="eastAsia" w:ascii="宋体" w:hAnsi="宋体" w:cs="仿宋"/>
          <w:color w:val="auto"/>
          <w:sz w:val="28"/>
          <w:szCs w:val="28"/>
          <w:highlight w:val="none"/>
          <w:u w:val="single"/>
        </w:rPr>
        <w:t>日1</w:t>
      </w:r>
      <w:r>
        <w:rPr>
          <w:rFonts w:hint="eastAsia" w:ascii="宋体" w:hAnsi="宋体" w:cs="仿宋"/>
          <w:color w:val="auto"/>
          <w:sz w:val="28"/>
          <w:szCs w:val="28"/>
          <w:highlight w:val="none"/>
          <w:u w:val="single"/>
          <w:lang w:val="en-US" w:eastAsia="zh-CN"/>
        </w:rPr>
        <w:t>7</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r>
        <w:rPr>
          <w:b/>
          <w:color w:val="auto"/>
          <w:sz w:val="28"/>
          <w:szCs w:val="28"/>
          <w:highlight w:val="none"/>
        </w:rPr>
        <w:t xml:space="preserve"> </w:t>
      </w:r>
    </w:p>
    <w:p>
      <w:pPr>
        <w:spacing w:line="360" w:lineRule="auto"/>
        <w:ind w:firstLine="570"/>
        <w:jc w:val="left"/>
        <w:rPr>
          <w:color w:val="auto"/>
          <w:kern w:val="0"/>
          <w:sz w:val="28"/>
          <w:szCs w:val="28"/>
          <w:highlight w:val="none"/>
        </w:rPr>
      </w:pPr>
      <w:r>
        <w:rPr>
          <w:rFonts w:hint="eastAsia"/>
          <w:color w:val="auto"/>
          <w:kern w:val="0"/>
          <w:sz w:val="28"/>
          <w:szCs w:val="28"/>
          <w:highlight w:val="none"/>
        </w:rPr>
        <w:t>为满足省级创新创业实践教育中心建设需要，受滨江学院</w:t>
      </w:r>
      <w:r>
        <w:rPr>
          <w:rFonts w:hint="eastAsia"/>
          <w:color w:val="auto"/>
          <w:kern w:val="0"/>
          <w:sz w:val="28"/>
          <w:szCs w:val="28"/>
          <w:highlight w:val="none"/>
          <w:lang w:eastAsia="zh-CN"/>
        </w:rPr>
        <w:t>（</w:t>
      </w:r>
      <w:r>
        <w:rPr>
          <w:rFonts w:hint="eastAsia"/>
          <w:color w:val="auto"/>
          <w:kern w:val="0"/>
          <w:sz w:val="28"/>
          <w:szCs w:val="28"/>
          <w:highlight w:val="none"/>
          <w:lang w:val="en-US" w:eastAsia="zh-CN"/>
        </w:rPr>
        <w:t>无锡校区</w:t>
      </w:r>
      <w:r>
        <w:rPr>
          <w:rFonts w:hint="eastAsia"/>
          <w:color w:val="auto"/>
          <w:kern w:val="0"/>
          <w:sz w:val="28"/>
          <w:szCs w:val="28"/>
          <w:highlight w:val="none"/>
          <w:lang w:eastAsia="zh-CN"/>
        </w:rPr>
        <w:t>）</w:t>
      </w:r>
      <w:r>
        <w:rPr>
          <w:rFonts w:hint="eastAsia"/>
          <w:color w:val="auto"/>
          <w:kern w:val="0"/>
          <w:sz w:val="28"/>
          <w:szCs w:val="28"/>
          <w:highlight w:val="none"/>
        </w:rPr>
        <w:t>委托，就</w:t>
      </w:r>
      <w:r>
        <w:rPr>
          <w:rFonts w:hint="eastAsia"/>
          <w:color w:val="auto"/>
          <w:kern w:val="0"/>
          <w:sz w:val="28"/>
          <w:szCs w:val="28"/>
          <w:highlight w:val="none"/>
          <w:lang w:val="en-US" w:eastAsia="zh-CN"/>
        </w:rPr>
        <w:t>其</w:t>
      </w:r>
      <w:r>
        <w:rPr>
          <w:rFonts w:hint="eastAsia"/>
          <w:color w:val="auto"/>
          <w:kern w:val="0"/>
          <w:sz w:val="28"/>
          <w:szCs w:val="28"/>
          <w:highlight w:val="none"/>
        </w:rPr>
        <w:t>创新创业实践教育中心采购项目进行公开招标，欢迎符合条件的供应商报名投标，现将有关情况说明如下：</w:t>
      </w:r>
    </w:p>
    <w:p>
      <w:pPr>
        <w:pStyle w:val="38"/>
        <w:spacing w:line="360" w:lineRule="auto"/>
        <w:ind w:firstLine="0" w:firstLineChars="0"/>
        <w:jc w:val="center"/>
        <w:rPr>
          <w:rFonts w:eastAsia="黑体"/>
          <w:color w:val="auto"/>
          <w:sz w:val="28"/>
          <w:szCs w:val="28"/>
          <w:highlight w:val="none"/>
        </w:rPr>
      </w:pPr>
      <w:r>
        <w:rPr>
          <w:rFonts w:eastAsia="黑体"/>
          <w:color w:val="auto"/>
          <w:sz w:val="28"/>
          <w:szCs w:val="28"/>
          <w:highlight w:val="none"/>
        </w:rPr>
        <w:t>一、招标项目名称及简要说明</w:t>
      </w:r>
    </w:p>
    <w:p>
      <w:pPr>
        <w:spacing w:line="360" w:lineRule="auto"/>
        <w:ind w:firstLine="570"/>
        <w:jc w:val="left"/>
        <w:rPr>
          <w:rFonts w:ascii="宋体" w:hAnsi="宋体"/>
          <w:color w:val="auto"/>
          <w:sz w:val="28"/>
          <w:szCs w:val="28"/>
          <w:highlight w:val="none"/>
        </w:rPr>
      </w:pPr>
      <w:r>
        <w:rPr>
          <w:rFonts w:hint="eastAsia" w:ascii="宋体" w:hAnsi="宋体"/>
          <w:color w:val="auto"/>
          <w:sz w:val="28"/>
          <w:szCs w:val="28"/>
          <w:highlight w:val="none"/>
        </w:rPr>
        <w:t>1.招标项目名称：</w:t>
      </w:r>
      <w:r>
        <w:rPr>
          <w:rFonts w:hint="eastAsia"/>
          <w:color w:val="auto"/>
          <w:kern w:val="0"/>
          <w:sz w:val="28"/>
          <w:szCs w:val="28"/>
          <w:highlight w:val="none"/>
        </w:rPr>
        <w:t>南京信息工程大学滨江学院</w:t>
      </w:r>
      <w:r>
        <w:rPr>
          <w:rFonts w:hint="eastAsia"/>
          <w:color w:val="auto"/>
          <w:kern w:val="0"/>
          <w:sz w:val="28"/>
          <w:szCs w:val="28"/>
          <w:highlight w:val="none"/>
          <w:lang w:eastAsia="zh-CN"/>
        </w:rPr>
        <w:t>（</w:t>
      </w:r>
      <w:r>
        <w:rPr>
          <w:rFonts w:hint="eastAsia"/>
          <w:color w:val="auto"/>
          <w:kern w:val="0"/>
          <w:sz w:val="28"/>
          <w:szCs w:val="28"/>
          <w:highlight w:val="none"/>
          <w:lang w:val="en-US" w:eastAsia="zh-CN"/>
        </w:rPr>
        <w:t>无锡校区</w:t>
      </w:r>
      <w:r>
        <w:rPr>
          <w:rFonts w:hint="eastAsia"/>
          <w:color w:val="auto"/>
          <w:kern w:val="0"/>
          <w:sz w:val="28"/>
          <w:szCs w:val="28"/>
          <w:highlight w:val="none"/>
          <w:lang w:eastAsia="zh-CN"/>
        </w:rPr>
        <w:t>）</w:t>
      </w:r>
      <w:r>
        <w:rPr>
          <w:rFonts w:hint="eastAsia"/>
          <w:color w:val="auto"/>
          <w:kern w:val="0"/>
          <w:sz w:val="28"/>
          <w:szCs w:val="28"/>
          <w:highlight w:val="none"/>
        </w:rPr>
        <w:t>创新创业实践教育中心采购项目</w:t>
      </w:r>
      <w:r>
        <w:rPr>
          <w:rFonts w:hint="eastAsia" w:ascii="宋体" w:hAnsi="宋体"/>
          <w:color w:val="auto"/>
          <w:sz w:val="28"/>
          <w:szCs w:val="28"/>
          <w:highlight w:val="none"/>
        </w:rPr>
        <w:t>。</w:t>
      </w:r>
    </w:p>
    <w:p>
      <w:pPr>
        <w:adjustRightInd w:val="0"/>
        <w:snapToGrid w:val="0"/>
        <w:spacing w:line="360" w:lineRule="auto"/>
        <w:ind w:firstLine="560" w:firstLineChars="200"/>
        <w:rPr>
          <w:rFonts w:ascii="宋体" w:cs="仿宋"/>
          <w:color w:val="auto"/>
          <w:sz w:val="28"/>
          <w:szCs w:val="28"/>
          <w:highlight w:val="none"/>
        </w:rPr>
      </w:pPr>
      <w:r>
        <w:rPr>
          <w:rFonts w:hint="eastAsia" w:ascii="宋体" w:hAnsi="宋体"/>
          <w:color w:val="auto"/>
          <w:sz w:val="28"/>
          <w:szCs w:val="28"/>
          <w:highlight w:val="none"/>
        </w:rPr>
        <w:t>2.项目说明：本次招标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w:t>
      </w:r>
      <w:r>
        <w:rPr>
          <w:rFonts w:ascii="宋体" w:hAnsi="宋体" w:cs="仿宋"/>
          <w:color w:val="auto"/>
          <w:sz w:val="28"/>
          <w:szCs w:val="28"/>
          <w:highlight w:val="none"/>
        </w:rPr>
        <w:t>20%</w:t>
      </w:r>
      <w:r>
        <w:rPr>
          <w:rFonts w:hint="eastAsia" w:ascii="宋体" w:hAnsi="宋体" w:cs="仿宋"/>
          <w:color w:val="auto"/>
          <w:sz w:val="28"/>
          <w:szCs w:val="28"/>
          <w:highlight w:val="none"/>
        </w:rPr>
        <w:t>的违约金，由此所造成的一切后果和经济损失均由中标人自行负责和承担。</w:t>
      </w:r>
    </w:p>
    <w:p>
      <w:pPr>
        <w:spacing w:line="360" w:lineRule="auto"/>
        <w:ind w:firstLine="570"/>
        <w:jc w:val="left"/>
        <w:rPr>
          <w:rFonts w:ascii="宋体" w:hAnsi="宋体"/>
          <w:color w:val="auto"/>
          <w:sz w:val="28"/>
          <w:szCs w:val="28"/>
          <w:highlight w:val="none"/>
        </w:rPr>
      </w:pPr>
      <w:r>
        <w:rPr>
          <w:rFonts w:hint="eastAsia" w:ascii="宋体" w:hAnsi="宋体"/>
          <w:color w:val="auto"/>
          <w:sz w:val="28"/>
          <w:szCs w:val="28"/>
          <w:highlight w:val="none"/>
        </w:rPr>
        <w:t>项目地址：无锡市锡山区锡山大道333号滨江学院校内；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3"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6"/>
          <w:b/>
          <w:color w:val="auto"/>
          <w:sz w:val="24"/>
          <w:highlight w:val="none"/>
        </w:rPr>
        <w:t>https://bulletin.nuist.edu.cn/779/lis</w:t>
      </w:r>
      <w:r>
        <w:rPr>
          <w:rStyle w:val="26"/>
          <w:color w:val="auto"/>
          <w:sz w:val="24"/>
          <w:highlight w:val="none"/>
        </w:rPr>
        <w:t>t.htm</w:t>
      </w:r>
      <w:r>
        <w:rPr>
          <w:rStyle w:val="26"/>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color w:val="auto"/>
          <w:sz w:val="24"/>
          <w:szCs w:val="28"/>
          <w:highlight w:val="none"/>
        </w:rPr>
        <w:t>zbc.nuist.edu.cn</w:t>
      </w:r>
      <w:r>
        <w:rPr>
          <w:rFonts w:ascii="宋体" w:hAnsi="宋体"/>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3"/>
    <w:p>
      <w:pPr>
        <w:spacing w:line="360" w:lineRule="auto"/>
        <w:ind w:firstLine="570"/>
        <w:jc w:val="left"/>
        <w:rPr>
          <w:rFonts w:hint="eastAsia" w:ascii="宋体" w:hAnsi="宋体" w:cs="宋体"/>
          <w:color w:val="auto"/>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招标文件由我校采购人、项目归口管理部门和招标办联合起草；经学校相关职能部门会审通过形成正式招标文件。同时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3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31"/>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Lines="100"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Arial"/>
          <w:i/>
          <w:iCs/>
          <w:color w:val="auto"/>
          <w:sz w:val="28"/>
          <w:szCs w:val="28"/>
          <w:highlight w:val="none"/>
          <w:u w:val="single"/>
        </w:rPr>
        <w:t>1.具有独立承担民事责任的能力</w:t>
      </w:r>
      <w:r>
        <w:rPr>
          <w:rFonts w:hint="eastAsia" w:ascii="宋体" w:hAnsi="宋体"/>
          <w:i/>
          <w:iCs/>
          <w:color w:val="auto"/>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2.具有良好的商业信誉和健全的财务会计制度</w:t>
      </w:r>
      <w:r>
        <w:rPr>
          <w:rFonts w:hint="eastAsia" w:ascii="宋体" w:hAnsi="宋体"/>
          <w:i/>
          <w:iCs/>
          <w:color w:val="auto"/>
          <w:sz w:val="28"/>
          <w:szCs w:val="28"/>
          <w:highlight w:val="none"/>
          <w:u w:val="single"/>
        </w:rPr>
        <w:t>：需提供参加本次投标活动前近六个月内（2020年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4.有依法缴纳税收和社会保障资金的良好记录</w:t>
      </w:r>
      <w:r>
        <w:rPr>
          <w:rFonts w:hint="eastAsia" w:ascii="宋体" w:hAnsi="宋体"/>
          <w:i/>
          <w:iCs/>
          <w:color w:val="auto"/>
          <w:sz w:val="28"/>
          <w:szCs w:val="28"/>
          <w:highlight w:val="none"/>
          <w:u w:val="single"/>
        </w:rPr>
        <w:t>：提供参加本次投标活动前近六个月内（2020年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5.参加政府采购活动前三年内，在经营活动中没有重大违法记录</w:t>
      </w:r>
      <w:r>
        <w:rPr>
          <w:rFonts w:hint="eastAsia" w:ascii="宋体" w:hAnsi="宋体"/>
          <w:i/>
          <w:iCs/>
          <w:color w:val="auto"/>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（二）投标人不得存在下列情形之一</w:t>
      </w:r>
      <w:r>
        <w:rPr>
          <w:rFonts w:hint="eastAsia" w:ascii="宋体" w:hAnsi="宋体"/>
          <w:b/>
          <w:i/>
          <w:iCs/>
          <w:color w:val="auto"/>
          <w:sz w:val="28"/>
          <w:szCs w:val="28"/>
          <w:highlight w:val="none"/>
          <w:u w:val="single"/>
        </w:rPr>
        <w:t>（提供加盖投标人公章的承诺书）</w:t>
      </w:r>
      <w:r>
        <w:rPr>
          <w:rFonts w:hint="eastAsia" w:ascii="宋体" w:hAnsi="宋体" w:cs="宋体"/>
          <w:i/>
          <w:iCs/>
          <w:color w:val="auto"/>
          <w:kern w:val="0"/>
          <w:sz w:val="28"/>
          <w:szCs w:val="28"/>
          <w:highlight w:val="none"/>
          <w:u w:val="single"/>
        </w:rPr>
        <w:t>：</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（5）投标人近3年内有行贿犯罪行为且被记录，或者法定代表人有行贿犯罪记录且自记录之日起未超过5年的。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（三）</w:t>
      </w:r>
      <w:r>
        <w:rPr>
          <w:rFonts w:hint="eastAsia" w:ascii="宋体" w:hAnsi="宋体" w:cs="宋体"/>
          <w:bCs/>
          <w:i/>
          <w:iCs/>
          <w:color w:val="auto"/>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color w:val="auto"/>
          <w:kern w:val="0"/>
          <w:sz w:val="28"/>
          <w:szCs w:val="28"/>
          <w:highlight w:val="none"/>
          <w:u w:val="single"/>
        </w:rPr>
      </w:pPr>
      <w:bookmarkStart w:id="11" w:name="_GoBack"/>
      <w:bookmarkEnd w:id="11"/>
      <w:r>
        <w:rPr>
          <w:rFonts w:hint="eastAsia" w:ascii="宋体" w:hAnsi="宋体" w:cs="宋体"/>
          <w:i/>
          <w:iCs/>
          <w:color w:val="auto"/>
          <w:sz w:val="28"/>
          <w:szCs w:val="28"/>
          <w:highlight w:val="none"/>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color w:val="auto"/>
          <w:sz w:val="28"/>
          <w:szCs w:val="28"/>
          <w:highlight w:val="none"/>
          <w:u w:val="single"/>
        </w:rPr>
        <w:t>（提供本项目报名截止日后的以上两个网站截图并加盖单位公章）</w:t>
      </w:r>
      <w:r>
        <w:rPr>
          <w:rFonts w:hint="eastAsia" w:ascii="宋体" w:hAnsi="宋体" w:cs="宋体"/>
          <w:i/>
          <w:iCs/>
          <w:color w:val="auto"/>
          <w:sz w:val="28"/>
          <w:szCs w:val="28"/>
          <w:highlight w:val="none"/>
          <w:u w:val="singl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40天内完成设备运输（含上、下力）、安装调试等，所有费用由供方承担，安装调试完毕后需方用户负责试用并签收。</w:t>
      </w:r>
    </w:p>
    <w:p>
      <w:pPr>
        <w:pStyle w:val="31"/>
        <w:adjustRightInd w:val="0"/>
        <w:snapToGrid w:val="0"/>
        <w:spacing w:before="0" w:beforeAutospacing="0" w:after="0" w:afterAutospacing="0" w:line="360" w:lineRule="auto"/>
        <w:ind w:firstLine="560" w:firstLineChars="200"/>
        <w:rPr>
          <w:color w:val="auto"/>
          <w:sz w:val="28"/>
          <w:szCs w:val="28"/>
          <w:highlight w:val="none"/>
        </w:rPr>
      </w:pPr>
      <w:r>
        <w:rPr>
          <w:rFonts w:hint="eastAsia"/>
          <w:color w:val="auto"/>
          <w:sz w:val="28"/>
          <w:szCs w:val="28"/>
          <w:highlight w:val="none"/>
        </w:rPr>
        <w:t>六、</w:t>
      </w:r>
      <w:r>
        <w:rPr>
          <w:rFonts w:hint="eastAsia" w:cs="Times New Roman"/>
          <w:color w:val="auto"/>
          <w:kern w:val="2"/>
          <w:sz w:val="28"/>
          <w:szCs w:val="28"/>
          <w:highlight w:val="none"/>
        </w:rPr>
        <w:t>本项目预算价为156</w:t>
      </w:r>
      <w:r>
        <w:rPr>
          <w:rFonts w:hint="eastAsia" w:cs="Times New Roman"/>
          <w:color w:val="auto"/>
          <w:kern w:val="2"/>
          <w:sz w:val="28"/>
          <w:szCs w:val="28"/>
          <w:highlight w:val="none"/>
          <w:lang w:val="en-US" w:eastAsia="zh-CN"/>
        </w:rPr>
        <w:t>.00</w:t>
      </w:r>
      <w:r>
        <w:rPr>
          <w:rFonts w:hint="eastAsia" w:cs="Times New Roman"/>
          <w:color w:val="auto"/>
          <w:kern w:val="2"/>
          <w:sz w:val="28"/>
          <w:szCs w:val="28"/>
          <w:highlight w:val="none"/>
        </w:rPr>
        <w:t>万元，</w:t>
      </w:r>
      <w:r>
        <w:rPr>
          <w:rFonts w:hint="eastAsia"/>
          <w:color w:val="auto"/>
          <w:sz w:val="28"/>
          <w:szCs w:val="28"/>
          <w:highlight w:val="none"/>
        </w:rPr>
        <w:t>本项目只接受人民币报价。</w:t>
      </w:r>
    </w:p>
    <w:p>
      <w:pPr>
        <w:spacing w:beforeLines="100"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ascii="宋体" w:cs="宋体"/>
          <w:color w:val="auto"/>
          <w:sz w:val="28"/>
          <w:szCs w:val="28"/>
          <w:highlight w:val="none"/>
        </w:rPr>
        <w:t>6.</w:t>
      </w:r>
      <w:r>
        <w:rPr>
          <w:rFonts w:hint="eastAsia" w:ascii="宋体" w:cs="宋体"/>
          <w:color w:val="auto"/>
          <w:sz w:val="28"/>
          <w:szCs w:val="28"/>
          <w:highlight w:val="none"/>
        </w:rPr>
        <w:t>投标人在投</w:t>
      </w:r>
      <w:r>
        <w:rPr>
          <w:rFonts w:hint="eastAsia" w:ascii="宋体" w:hAnsi="宋体" w:cs="宋体"/>
          <w:color w:val="auto"/>
          <w:sz w:val="28"/>
          <w:szCs w:val="28"/>
          <w:highlight w:val="none"/>
        </w:rPr>
        <w:t>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（8）投标单位对本文件其他内容已充分理解，并承诺一经中标即严格按合同执行，合同附件与合同有同等法律效力。</w:t>
      </w:r>
    </w:p>
    <w:p>
      <w:pPr>
        <w:widowControl/>
        <w:tabs>
          <w:tab w:val="left" w:pos="630"/>
        </w:tabs>
        <w:adjustRightInd w:val="0"/>
        <w:snapToGrid w:val="0"/>
        <w:spacing w:line="360" w:lineRule="auto"/>
        <w:ind w:firstLine="560" w:firstLineChars="200"/>
        <w:rPr>
          <w:rFonts w:ascii="黑体" w:hAnsi="黑体" w:eastAsia="黑体" w:cs="宋体"/>
          <w:color w:val="auto"/>
          <w:sz w:val="28"/>
          <w:szCs w:val="28"/>
          <w:highlight w:val="none"/>
        </w:rPr>
      </w:pPr>
      <w:r>
        <w:rPr>
          <w:rFonts w:hint="eastAsia" w:ascii="宋体" w:hAnsi="宋体" w:cs="宋体"/>
          <w:color w:val="auto"/>
          <w:sz w:val="28"/>
          <w:szCs w:val="28"/>
          <w:highlight w:val="none"/>
        </w:rPr>
        <w:t>（9）招标人组织投标人集中踏勘现场，在招标人通知的时间地点，投标人未前往踏勘的均被视为充分熟悉本招标项目所在地与履行合同有关的各种情况，投标人不再另行组织踏勘，其责任由投标人自负。</w:t>
      </w:r>
      <w:bookmarkEnd w:id="4"/>
      <w:bookmarkStart w:id="5" w:name="_Hlk9866206"/>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招标文件给出评标办法（见附件4）</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ascii="宋体" w:hAnsi="宋体" w:cs="宋体"/>
          <w:b/>
          <w:color w:val="auto"/>
          <w:sz w:val="28"/>
          <w:szCs w:val="28"/>
          <w:highlight w:val="none"/>
        </w:rPr>
        <w:t>BJ20</w:t>
      </w:r>
      <w:r>
        <w:rPr>
          <w:rFonts w:hint="eastAsia" w:ascii="宋体" w:hAnsi="宋体" w:cs="宋体"/>
          <w:b/>
          <w:color w:val="auto"/>
          <w:sz w:val="28"/>
          <w:szCs w:val="28"/>
          <w:highlight w:val="none"/>
        </w:rPr>
        <w:t>20</w:t>
      </w:r>
      <w:r>
        <w:rPr>
          <w:rFonts w:hint="eastAsia" w:ascii="宋体" w:hAnsi="宋体" w:cs="宋体"/>
          <w:b/>
          <w:color w:val="auto"/>
          <w:sz w:val="28"/>
          <w:szCs w:val="28"/>
          <w:highlight w:val="none"/>
          <w:lang w:val="en-US" w:eastAsia="zh-CN"/>
        </w:rPr>
        <w:t>005</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本着“质量第一、价格合理、服务优异、保障有力”的原则，由采购人、项目归口管理部门和招标办从报价得分、技术的分、服务、业绩、信誉得分五个方面提出评标办法（见附件4）。</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个工作日内，中标单位须及时缴纳5</w:t>
      </w:r>
      <w:r>
        <w:rPr>
          <w:rFonts w:ascii="宋体" w:hAnsi="宋体" w:cs="宋体"/>
          <w:color w:val="auto"/>
          <w:sz w:val="28"/>
          <w:szCs w:val="28"/>
          <w:highlight w:val="none"/>
        </w:rPr>
        <w:t>000</w:t>
      </w:r>
      <w:r>
        <w:rPr>
          <w:rFonts w:hint="eastAsia" w:ascii="宋体" w:hAnsi="宋体" w:cs="宋体"/>
          <w:color w:val="auto"/>
          <w:sz w:val="28"/>
          <w:szCs w:val="28"/>
          <w:highlight w:val="none"/>
        </w:rPr>
        <w:t>元履约保证金并前来我</w:t>
      </w:r>
      <w:r>
        <w:rPr>
          <w:rFonts w:hint="eastAsia" w:ascii="宋体" w:hAnsi="宋体" w:cs="宋体"/>
          <w:color w:val="auto"/>
          <w:sz w:val="28"/>
          <w:szCs w:val="28"/>
          <w:highlight w:val="none"/>
          <w:lang w:val="en-US" w:eastAsia="zh-CN"/>
        </w:rPr>
        <w:t>校</w:t>
      </w:r>
      <w:r>
        <w:rPr>
          <w:rFonts w:hint="eastAsia" w:ascii="宋体" w:hAnsi="宋体" w:cs="宋体"/>
          <w:color w:val="auto"/>
          <w:sz w:val="28"/>
          <w:szCs w:val="28"/>
          <w:highlight w:val="none"/>
        </w:rPr>
        <w:t>领取的《中标通知书》（一式二份）。服务完成，验收合格后</w:t>
      </w:r>
      <w:r>
        <w:rPr>
          <w:rFonts w:hint="eastAsia" w:ascii="宋体" w:hAnsi="宋体" w:cs="宋体"/>
          <w:color w:val="auto"/>
          <w:sz w:val="28"/>
          <w:szCs w:val="28"/>
          <w:highlight w:val="none"/>
          <w:lang w:val="en-US" w:eastAsia="zh-CN"/>
        </w:rPr>
        <w:t>无息</w:t>
      </w:r>
      <w:r>
        <w:rPr>
          <w:rFonts w:hint="eastAsia" w:ascii="宋体" w:hAnsi="宋体" w:cs="宋体"/>
          <w:color w:val="auto"/>
          <w:sz w:val="28"/>
          <w:szCs w:val="28"/>
          <w:highlight w:val="none"/>
        </w:rPr>
        <w:t>返还</w:t>
      </w:r>
      <w:r>
        <w:rPr>
          <w:rFonts w:hint="eastAsia" w:ascii="宋体" w:hAnsi="宋体" w:cs="宋体"/>
          <w:color w:val="auto"/>
          <w:sz w:val="28"/>
          <w:szCs w:val="28"/>
          <w:highlight w:val="none"/>
          <w:lang w:eastAsia="zh-CN"/>
        </w:rPr>
        <w:t>。</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 xml:space="preserve"> 2.</w:t>
      </w:r>
      <w:r>
        <w:rPr>
          <w:rFonts w:hint="eastAsia" w:ascii="宋体" w:hAnsi="宋体" w:cs="宋体"/>
          <w:color w:val="auto"/>
          <w:sz w:val="28"/>
          <w:szCs w:val="28"/>
          <w:highlight w:val="none"/>
        </w:rPr>
        <w:t>服务地点：南京信息工程大学</w:t>
      </w:r>
      <w:r>
        <w:rPr>
          <w:rFonts w:hint="eastAsia" w:ascii="宋体" w:hAnsi="宋体" w:cs="宋体"/>
          <w:color w:val="auto"/>
          <w:sz w:val="28"/>
          <w:szCs w:val="28"/>
          <w:highlight w:val="none"/>
          <w:lang w:val="en-US" w:eastAsia="zh-CN"/>
        </w:rPr>
        <w:t>滨江学院（无锡校区）</w:t>
      </w:r>
      <w:r>
        <w:rPr>
          <w:rFonts w:hint="eastAsia" w:ascii="宋体" w:hAnsi="宋体" w:cs="宋体"/>
          <w:color w:val="auto"/>
          <w:sz w:val="28"/>
          <w:szCs w:val="28"/>
          <w:highlight w:val="none"/>
        </w:rPr>
        <w:t>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 xml:space="preserve"> 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现场安装调试，验收合格（工作机位用材需由独立第三方提供的检测报告）后，，提供全额税务发票，凭最终签字和盖章的验收合格报告，付款至合同价的95%，余款5%在质保期满后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并经有关单位确认无质量问题后，一次性</w:t>
      </w:r>
      <w:r>
        <w:rPr>
          <w:rFonts w:hint="eastAsia" w:ascii="宋体" w:hAnsi="宋体" w:cs="宋体"/>
          <w:color w:val="auto"/>
          <w:sz w:val="28"/>
          <w:szCs w:val="28"/>
          <w:highlight w:val="none"/>
          <w:lang w:val="en-US" w:eastAsia="zh-CN"/>
        </w:rPr>
        <w:t>无息</w:t>
      </w:r>
      <w:r>
        <w:rPr>
          <w:rFonts w:hint="eastAsia" w:ascii="宋体" w:hAnsi="宋体" w:cs="宋体"/>
          <w:color w:val="auto"/>
          <w:sz w:val="28"/>
          <w:szCs w:val="28"/>
          <w:highlight w:val="none"/>
        </w:rPr>
        <w:t>支付完毕。具体内容以最终签署的合同约定为准。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BJ</w:t>
      </w:r>
      <w:r>
        <w:rPr>
          <w:rFonts w:hint="eastAsia" w:ascii="宋体" w:hAnsi="宋体" w:cs="宋体"/>
          <w:b/>
          <w:color w:val="auto"/>
          <w:sz w:val="28"/>
          <w:szCs w:val="28"/>
          <w:highlight w:val="none"/>
        </w:rPr>
        <w:t>20200</w:t>
      </w:r>
      <w:r>
        <w:rPr>
          <w:rFonts w:hint="eastAsia" w:ascii="宋体" w:hAnsi="宋体" w:cs="宋体"/>
          <w:b/>
          <w:color w:val="auto"/>
          <w:sz w:val="28"/>
          <w:szCs w:val="28"/>
          <w:highlight w:val="none"/>
          <w:lang w:val="en-US" w:eastAsia="zh-CN"/>
        </w:rPr>
        <w:t>05</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ascii="宋体" w:hAnsi="宋体" w:cs="宋体"/>
          <w:color w:val="auto"/>
          <w:sz w:val="28"/>
          <w:szCs w:val="28"/>
          <w:highlight w:val="none"/>
          <w:u w:val="single"/>
        </w:rPr>
        <w:t>5000</w:t>
      </w:r>
      <w:r>
        <w:rPr>
          <w:rFonts w:hint="eastAsia" w:ascii="宋体" w:hAnsi="宋体" w:cs="宋体"/>
          <w:color w:val="auto"/>
          <w:sz w:val="28"/>
          <w:szCs w:val="28"/>
          <w:highlight w:val="none"/>
          <w:u w:val="single"/>
        </w:rPr>
        <w:t>元</w:t>
      </w:r>
      <w:r>
        <w:rPr>
          <w:rFonts w:hint="eastAsia" w:ascii="宋体" w:hAnsi="宋体" w:cs="宋体"/>
          <w:color w:val="auto"/>
          <w:sz w:val="28"/>
          <w:szCs w:val="28"/>
          <w:highlight w:val="none"/>
        </w:rPr>
        <w:t>整。</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pStyle w:val="4"/>
        <w:jc w:val="both"/>
        <w:rPr>
          <w:color w:val="auto"/>
          <w:highlight w:val="none"/>
          <w:lang w:val="en-US"/>
        </w:rPr>
      </w:pPr>
      <w:r>
        <w:rPr>
          <w:rFonts w:hint="eastAsia"/>
          <w:color w:val="auto"/>
          <w:highlight w:val="none"/>
          <w:lang w:val="en-US"/>
        </w:rPr>
        <w:t xml:space="preserve">    </w:t>
      </w:r>
      <w:r>
        <w:rPr>
          <w:rFonts w:hint="eastAsia" w:cs="宋体"/>
          <w:b w:val="0"/>
          <w:bCs w:val="0"/>
          <w:color w:val="auto"/>
          <w:szCs w:val="28"/>
          <w:highlight w:val="none"/>
          <w:lang w:val="en-US"/>
        </w:rPr>
        <w:t>7</w:t>
      </w:r>
      <w:r>
        <w:rPr>
          <w:rFonts w:cs="宋体"/>
          <w:b w:val="0"/>
          <w:bCs w:val="0"/>
          <w:color w:val="auto"/>
          <w:szCs w:val="28"/>
          <w:highlight w:val="none"/>
        </w:rPr>
        <w:t>.</w:t>
      </w:r>
      <w:r>
        <w:rPr>
          <w:rFonts w:hint="eastAsia" w:cs="宋体"/>
          <w:b w:val="0"/>
          <w:bCs w:val="0"/>
          <w:color w:val="auto"/>
          <w:szCs w:val="28"/>
          <w:highlight w:val="none"/>
        </w:rPr>
        <w:t>本次采购的</w:t>
      </w:r>
      <w:r>
        <w:rPr>
          <w:rFonts w:hint="eastAsia" w:cs="宋体"/>
          <w:b w:val="0"/>
          <w:bCs w:val="0"/>
          <w:color w:val="auto"/>
          <w:szCs w:val="28"/>
          <w:highlight w:val="none"/>
          <w:lang w:val="en-US"/>
        </w:rPr>
        <w:t>项目</w:t>
      </w:r>
      <w:r>
        <w:rPr>
          <w:rFonts w:hint="eastAsia" w:cs="宋体"/>
          <w:b w:val="0"/>
          <w:bCs w:val="0"/>
          <w:color w:val="auto"/>
          <w:szCs w:val="28"/>
          <w:highlight w:val="none"/>
        </w:rPr>
        <w:t>免费保质期为</w:t>
      </w:r>
      <w:r>
        <w:rPr>
          <w:rFonts w:hint="eastAsia" w:cs="宋体"/>
          <w:b w:val="0"/>
          <w:bCs w:val="0"/>
          <w:color w:val="auto"/>
          <w:szCs w:val="28"/>
          <w:highlight w:val="none"/>
          <w:lang w:val="en-US"/>
        </w:rPr>
        <w:t>2</w:t>
      </w:r>
      <w:r>
        <w:rPr>
          <w:rFonts w:hint="eastAsia" w:cs="宋体"/>
          <w:b w:val="0"/>
          <w:bCs w:val="0"/>
          <w:color w:val="auto"/>
          <w:szCs w:val="28"/>
          <w:highlight w:val="none"/>
        </w:rPr>
        <w:t>年。</w:t>
      </w:r>
    </w:p>
    <w:p>
      <w:pPr>
        <w:spacing w:beforeLines="100"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答疑时间</w:t>
      </w:r>
    </w:p>
    <w:p>
      <w:pPr>
        <w:spacing w:line="360" w:lineRule="auto"/>
        <w:rPr>
          <w:rFonts w:asci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w:t>
      </w:r>
      <w:r>
        <w:rPr>
          <w:rFonts w:hint="eastAsia" w:ascii="宋体" w:hAnsi="宋体"/>
          <w:b/>
          <w:color w:val="auto"/>
          <w:sz w:val="28"/>
          <w:szCs w:val="28"/>
          <w:highlight w:val="none"/>
          <w:u w:val="single"/>
          <w:lang w:val="en-US" w:eastAsia="zh-CN"/>
        </w:rPr>
        <w:t>8</w:t>
      </w:r>
      <w:r>
        <w:rPr>
          <w:rFonts w:hint="eastAsia" w:ascii="宋体" w:hAnsi="宋体"/>
          <w:b/>
          <w:color w:val="auto"/>
          <w:sz w:val="28"/>
          <w:szCs w:val="28"/>
          <w:highlight w:val="none"/>
          <w:u w:val="single"/>
        </w:rPr>
        <w:t>月</w:t>
      </w:r>
      <w:r>
        <w:rPr>
          <w:rFonts w:hint="eastAsia" w:ascii="宋体" w:hAnsi="宋体"/>
          <w:b/>
          <w:color w:val="auto"/>
          <w:sz w:val="28"/>
          <w:szCs w:val="28"/>
          <w:highlight w:val="none"/>
          <w:u w:val="single"/>
          <w:lang w:val="en-US" w:eastAsia="zh-CN"/>
        </w:rPr>
        <w:t>23</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）我校项目归口管理部门将通过招标办向各投标人统一进行书面（或电子版）答疑回复。</w:t>
      </w:r>
    </w:p>
    <w:p>
      <w:pPr>
        <w:widowControl/>
        <w:spacing w:line="360" w:lineRule="auto"/>
        <w:ind w:firstLine="548" w:firstLineChars="196"/>
        <w:rPr>
          <w:rFonts w:ascii="黑体" w:hAnsi="黑体" w:eastAsia="黑体"/>
          <w:i/>
          <w:color w:val="auto"/>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投标文件送达</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（2）投标截止时间：2020年0</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招标办。联系人：马老师、罗老师；联系电话：025-58731441。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（1）开标、唱标：2020年0</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）招标办（招投标管理业务单位）：联系电话：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w:t>
      </w:r>
      <w:bookmarkEnd w:id="6"/>
      <w:r>
        <w:rPr>
          <w:rFonts w:hint="eastAsia" w:ascii="宋体" w:hAnsi="宋体"/>
          <w:color w:val="auto"/>
          <w:sz w:val="28"/>
          <w:szCs w:val="28"/>
          <w:highlight w:val="none"/>
        </w:rPr>
        <w:t>用户单位（滨江学院）联系电话：051080560170，联系人：陈老师。</w:t>
      </w:r>
    </w:p>
    <w:p>
      <w:pPr>
        <w:adjustRightInd w:val="0"/>
        <w:snapToGrid w:val="0"/>
        <w:spacing w:line="360" w:lineRule="auto"/>
        <w:ind w:firstLine="560" w:firstLineChars="200"/>
        <w:rPr>
          <w:rFonts w:ascii="仿宋" w:hAnsi="仿宋" w:eastAsia="仿宋" w:cs="仿宋"/>
          <w:color w:val="auto"/>
          <w:sz w:val="28"/>
          <w:szCs w:val="28"/>
          <w:highlight w:val="none"/>
        </w:rPr>
      </w:pPr>
    </w:p>
    <w:p>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附件1：招标项目设备名称、数量、主要技术要求及其他要求（电子版）</w:t>
      </w:r>
    </w:p>
    <w:p>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附件2：投标函格式</w:t>
      </w:r>
    </w:p>
    <w:p>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附件3：服务要求</w:t>
      </w:r>
    </w:p>
    <w:p>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附件4：评标办法</w:t>
      </w:r>
    </w:p>
    <w:p>
      <w:pPr>
        <w:spacing w:line="360" w:lineRule="auto"/>
        <w:rPr>
          <w:rFonts w:ascii="宋体"/>
          <w:color w:val="auto"/>
          <w:sz w:val="28"/>
          <w:szCs w:val="28"/>
          <w:highlight w:val="none"/>
        </w:rPr>
      </w:pPr>
    </w:p>
    <w:p>
      <w:pPr>
        <w:tabs>
          <w:tab w:val="left" w:pos="1260"/>
        </w:tabs>
        <w:spacing w:line="360" w:lineRule="auto"/>
        <w:ind w:left="1959" w:leftChars="933" w:firstLine="2530" w:firstLineChars="900"/>
        <w:rPr>
          <w:rFonts w:hint="default" w:ascii="宋体" w:eastAsia="宋体"/>
          <w:b/>
          <w:color w:val="auto"/>
          <w:sz w:val="28"/>
          <w:szCs w:val="28"/>
          <w:highlight w:val="none"/>
          <w:lang w:val="en-US" w:eastAsia="zh-CN"/>
        </w:rPr>
      </w:pPr>
      <w:bookmarkStart w:id="8" w:name="_Hlk9866962"/>
      <w:r>
        <w:rPr>
          <w:rFonts w:hint="eastAsia" w:ascii="宋体" w:hAnsi="宋体"/>
          <w:b/>
          <w:color w:val="auto"/>
          <w:sz w:val="28"/>
          <w:szCs w:val="28"/>
          <w:highlight w:val="none"/>
        </w:rPr>
        <w:t>南京信息工程大学</w:t>
      </w:r>
      <w:r>
        <w:rPr>
          <w:rFonts w:hint="eastAsia" w:ascii="宋体" w:hAnsi="宋体"/>
          <w:b/>
          <w:color w:val="auto"/>
          <w:sz w:val="28"/>
          <w:szCs w:val="28"/>
          <w:highlight w:val="none"/>
          <w:lang w:val="en-US" w:eastAsia="zh-CN"/>
        </w:rPr>
        <w:t>招标办</w:t>
      </w:r>
    </w:p>
    <w:p>
      <w:pPr>
        <w:pStyle w:val="14"/>
        <w:spacing w:line="360" w:lineRule="auto"/>
        <w:ind w:left="99" w:leftChars="47" w:firstLine="4919" w:firstLineChars="1750"/>
        <w:rPr>
          <w:color w:val="auto"/>
          <w:sz w:val="28"/>
          <w:szCs w:val="28"/>
          <w:highlight w:val="none"/>
        </w:rPr>
      </w:pPr>
      <w:r>
        <w:rPr>
          <w:rStyle w:val="51"/>
          <w:rFonts w:ascii="宋体" w:hAnsi="宋体" w:eastAsia="宋体"/>
          <w:b/>
          <w:bCs/>
          <w:color w:val="auto"/>
          <w:sz w:val="28"/>
          <w:szCs w:val="28"/>
          <w:highlight w:val="none"/>
        </w:rPr>
        <w:t>20</w:t>
      </w:r>
      <w:r>
        <w:rPr>
          <w:rStyle w:val="51"/>
          <w:rFonts w:hint="eastAsia" w:ascii="宋体" w:hAnsi="宋体"/>
          <w:b/>
          <w:bCs/>
          <w:color w:val="auto"/>
          <w:sz w:val="28"/>
          <w:szCs w:val="28"/>
          <w:highlight w:val="none"/>
        </w:rPr>
        <w:t>20</w:t>
      </w:r>
      <w:r>
        <w:rPr>
          <w:rStyle w:val="51"/>
          <w:rFonts w:hint="eastAsia" w:ascii="宋体" w:hAnsi="宋体" w:eastAsia="宋体"/>
          <w:b/>
          <w:bCs/>
          <w:color w:val="auto"/>
          <w:sz w:val="28"/>
          <w:szCs w:val="28"/>
          <w:highlight w:val="none"/>
        </w:rPr>
        <w:t>年</w:t>
      </w:r>
      <w:r>
        <w:rPr>
          <w:rStyle w:val="51"/>
          <w:rFonts w:hint="eastAsia" w:ascii="宋体" w:hAnsi="宋体"/>
          <w:b/>
          <w:bCs/>
          <w:color w:val="auto"/>
          <w:sz w:val="28"/>
          <w:szCs w:val="28"/>
          <w:highlight w:val="none"/>
          <w:lang w:val="en-US"/>
        </w:rPr>
        <w:t>08</w:t>
      </w:r>
      <w:r>
        <w:rPr>
          <w:rStyle w:val="51"/>
          <w:rFonts w:hint="eastAsia" w:ascii="宋体" w:hAnsi="宋体" w:eastAsia="宋体"/>
          <w:b/>
          <w:bCs/>
          <w:color w:val="auto"/>
          <w:sz w:val="28"/>
          <w:szCs w:val="28"/>
          <w:highlight w:val="none"/>
        </w:rPr>
        <w:t>月</w:t>
      </w:r>
      <w:r>
        <w:rPr>
          <w:rStyle w:val="51"/>
          <w:rFonts w:hint="eastAsia" w:ascii="宋体" w:hAnsi="宋体"/>
          <w:b/>
          <w:bCs/>
          <w:color w:val="auto"/>
          <w:sz w:val="28"/>
          <w:szCs w:val="28"/>
          <w:highlight w:val="none"/>
          <w:lang w:val="en-US"/>
        </w:rPr>
        <w:t>17</w:t>
      </w:r>
      <w:r>
        <w:rPr>
          <w:rStyle w:val="51"/>
          <w:rFonts w:hint="eastAsia" w:ascii="宋体" w:hAnsi="宋体" w:eastAsia="宋体"/>
          <w:b/>
          <w:bCs/>
          <w:color w:val="auto"/>
          <w:sz w:val="28"/>
          <w:szCs w:val="28"/>
          <w:highlight w:val="none"/>
        </w:rPr>
        <w:t>日</w:t>
      </w:r>
      <w:bookmarkEnd w:id="8"/>
      <w:r>
        <w:rPr>
          <w:rStyle w:val="51"/>
          <w:rFonts w:ascii="宋体" w:hAnsi="Times New Roman" w:eastAsia="宋体"/>
          <w:b/>
          <w:bCs/>
          <w:color w:val="auto"/>
          <w:sz w:val="28"/>
          <w:szCs w:val="28"/>
          <w:highlight w:val="none"/>
        </w:rPr>
        <w:br w:type="page"/>
      </w:r>
      <w:r>
        <w:rPr>
          <w:color w:val="auto"/>
          <w:sz w:val="28"/>
          <w:szCs w:val="28"/>
          <w:highlight w:val="none"/>
        </w:rPr>
        <w:t>附件1：</w:t>
      </w:r>
    </w:p>
    <w:p>
      <w:pPr>
        <w:spacing w:line="360" w:lineRule="auto"/>
        <w:ind w:left="180"/>
        <w:jc w:val="center"/>
        <w:rPr>
          <w:b/>
          <w:color w:val="auto"/>
          <w:sz w:val="28"/>
          <w:szCs w:val="28"/>
          <w:highlight w:val="none"/>
        </w:rPr>
      </w:pPr>
      <w:r>
        <w:rPr>
          <w:b/>
          <w:color w:val="auto"/>
          <w:sz w:val="28"/>
          <w:szCs w:val="28"/>
          <w:highlight w:val="none"/>
        </w:rPr>
        <w:t>招标项目设备名称、数量、主要技术要求及其他要求</w:t>
      </w:r>
    </w:p>
    <w:p>
      <w:pPr>
        <w:spacing w:beforeLines="50"/>
        <w:rPr>
          <w:b/>
          <w:color w:val="auto"/>
          <w:highlight w:val="none"/>
        </w:rPr>
      </w:pPr>
    </w:p>
    <w:tbl>
      <w:tblPr>
        <w:tblStyle w:val="22"/>
        <w:tblW w:w="9701"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38"/>
        <w:gridCol w:w="6789"/>
        <w:gridCol w:w="686"/>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pPr>
              <w:jc w:val="center"/>
              <w:rPr>
                <w:rFonts w:ascii="微软雅黑" w:hAnsi="微软雅黑" w:eastAsia="微软雅黑" w:cs="微软雅黑"/>
                <w:color w:val="auto"/>
                <w:sz w:val="18"/>
                <w:szCs w:val="18"/>
                <w:highlight w:val="none"/>
              </w:rPr>
            </w:pPr>
            <w:bookmarkStart w:id="9" w:name="_Toc462564147"/>
            <w:r>
              <w:rPr>
                <w:rFonts w:hint="eastAsia" w:ascii="微软雅黑" w:hAnsi="微软雅黑" w:eastAsia="微软雅黑" w:cs="微软雅黑"/>
                <w:color w:val="auto"/>
                <w:sz w:val="18"/>
                <w:szCs w:val="18"/>
                <w:highlight w:val="none"/>
              </w:rPr>
              <w:t>序号</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名称</w:t>
            </w:r>
          </w:p>
        </w:tc>
        <w:tc>
          <w:tcPr>
            <w:tcW w:w="6789"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规格、型号及参数</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单位</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p>
        </w:tc>
        <w:tc>
          <w:tcPr>
            <w:tcW w:w="6789" w:type="dxa"/>
            <w:vAlign w:val="center"/>
          </w:tcPr>
          <w:p>
            <w:pPr>
              <w:numPr>
                <w:ilvl w:val="0"/>
                <w:numId w:val="1"/>
              </w:num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b/>
                <w:bCs/>
                <w:color w:val="auto"/>
                <w:sz w:val="18"/>
                <w:szCs w:val="18"/>
                <w:highlight w:val="none"/>
              </w:rPr>
              <w:t>形象展示中心（76 m</w:t>
            </w:r>
            <w:r>
              <w:rPr>
                <w:rFonts w:hint="eastAsia" w:ascii="微软雅黑" w:hAnsi="微软雅黑" w:eastAsia="微软雅黑" w:cs="微软雅黑"/>
                <w:b/>
                <w:bCs/>
                <w:color w:val="auto"/>
                <w:sz w:val="18"/>
                <w:szCs w:val="18"/>
                <w:highlight w:val="none"/>
                <w:vertAlign w:val="superscript"/>
              </w:rPr>
              <w:t>2</w:t>
            </w:r>
            <w:r>
              <w:rPr>
                <w:rFonts w:hint="eastAsia" w:ascii="微软雅黑" w:hAnsi="微软雅黑" w:eastAsia="微软雅黑" w:cs="微软雅黑"/>
                <w:b/>
                <w:bCs/>
                <w:color w:val="auto"/>
                <w:sz w:val="18"/>
                <w:szCs w:val="18"/>
                <w:highlight w:val="none"/>
              </w:rPr>
              <w:t>）</w:t>
            </w:r>
          </w:p>
        </w:tc>
        <w:tc>
          <w:tcPr>
            <w:tcW w:w="686" w:type="dxa"/>
            <w:vAlign w:val="center"/>
          </w:tcPr>
          <w:p>
            <w:pPr>
              <w:jc w:val="center"/>
              <w:rPr>
                <w:rFonts w:ascii="微软雅黑" w:hAnsi="微软雅黑" w:eastAsia="微软雅黑" w:cs="微软雅黑"/>
                <w:color w:val="auto"/>
                <w:sz w:val="18"/>
                <w:szCs w:val="18"/>
                <w:highlight w:val="none"/>
              </w:rPr>
            </w:pPr>
          </w:p>
        </w:tc>
        <w:tc>
          <w:tcPr>
            <w:tcW w:w="728" w:type="dxa"/>
            <w:vAlign w:val="center"/>
          </w:tcPr>
          <w:p>
            <w:pPr>
              <w:jc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60"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838"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单人沙发</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规格：800mm*760mm*720mm </w:t>
            </w:r>
          </w:p>
          <w:p>
            <w:pPr>
              <w:pStyle w:val="39"/>
              <w:numPr>
                <w:ilvl w:val="0"/>
                <w:numId w:val="2"/>
              </w:num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面料：采用纳米西皮，纹路细致，色泽均匀，手感柔软、细腻、有韧性；</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2、海棉：采用高密度阻燃裁切海棉，座垫密度大于45kg/m2，并用 软中硬多层叠加，增加舒适度，回弹率≥40%。</w:t>
            </w:r>
          </w:p>
        </w:tc>
        <w:tc>
          <w:tcPr>
            <w:tcW w:w="686"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60"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w:t>
            </w:r>
          </w:p>
        </w:tc>
        <w:tc>
          <w:tcPr>
            <w:tcW w:w="838"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双人沙发</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规格：1380mm*740mm*730mm </w:t>
            </w:r>
          </w:p>
          <w:p>
            <w:pPr>
              <w:pStyle w:val="39"/>
              <w:numPr>
                <w:ilvl w:val="0"/>
                <w:numId w:val="3"/>
              </w:num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面料：采用西皮，纹路细致，色泽均匀，手感柔软、细腻、有韧性；</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2、海棉：采用高密度阻燃裁切海棉，座垫密度大于45kg/m2，并用 软中硬多层叠加，增加舒适度，回弹率≥40%。</w:t>
            </w:r>
          </w:p>
        </w:tc>
        <w:tc>
          <w:tcPr>
            <w:tcW w:w="686"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60"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w:t>
            </w:r>
          </w:p>
        </w:tc>
        <w:tc>
          <w:tcPr>
            <w:tcW w:w="838"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创意茶几</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规格：1200mm*600mm*450mm；</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采用AAA级胡桃木木皮(厚度≥0.6mm)；平整度0.05mm，木皮双面光滑平直，颜 色、厚度均匀；木纹清晰、美观；经防虫防腐处理,具有很好的油漆与染料的保 持能力及尺寸稳定性。</w:t>
            </w:r>
          </w:p>
        </w:tc>
        <w:tc>
          <w:tcPr>
            <w:tcW w:w="686"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4</w:t>
            </w:r>
          </w:p>
        </w:tc>
        <w:tc>
          <w:tcPr>
            <w:tcW w:w="838"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成果展示柜</w:t>
            </w:r>
          </w:p>
        </w:tc>
        <w:tc>
          <w:tcPr>
            <w:tcW w:w="6789" w:type="dxa"/>
            <w:vAlign w:val="center"/>
          </w:tcPr>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尺寸：1.2*长0.5*0.8米；</w:t>
            </w:r>
          </w:p>
          <w:p>
            <w:pPr>
              <w:numPr>
                <w:ilvl w:val="0"/>
                <w:numId w:val="4"/>
              </w:numP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基材：优质实木板材，各项性能环保指标均符合标准；</w:t>
            </w:r>
          </w:p>
          <w:p>
            <w:pPr>
              <w:numPr>
                <w:ilvl w:val="0"/>
                <w:numId w:val="4"/>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五金配件：优质家具正面锁，优质导轨，优质三合一连接件。</w:t>
            </w:r>
          </w:p>
        </w:tc>
        <w:tc>
          <w:tcPr>
            <w:tcW w:w="686"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5</w:t>
            </w:r>
          </w:p>
        </w:tc>
        <w:tc>
          <w:tcPr>
            <w:tcW w:w="838"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智慧一体机</w:t>
            </w:r>
          </w:p>
        </w:tc>
        <w:tc>
          <w:tcPr>
            <w:tcW w:w="6789" w:type="dxa"/>
            <w:vAlign w:val="center"/>
          </w:tcPr>
          <w:p>
            <w:pPr>
              <w:jc w:val="left"/>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一、整机系统要求</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1、采用LED背光原装液晶显示屏，屏体级别：A规屏，显示尺寸≥86英寸，显示比例16:9，物理分辨率：3840×2160，屏体亮度≤400cd/㎡（Typ），最大可视角度：178°(H)/ 178°(V)。</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2、</w:t>
            </w:r>
            <w:r>
              <w:rPr>
                <w:rFonts w:hint="eastAsia" w:ascii="宋体" w:hAnsi="宋体" w:cs="宋体"/>
                <w:color w:val="auto"/>
                <w:sz w:val="18"/>
                <w:szCs w:val="18"/>
                <w:highlight w:val="none"/>
              </w:rPr>
              <w:t>▲</w:t>
            </w:r>
            <w:r>
              <w:rPr>
                <w:rFonts w:hint="eastAsia" w:ascii="微软雅黑" w:hAnsi="微软雅黑" w:eastAsia="微软雅黑" w:cs="微软雅黑"/>
                <w:color w:val="auto"/>
                <w:sz w:val="18"/>
                <w:szCs w:val="18"/>
                <w:highlight w:val="none"/>
                <w:lang w:bidi="en-US"/>
              </w:rPr>
              <w:t>自带嵌入式 Android8.0 或以上系统，内存2GB 以上，存储16GB 以上，在该系统下可实现白板书写、Office 软件使用、多媒体播放、网页浏览等功能，与内置电脑形成双操作系统安全备用，方便老师操作。</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3、在嵌入式操作系统下，能对多媒体 USB 所读取到的课件文件进行自动归类，可快速分类查找音乐、视频、图片等文件，检索后可直接在界面中打开。</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 xml:space="preserve">4、整机采用红外触控技术，全包边设计，安全无锐角。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5、手势板擦：在嵌入式系统下白板须实现多点书写状态下识别拳头或手掌为板擦，且能够实现根据接触面积识别手势板擦的大小。</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en-US"/>
              </w:rPr>
              <w:t>6、整机在任意通道下，可通过整机两侧快捷图标迅速调出侧拉菜单，且菜单调取及操作各功能触摸速度小于 1s，响应无延迟，菜单具有返回操作、一键主页、任务管理、音量加减、一键白板、全通道屏幕批注、信源通道选择等功能。</w:t>
            </w:r>
            <w:r>
              <w:rPr>
                <w:rFonts w:hint="eastAsia" w:ascii="微软雅黑" w:hAnsi="微软雅黑" w:eastAsia="微软雅黑" w:cs="微软雅黑"/>
                <w:color w:val="auto"/>
                <w:sz w:val="18"/>
                <w:szCs w:val="18"/>
                <w:highlight w:val="none"/>
              </w:rPr>
              <w:t xml:space="preserve">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7、智能待机唤醒：脱离遥控器及实体按键，实现触摸式节能待机及轻敲唤醒（防止按键损坏和遥控丢失）。</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en-US"/>
              </w:rPr>
              <w:t>8、系统自带一键自检功能，无需借助 PC，可通过一键点击的方式检测整机温度、触控模块、OPS 模块、网络连接、系统空间、光感模块、处理器是否功能完好，检测后快速反馈检测结果。</w:t>
            </w:r>
            <w:r>
              <w:rPr>
                <w:rFonts w:hint="eastAsia" w:ascii="微软雅黑" w:hAnsi="微软雅黑" w:eastAsia="微软雅黑" w:cs="微软雅黑"/>
                <w:color w:val="auto"/>
                <w:sz w:val="18"/>
                <w:szCs w:val="18"/>
                <w:highlight w:val="none"/>
              </w:rPr>
              <w:t xml:space="preserve">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9、产品具有基于硬件自身的智能化设计，可智能感应环境光和灯光变化并自动调节屏幕亮度来达到在不同光照环境下的最佳显示效果，有效保护师生视力的同时强化节能功能。</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 xml:space="preserve">10、产品外接电脑时，可自动识别信号源，并且可供用户选择是否切换输入信号源画面，不接受强制切换。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11、信号源记忆功能：设备可设置开机默认通道，在任意通道关机时可实现设置的默认通道开机，也可设置关机信号源记忆为开机开机信号源功能。</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 xml:space="preserve">12、单独听功能：在黑屏的状态下，可以正常输出音频内容。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13、智能温度监控：整机具有温度保护，温度过高时整机自动关机，保护整机。</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14、交互白板需具有快捷悬浮菜单，可通过悬浮菜单快速进行Windows系统和Android系统的切换，同时也支持自定义相关快捷键的功能选择。</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15、整机采用防眩光、防划伤钢化玻璃，需符合防眩光和防划伤钢化玻璃的相关要求。</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16、交互白板前置物理功能按键不少于6个，从而让老师可以更方便的进行操作，同时需不少于3个双通道USB接口（Windows和Android系统均能被识别，无需分区）、HDMI*1(非转接)，接口有丝印标识。</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17、包含 2.4G&amp;5G 双频WIFI及蓝牙 4.0 接发装置，Android 与 Windows 均可无线上网。</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18、内置Android系统和Windows系统，且在Android系统下支持10点触控，Windows系统下支持至少20点的触控。</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19、产品具有内置音箱设计结构，运用环境自适应扩声原理，保证高品质的音质效果，输出功率≥15W*2。</w:t>
            </w:r>
          </w:p>
          <w:p>
            <w:pPr>
              <w:jc w:val="left"/>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二、电脑配置：</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1、采用Intel通用80pin接口，易拆卸维修。CPU采用Intel酷睿第九代I5处理器（CPU 9400）；内存：8G DDR4；硬盘：256G SSD；具备6个USB接口（其中至少包含4路USB3.0接口）；具有独立非外扩展的视频输出接口：≥1路HDMI ；≥1路DP等。</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2、标配正版Windows10操作系统。</w:t>
            </w:r>
          </w:p>
          <w:p>
            <w:pPr>
              <w:pStyle w:val="38"/>
              <w:ind w:firstLine="0" w:firstLineChars="0"/>
              <w:rPr>
                <w:rFonts w:ascii="微软雅黑" w:hAnsi="微软雅黑" w:eastAsia="微软雅黑" w:cs="微软雅黑"/>
                <w:color w:val="auto"/>
                <w:sz w:val="18"/>
                <w:szCs w:val="18"/>
                <w:highlight w:val="none"/>
                <w:lang w:eastAsia="en-US" w:bidi="en-US"/>
              </w:rPr>
            </w:pPr>
            <w:r>
              <w:rPr>
                <w:rFonts w:hint="eastAsia" w:ascii="微软雅黑" w:hAnsi="微软雅黑" w:eastAsia="微软雅黑" w:cs="微软雅黑"/>
                <w:color w:val="auto"/>
                <w:sz w:val="18"/>
                <w:szCs w:val="18"/>
                <w:highlight w:val="none"/>
                <w:lang w:bidi="en-US"/>
              </w:rPr>
              <w:t>3、标配正版Office 365。（正版Office办公软件，包含Outlook，Access组件支持多语言、支持AI-powered创意功能、支持Android平台编辑功能）</w:t>
            </w:r>
          </w:p>
          <w:p>
            <w:pPr>
              <w:jc w:val="left"/>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三、电子白板（交互备授课系统软件）</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1、书写：支持20点同时书写，可自由选择笔颜色及粗细。</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2、支持多点擦除。</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3、可自定义批注白板界面下的功能菜单，用拖拽的方式增加或减少功能键。</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4、资源库功能：可一键调用各学科的本地资源。</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5、文本框：支持文本输入并可快速设置字体、大小、颜色 、粗体、斜体、下划线、项目符号，方便文本的输入。可对文本的对齐、缩进 、行供备课使用高等进行设置，提供不少于20 种以上预设字体选择。</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6、基础笔画：支持铅笔、荧光笔、毛笔、文理笔、智能笔、图案笔。其中文理笔预设19种文理，智能笔可将绘制的图案变成规则的多边形以及曲边形图形，图案笔预设10种图案供使用。</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7、辅助工具：可以使用辅助工具里面的放大镜、探照灯、遮幕等常用工具，提供直尺、三角尺、量角器、圆规、等数学工具。</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8、插入对象：图片支持PNG/BMP/JPG/JPEG等格式的插入，文本支持doc/docx/ppt/pptx等格式的插入</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9、板中板：支持调用板中板辅助教学，可直接批注及加页不影响课件主画面。</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10、可直接切换到电脑桌面，方便老师使用桌面的教学资源。</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11、橡笔擦：支持对象擦、点擦除、清除页面三种模式。</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12、可提供不同颜色的白板页、也可根据教学需求，设置页面背景模板，提供田字格、五线谱等学科页面模板。</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13、直接调用高拍仪实现静态截取，对截取的内容进行放大、旋转等操作。可查看添加的白板页面。</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14、支持页面回放功能。无需进行手动开始录制，就可以对选中的任何页面进行页面的回放。</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15、支持屏幕录制功能，可将操作过程及板书内容，录制为视频并进行保存。</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16、透明页：实现书写与鼠标的一键切换，透明页悬浮按钮有调用U盘功能，可快捷一键打开U盘。</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17、PPT批注跟随功能:从平台打开PPT，授课时的批注可跟随当页的PPT同时进行翻页，关闭PPT后，无需任何操作批注自动清除，不对原先PPT课件造成影响。</w:t>
            </w:r>
          </w:p>
        </w:tc>
        <w:tc>
          <w:tcPr>
            <w:tcW w:w="686"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6</w:t>
            </w:r>
          </w:p>
        </w:tc>
        <w:tc>
          <w:tcPr>
            <w:tcW w:w="838"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地面地毯</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商用方块地毯，纯色拼接（约76平方）</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主要成分：环保、无味热熔胶，表层面料100%聚酯纤维。</w:t>
            </w:r>
          </w:p>
          <w:p>
            <w:pPr>
              <w:pStyle w:val="39"/>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特点：GB/B2级阻燃，柔韧性和防滑，底背稍硬，隔音，承压能力强。</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间</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p>
        </w:tc>
        <w:tc>
          <w:tcPr>
            <w:tcW w:w="6789"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b/>
                <w:bCs/>
                <w:color w:val="auto"/>
                <w:sz w:val="18"/>
                <w:szCs w:val="18"/>
                <w:highlight w:val="none"/>
              </w:rPr>
              <w:t>二、名师工作坊（33.44 m</w:t>
            </w:r>
            <w:r>
              <w:rPr>
                <w:rFonts w:hint="eastAsia" w:ascii="微软雅黑" w:hAnsi="微软雅黑" w:eastAsia="微软雅黑" w:cs="微软雅黑"/>
                <w:b/>
                <w:bCs/>
                <w:color w:val="auto"/>
                <w:sz w:val="18"/>
                <w:szCs w:val="18"/>
                <w:highlight w:val="none"/>
                <w:vertAlign w:val="superscript"/>
              </w:rPr>
              <w:t>2</w:t>
            </w:r>
            <w:r>
              <w:rPr>
                <w:rFonts w:hint="eastAsia" w:ascii="微软雅黑" w:hAnsi="微软雅黑" w:eastAsia="微软雅黑" w:cs="微软雅黑"/>
                <w:b/>
                <w:bCs/>
                <w:color w:val="auto"/>
                <w:sz w:val="18"/>
                <w:szCs w:val="18"/>
                <w:highlight w:val="none"/>
              </w:rPr>
              <w:t>）</w:t>
            </w:r>
          </w:p>
        </w:tc>
        <w:tc>
          <w:tcPr>
            <w:tcW w:w="686" w:type="dxa"/>
            <w:vAlign w:val="center"/>
          </w:tcPr>
          <w:p>
            <w:pPr>
              <w:jc w:val="center"/>
              <w:rPr>
                <w:rFonts w:ascii="微软雅黑" w:hAnsi="微软雅黑" w:eastAsia="微软雅黑" w:cs="微软雅黑"/>
                <w:color w:val="auto"/>
                <w:sz w:val="18"/>
                <w:szCs w:val="18"/>
                <w:highlight w:val="none"/>
              </w:rPr>
            </w:pPr>
          </w:p>
        </w:tc>
        <w:tc>
          <w:tcPr>
            <w:tcW w:w="728" w:type="dxa"/>
            <w:vAlign w:val="center"/>
          </w:tcPr>
          <w:p>
            <w:pPr>
              <w:jc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电脑桌椅</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尺寸：1.6*600*750cm；</w:t>
            </w:r>
            <w:r>
              <w:rPr>
                <w:rFonts w:hint="eastAsia" w:ascii="微软雅黑" w:hAnsi="微软雅黑" w:eastAsia="微软雅黑" w:cs="微软雅黑"/>
                <w:color w:val="auto"/>
                <w:kern w:val="0"/>
                <w:sz w:val="18"/>
                <w:szCs w:val="18"/>
                <w:highlight w:val="none"/>
              </w:rPr>
              <w:t>主体采用 30*30*1.2mm方管，底脚配有内藏式调节脚，所有钢件酸洗磷化高温静电喷涂，高光白色，桌面采用E1 级 25mm厚三聚氰胺贴面板，2mmPVC封边；配挡板、主机架及活动柜，中背转椅 1、面料：采用透气网布饰面，纹路细致、色泽均匀，手感柔软、细腻、有韧性；富有弹性，耐磨性强，阻燃，做防污、防污处理，清洁方便。 2、座海棉：采用中密度定型阻燃PU泡棉，坐面密度 40kg/m³。厚实、弹性好。3、气压棒：采用优质气棒，气棒材质为精密冷压钢管；承重力达 280KG. 4、转椅轮盘及万向轮：选用优质吸盘。5、升降，及PU扶手。6、结构部件之间采用优质金属连接件。</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电脑</w:t>
            </w:r>
          </w:p>
        </w:tc>
        <w:tc>
          <w:tcPr>
            <w:tcW w:w="6789" w:type="dxa"/>
            <w:vAlign w:val="center"/>
          </w:tcPr>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zh-CN"/>
              </w:rPr>
              <w:t>商用台式计算机，机箱</w:t>
            </w:r>
            <w:r>
              <w:rPr>
                <w:rFonts w:hint="eastAsia" w:ascii="微软雅黑" w:hAnsi="微软雅黑" w:eastAsia="微软雅黑" w:cs="微软雅黑"/>
                <w:color w:val="auto"/>
                <w:sz w:val="18"/>
                <w:szCs w:val="18"/>
                <w:highlight w:val="none"/>
              </w:rPr>
              <w:t>≤14.8L</w:t>
            </w:r>
            <w:r>
              <w:rPr>
                <w:rFonts w:hint="eastAsia" w:ascii="微软雅黑" w:hAnsi="微软雅黑" w:eastAsia="微软雅黑" w:cs="微软雅黑"/>
                <w:color w:val="auto"/>
                <w:sz w:val="18"/>
                <w:szCs w:val="18"/>
                <w:highlight w:val="none"/>
                <w:lang w:val="zh-CN"/>
              </w:rPr>
              <w:t>升，内置音响</w:t>
            </w:r>
          </w:p>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zh-CN"/>
              </w:rPr>
              <w:t xml:space="preserve">主板：Intel </w:t>
            </w:r>
            <w:r>
              <w:rPr>
                <w:rFonts w:hint="eastAsia" w:ascii="微软雅黑" w:hAnsi="微软雅黑" w:eastAsia="微软雅黑" w:cs="微软雅黑"/>
                <w:color w:val="auto"/>
                <w:sz w:val="18"/>
                <w:szCs w:val="18"/>
                <w:highlight w:val="none"/>
              </w:rPr>
              <w:t>B</w:t>
            </w:r>
            <w:r>
              <w:rPr>
                <w:rFonts w:hint="eastAsia" w:ascii="微软雅黑" w:hAnsi="微软雅黑" w:eastAsia="微软雅黑" w:cs="微软雅黑"/>
                <w:color w:val="auto"/>
                <w:sz w:val="18"/>
                <w:szCs w:val="18"/>
                <w:highlight w:val="none"/>
                <w:lang w:val="zh-CN"/>
              </w:rPr>
              <w:t>系列</w:t>
            </w:r>
            <w:r>
              <w:rPr>
                <w:rFonts w:hint="eastAsia" w:ascii="微软雅黑" w:hAnsi="微软雅黑" w:eastAsia="微软雅黑" w:cs="微软雅黑"/>
                <w:color w:val="auto"/>
                <w:sz w:val="18"/>
                <w:szCs w:val="18"/>
                <w:highlight w:val="none"/>
              </w:rPr>
              <w:t>芯片组</w:t>
            </w:r>
          </w:p>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zh-CN"/>
              </w:rPr>
              <w:t>CPU:  英特尔</w:t>
            </w:r>
            <w:r>
              <w:rPr>
                <w:rFonts w:hint="eastAsia" w:ascii="微软雅黑" w:hAnsi="微软雅黑" w:eastAsia="微软雅黑" w:cs="微软雅黑"/>
                <w:color w:val="auto"/>
                <w:sz w:val="18"/>
                <w:szCs w:val="18"/>
                <w:highlight w:val="none"/>
              </w:rPr>
              <w:t>I5-7500</w:t>
            </w:r>
          </w:p>
          <w:p>
            <w:pPr>
              <w:pStyle w:val="12"/>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lang w:val="zh-CN"/>
              </w:rPr>
              <w:t>内存：≥4G DDR4</w:t>
            </w:r>
          </w:p>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zh-CN"/>
              </w:rPr>
              <w:t xml:space="preserve">硬盘：≥1TB SATA </w:t>
            </w:r>
            <w:r>
              <w:rPr>
                <w:rFonts w:hint="eastAsia" w:ascii="微软雅黑" w:hAnsi="微软雅黑" w:eastAsia="微软雅黑" w:cs="微软雅黑"/>
                <w:color w:val="auto"/>
                <w:sz w:val="18"/>
                <w:szCs w:val="18"/>
                <w:highlight w:val="none"/>
              </w:rPr>
              <w:t xml:space="preserve"> </w:t>
            </w:r>
            <w:r>
              <w:rPr>
                <w:rFonts w:hint="eastAsia" w:ascii="微软雅黑" w:hAnsi="微软雅黑" w:eastAsia="微软雅黑" w:cs="微软雅黑"/>
                <w:color w:val="auto"/>
                <w:sz w:val="18"/>
                <w:szCs w:val="18"/>
                <w:highlight w:val="none"/>
                <w:lang w:val="zh-CN"/>
              </w:rPr>
              <w:t>硬盘，</w:t>
            </w:r>
            <w:r>
              <w:rPr>
                <w:rFonts w:hint="eastAsia" w:ascii="微软雅黑" w:hAnsi="微软雅黑" w:eastAsia="微软雅黑" w:cs="微软雅黑"/>
                <w:color w:val="auto"/>
                <w:sz w:val="18"/>
                <w:szCs w:val="18"/>
                <w:highlight w:val="none"/>
              </w:rPr>
              <w:t>支持3块(1个3.5寸和2个2.5寸)硬盘，提供3年硬盘不返回服务。</w:t>
            </w:r>
          </w:p>
          <w:p>
            <w:pPr>
              <w:pStyle w:val="12"/>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lang w:val="zh-CN"/>
              </w:rPr>
              <w:t>声卡：高清音频声卡</w:t>
            </w:r>
            <w:r>
              <w:rPr>
                <w:rFonts w:hint="eastAsia" w:ascii="微软雅黑" w:hAnsi="微软雅黑" w:eastAsia="微软雅黑" w:cs="微软雅黑"/>
                <w:color w:val="auto"/>
                <w:sz w:val="18"/>
                <w:szCs w:val="18"/>
                <w:highlight w:val="none"/>
              </w:rPr>
              <w:t xml:space="preserve"> </w:t>
            </w:r>
          </w:p>
          <w:p>
            <w:pPr>
              <w:pStyle w:val="12"/>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lang w:val="zh-CN"/>
              </w:rPr>
              <w:t>网卡：主板集成千兆以上网卡</w:t>
            </w:r>
          </w:p>
          <w:p>
            <w:pPr>
              <w:pStyle w:val="12"/>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lang w:val="zh-CN"/>
              </w:rPr>
              <w:t xml:space="preserve">键盘鼠标：USB键盘鼠标同品牌 </w:t>
            </w:r>
          </w:p>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zh-CN"/>
              </w:rPr>
              <w:t>电源：</w:t>
            </w:r>
            <w:r>
              <w:rPr>
                <w:rFonts w:hint="eastAsia" w:ascii="微软雅黑" w:hAnsi="微软雅黑" w:eastAsia="微软雅黑" w:cs="微软雅黑"/>
                <w:color w:val="auto"/>
                <w:sz w:val="18"/>
                <w:szCs w:val="18"/>
                <w:highlight w:val="none"/>
              </w:rPr>
              <w:t>≥240W；</w:t>
            </w:r>
          </w:p>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集成</w:t>
            </w:r>
            <w:r>
              <w:rPr>
                <w:rFonts w:hint="eastAsia" w:ascii="微软雅黑" w:hAnsi="微软雅黑" w:eastAsia="微软雅黑" w:cs="微软雅黑"/>
                <w:color w:val="auto"/>
                <w:sz w:val="18"/>
                <w:szCs w:val="18"/>
                <w:highlight w:val="none"/>
                <w:lang w:val="zh-CN"/>
              </w:rPr>
              <w:t>接口：不少于8 个 USB 端口：4 个USB 3.1 端口（2 个前置，2 个后置）和 4 个 USB 2.0 端口（2 个前置，2 个后置），1个HDMI,1个</w:t>
            </w:r>
            <w:r>
              <w:rPr>
                <w:rFonts w:hint="eastAsia" w:ascii="微软雅黑" w:hAnsi="微软雅黑" w:eastAsia="微软雅黑" w:cs="微软雅黑"/>
                <w:color w:val="auto"/>
                <w:sz w:val="18"/>
                <w:szCs w:val="18"/>
                <w:highlight w:val="none"/>
              </w:rPr>
              <w:t>DP，1个VGA</w:t>
            </w:r>
            <w:r>
              <w:rPr>
                <w:rFonts w:hint="eastAsia" w:ascii="微软雅黑" w:hAnsi="微软雅黑" w:eastAsia="微软雅黑" w:cs="微软雅黑"/>
                <w:color w:val="auto"/>
                <w:sz w:val="18"/>
                <w:szCs w:val="18"/>
                <w:highlight w:val="none"/>
                <w:lang w:val="zh-CN"/>
              </w:rPr>
              <w:t>；</w:t>
            </w:r>
            <w:r>
              <w:rPr>
                <w:rFonts w:hint="eastAsia" w:ascii="微软雅黑" w:hAnsi="微软雅黑" w:eastAsia="微软雅黑" w:cs="微软雅黑"/>
                <w:color w:val="auto"/>
                <w:sz w:val="18"/>
                <w:szCs w:val="18"/>
                <w:highlight w:val="none"/>
              </w:rPr>
              <w:t>1个M.2接口；1个全高 PCIe x16；</w:t>
            </w:r>
          </w:p>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zh-CN"/>
              </w:rPr>
              <w:t>显示器：同品牌</w:t>
            </w:r>
            <w:r>
              <w:rPr>
                <w:rFonts w:hint="eastAsia" w:ascii="微软雅黑" w:hAnsi="微软雅黑" w:eastAsia="微软雅黑" w:cs="微软雅黑"/>
                <w:color w:val="auto"/>
                <w:sz w:val="18"/>
                <w:szCs w:val="18"/>
                <w:highlight w:val="none"/>
              </w:rPr>
              <w:t>19</w:t>
            </w:r>
            <w:r>
              <w:rPr>
                <w:rFonts w:hint="eastAsia" w:ascii="微软雅黑" w:hAnsi="微软雅黑" w:eastAsia="微软雅黑" w:cs="微软雅黑"/>
                <w:color w:val="auto"/>
                <w:sz w:val="18"/>
                <w:szCs w:val="18"/>
                <w:highlight w:val="none"/>
                <w:lang w:val="zh-CN"/>
              </w:rPr>
              <w:t>.5英寸商用显示器，支持VGA、DisplayPort 1.2，带高清DP数据线。</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台</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办公打印机</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A4黑白打印/复印/扫描多功能一体机</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首页输出：8.3秒(A4，就绪模式)/18秒(A4，睡眠模式);月打印负荷：最高 10000 页，推荐月打印量100~2000页;打印精度: 最佳模式：高达1200x1200dpi，正常模式：高达600x600dpi;打印语言:GDI(基于主机语言);打印速度:20页/分钟;显示屏:双行液晶显示屏，12个按钮，LED指示灯;处理器速度:600 MHz;内存: 128MB;纸张处理：进纸盒：150页；出纸盒：100页;介质重量：60～163克/平方；复印速度:正常模式、A4：高达 20 份/分钟;首页复印输出时间黑白(A4)：仅8.9秒；黑白(A4，睡眠模式)：最快17秒;复印缩小/放大设置:25% 到 400%;复印量（最大）:高达 99 份; 扫描类型：平板；硬件：高达4,800x4,800dpi；光学分辨率：高达600x600dpi；增强：高达4,800x4,800dpi; 最大扫描尺寸：216x297毫米；灰度级：256；位深：8位(黑白)；16位(彩色)；接口:高速USB 2.0端口，无线802.11 b/g/n；预装黑色硒鼓(1500页)</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耗材类型：鼓粉一体。</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台</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文件柜</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尺寸：1850*400*850mm优质钢板，表面喷塑，板材厚度大于0.8mm,四开门，上玻璃门作品展示用，下铁门储物柜用，配备防盗锁。</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组</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休闲沙发</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规格：1380mm*740mm*730mm </w:t>
            </w:r>
          </w:p>
          <w:p>
            <w:pPr>
              <w:pStyle w:val="39"/>
              <w:numPr>
                <w:ilvl w:val="0"/>
                <w:numId w:val="5"/>
              </w:num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面料：采用西皮，纹路细致，色泽均匀，手感柔软、细腻、有韧性；</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2、海棉：采用高密度阻燃裁切海棉，座垫密度大于45kg/m2㎡，并用 软中硬多层叠加，增加舒适度，回弹率≥40%。</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张</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茶几</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规格：1200mm*600mm*450mm 采用AAA级胡桃木木皮(厚度≥0.6mm)；平整度0.05mm，木皮双面光滑平直，颜 色、厚度均匀；木纹清晰、美观；经防虫防腐处理,具有很好的油漆与染料的保 持能力及尺寸稳定性。</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个</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p>
        </w:tc>
        <w:tc>
          <w:tcPr>
            <w:tcW w:w="6789"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b/>
                <w:bCs/>
                <w:color w:val="auto"/>
                <w:sz w:val="18"/>
                <w:szCs w:val="18"/>
                <w:highlight w:val="none"/>
              </w:rPr>
              <w:t>三、创业能力测评中心（66.88 m</w:t>
            </w:r>
            <w:r>
              <w:rPr>
                <w:rFonts w:hint="eastAsia" w:ascii="微软雅黑" w:hAnsi="微软雅黑" w:eastAsia="微软雅黑" w:cs="微软雅黑"/>
                <w:b/>
                <w:bCs/>
                <w:color w:val="auto"/>
                <w:sz w:val="18"/>
                <w:szCs w:val="18"/>
                <w:highlight w:val="none"/>
                <w:vertAlign w:val="superscript"/>
              </w:rPr>
              <w:t>2</w:t>
            </w:r>
            <w:r>
              <w:rPr>
                <w:rFonts w:hint="eastAsia" w:ascii="微软雅黑" w:hAnsi="微软雅黑" w:eastAsia="微软雅黑" w:cs="微软雅黑"/>
                <w:b/>
                <w:bCs/>
                <w:color w:val="auto"/>
                <w:sz w:val="18"/>
                <w:szCs w:val="18"/>
                <w:highlight w:val="none"/>
              </w:rPr>
              <w:t>）</w:t>
            </w:r>
          </w:p>
        </w:tc>
        <w:tc>
          <w:tcPr>
            <w:tcW w:w="686" w:type="dxa"/>
            <w:vAlign w:val="center"/>
          </w:tcPr>
          <w:p>
            <w:pPr>
              <w:jc w:val="center"/>
              <w:rPr>
                <w:rFonts w:ascii="微软雅黑" w:hAnsi="微软雅黑" w:eastAsia="微软雅黑" w:cs="微软雅黑"/>
                <w:color w:val="auto"/>
                <w:sz w:val="18"/>
                <w:szCs w:val="18"/>
                <w:highlight w:val="none"/>
              </w:rPr>
            </w:pPr>
          </w:p>
        </w:tc>
        <w:tc>
          <w:tcPr>
            <w:tcW w:w="728" w:type="dxa"/>
            <w:vAlign w:val="center"/>
          </w:tcPr>
          <w:p>
            <w:pPr>
              <w:jc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小组讨论桌椅组合</w:t>
            </w:r>
          </w:p>
        </w:tc>
        <w:tc>
          <w:tcPr>
            <w:tcW w:w="6789" w:type="dxa"/>
            <w:vAlign w:val="center"/>
          </w:tcPr>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创意桌椅：</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规格1500*900*750mm；</w:t>
            </w:r>
          </w:p>
          <w:p>
            <w:pPr>
              <w:numPr>
                <w:ilvl w:val="0"/>
                <w:numId w:val="6"/>
              </w:num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sz w:val="18"/>
                <w:szCs w:val="18"/>
                <w:highlight w:val="none"/>
              </w:rPr>
              <w:t>基材：采用中密度板，板材厚度为20mm,达国家E1级环保标准， 含水率在10%；2、油漆采用 “五底三面”工艺处理，哑光聚脂漆，（PU）成份，为聚胺酯，可以第二次修补，耐压，硬度3.5H。白色仿皮漆。</w:t>
            </w:r>
          </w:p>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sz w:val="18"/>
                <w:szCs w:val="18"/>
                <w:highlight w:val="none"/>
              </w:rPr>
              <w:t>3、支架：采用优质加重型圆盘脚或方管稳定性好，台面四边采用倒斜边处理，</w:t>
            </w:r>
            <w:r>
              <w:rPr>
                <w:rFonts w:hint="eastAsia" w:ascii="微软雅黑" w:hAnsi="微软雅黑" w:eastAsia="微软雅黑" w:cs="微软雅黑"/>
                <w:color w:val="auto"/>
                <w:kern w:val="0"/>
                <w:sz w:val="18"/>
                <w:szCs w:val="18"/>
                <w:highlight w:val="none"/>
              </w:rPr>
              <w:t>采用氟碳喷涂工艺处理,美观大方，经久耐用。</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4、泡棉：座椅内部采用高密度一次成型阻燃泡绵，密度40度，表面涂有防止老化变形的保护膜。</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会议桌椅</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尺寸：1800*600*750mm，主体采用50*50*1.2mm方管，底脚配有内藏式调节脚，所有钢件酸洗磷化高温静电喷涂，高光白色，桌面采用E1级25mm厚三聚氰胺贴面板，2mmPVC封边；配挡板、主机架及活动柜，</w:t>
            </w:r>
            <w:r>
              <w:rPr>
                <w:rFonts w:hint="eastAsia" w:ascii="微软雅黑" w:hAnsi="微软雅黑" w:eastAsia="微软雅黑" w:cs="微软雅黑"/>
                <w:color w:val="auto"/>
                <w:kern w:val="0"/>
                <w:sz w:val="18"/>
                <w:szCs w:val="18"/>
                <w:highlight w:val="none"/>
              </w:rPr>
              <w:t>中背转椅1、面料：采用透气网布饰面，纹路细致、色泽均匀，手感柔软、细腻、有韧性；富有弹性，耐磨性强，阻燃，做防污、防污处理，清洁方便。 2、气压棒：采用优质气棒，气棒材质为精密冷压钢管；承重力达280KG. 3、转椅轮盘及万向轮：选用优质吸盘。4、升降，及PU扶手。5、结构部件之间采用优质金属连接件。</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红外触摸一体机</w:t>
            </w:r>
          </w:p>
        </w:tc>
        <w:tc>
          <w:tcPr>
            <w:tcW w:w="6789" w:type="dxa"/>
            <w:vAlign w:val="center"/>
          </w:tcPr>
          <w:p>
            <w:pPr>
              <w:jc w:val="left"/>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一、整机系统要求</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1、采用LED背光原装液晶显示屏，屏体级别：A规屏，显示尺寸≥86英寸，显示比例16:9，物理分辨率：3840×2160，屏体亮度≤400cd/㎡（Typ），最大可视角度：178°(H)/ 178°(V)。</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2、</w:t>
            </w:r>
            <w:r>
              <w:rPr>
                <w:rFonts w:hint="eastAsia" w:ascii="宋体" w:hAnsi="宋体" w:cs="宋体"/>
                <w:color w:val="auto"/>
                <w:sz w:val="18"/>
                <w:szCs w:val="18"/>
                <w:highlight w:val="none"/>
              </w:rPr>
              <w:t>▲</w:t>
            </w:r>
            <w:r>
              <w:rPr>
                <w:rFonts w:hint="eastAsia" w:ascii="微软雅黑" w:hAnsi="微软雅黑" w:eastAsia="微软雅黑" w:cs="微软雅黑"/>
                <w:color w:val="auto"/>
                <w:sz w:val="18"/>
                <w:szCs w:val="18"/>
                <w:highlight w:val="none"/>
                <w:lang w:bidi="en-US"/>
              </w:rPr>
              <w:t>自带嵌入式 Android8.0 或以上系统，内存 2GB 以上，存储16GB 以上，在该系统下可实现白板书写、Office 软件使用、多媒体播放、网页浏览等功能，与内置电脑形成双操作系统安全备用，方便老师操作。</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3、在嵌入式操作系统下，能对多媒体 USB 所读取到的课件文件进行自动归类，可快速分类查找音乐、视频、图片等文件，检索后可直接在界面中打开。</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4、整机采用红外触控技术，全包边设计，安全无锐角。</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 xml:space="preserve">5、手势板擦：在嵌入式系统下白板须实现多点书写状态下识别拳头或手掌为板擦，且能够实现根据接触面积识别手势板擦的大小。 </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en-US"/>
              </w:rPr>
              <w:t>6、整机在任意通道下，可通过整机两侧快捷图标迅速调出侧拉菜单，且菜单调取及操作各功能触摸速度小于 1s，响应无延迟，菜单具有返回操作、一键主页、任务管理、音量加减、一键白板、全通道屏幕批注、信源通道选择等功能。</w:t>
            </w:r>
            <w:r>
              <w:rPr>
                <w:rFonts w:hint="eastAsia" w:ascii="微软雅黑" w:hAnsi="微软雅黑" w:eastAsia="微软雅黑" w:cs="微软雅黑"/>
                <w:color w:val="auto"/>
                <w:sz w:val="18"/>
                <w:szCs w:val="18"/>
                <w:highlight w:val="none"/>
              </w:rPr>
              <w:t xml:space="preserve">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7、智能待机唤醒：脱离遥控器及实体按键，实现触摸式节能待机及轻敲唤醒（防止按键损坏和遥控丢失）。</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en-US"/>
              </w:rPr>
              <w:t>8、系统自带一键自检功能，无需借助 PC，可通过一键点击的方式检测整机温度、触控模块、OPS 模块、网络连接、系统空间、光感模块、处理器是否功能完好，检测后快速反馈检测结果。</w:t>
            </w:r>
            <w:r>
              <w:rPr>
                <w:rFonts w:hint="eastAsia" w:ascii="微软雅黑" w:hAnsi="微软雅黑" w:eastAsia="微软雅黑" w:cs="微软雅黑"/>
                <w:color w:val="auto"/>
                <w:sz w:val="18"/>
                <w:szCs w:val="18"/>
                <w:highlight w:val="none"/>
              </w:rPr>
              <w:t xml:space="preserve">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9、产品具有基于硬件自身的智能化设计，可智能感应环境光和灯光变化并自动调节屏幕亮度来达到在不同光照环境下的最佳显示效果，有效保护师生视力的同时强化节能功能。</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 xml:space="preserve">10、产品外接电脑时，可自动识别信号源，并且可供用户选择是否切换输入信号源画面，不接受强制切换。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11、信号源记忆功能：设备可设置开机默认通道，在任意通道关机时可实现设置的默认通道开机，也可设置关机信号源记忆为开机开机信号源功能。</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 xml:space="preserve">12、单独听功能：在黑屏的状态下，可以正常输出音频内容。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13、智能温度监控：整机具有温度保护，温度过高时整机自动关机，保护整机。</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14、交互白板需具有快捷悬浮菜单，可通过悬浮菜单快速进行Windows系统和Android系统的切换，同时也支持自定义相关快捷键的功能选择。</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15、整机采用防眩光、防划伤钢化玻璃，需符合防眩光和防划伤钢化玻璃的相关要求。</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16、交互白板前置物理功能按键不少于6个，从而让老师可以更方便的进行操作，同时需不少于3个双通道USB接口（Windows和Android系统均能被识别，无需分区）、HDMI*1(非转接)，接口有丝印标识。</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17、包含 2.4G&amp;5G 双频WIFI及蓝牙 4.0 接发装置，Android 与 Windows 均可无线上网。</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18、内置Android系统和Windows系统，且在Android系统下支持10点触控，Windows系统下支持至少20点的触控。</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19、产品具有内置音箱设计结构，运用环境自适应扩声原理，保证高品质的音质效果，输出功率≥15W*2。</w:t>
            </w:r>
          </w:p>
          <w:p>
            <w:pPr>
              <w:jc w:val="left"/>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二、电脑配置（配置可定制）</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w:t>
            </w:r>
            <w:r>
              <w:rPr>
                <w:rFonts w:hint="eastAsia" w:ascii="宋体" w:hAnsi="宋体" w:cs="宋体"/>
                <w:color w:val="auto"/>
                <w:sz w:val="18"/>
                <w:szCs w:val="18"/>
                <w:highlight w:val="none"/>
              </w:rPr>
              <w:t>▲</w:t>
            </w:r>
            <w:r>
              <w:rPr>
                <w:rFonts w:hint="eastAsia" w:ascii="微软雅黑" w:hAnsi="微软雅黑" w:eastAsia="微软雅黑" w:cs="微软雅黑"/>
                <w:color w:val="auto"/>
                <w:sz w:val="18"/>
                <w:szCs w:val="18"/>
                <w:highlight w:val="none"/>
                <w:lang w:bidi="en-US"/>
              </w:rPr>
              <w:t>采用Intel通用80pin接口，易拆卸维修。CPU采用Intel酷睿第九代I5处理器（CPU 9400）；内存：8G DDR4；硬盘：256G SSD；具备6个USB接口（其中至少包含4路USB3.0接口）；具有独立非外扩展的视频输出接口：≥1路HDMI ；≥1路DP等。</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2、标配正版Windows10操作系统。</w:t>
            </w:r>
          </w:p>
          <w:p>
            <w:pPr>
              <w:pStyle w:val="38"/>
              <w:ind w:firstLine="0" w:firstLineChars="0"/>
              <w:rPr>
                <w:rFonts w:ascii="微软雅黑" w:hAnsi="微软雅黑" w:eastAsia="微软雅黑" w:cs="微软雅黑"/>
                <w:color w:val="auto"/>
                <w:sz w:val="18"/>
                <w:szCs w:val="18"/>
                <w:highlight w:val="none"/>
                <w:lang w:eastAsia="en-US" w:bidi="en-US"/>
              </w:rPr>
            </w:pPr>
            <w:r>
              <w:rPr>
                <w:rFonts w:hint="eastAsia" w:ascii="微软雅黑" w:hAnsi="微软雅黑" w:eastAsia="微软雅黑" w:cs="微软雅黑"/>
                <w:color w:val="auto"/>
                <w:sz w:val="18"/>
                <w:szCs w:val="18"/>
                <w:highlight w:val="none"/>
                <w:lang w:bidi="en-US"/>
              </w:rPr>
              <w:t>3、标配正版Office 365。（正版Office办公软件，包含Outlook，Access组件支持多语言、支持AI-powered创意功能、支持Android平台编辑功能）</w:t>
            </w:r>
          </w:p>
          <w:p>
            <w:pPr>
              <w:jc w:val="left"/>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三、电子白板（交互备授课系统软件）</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1、书写：支持20点同时书写，可自由选择笔颜色及粗细 ，</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2、支持多点擦除。</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3、可自定义批注白板界面下的功能菜单，用拖拽的方式增加或减少功能键。</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4、资源库功能：可一键调用各学科的本地资源。</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5、文本框：支持文本输入并可快速设置字体、大小、颜色 、粗体、斜体、下划线、项目符号，方便文本的输入。可对文本的对齐、缩进 、行供备课使用高等进行设置，提供不少于20 种以上预设字体选择。</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6、基础笔画：支持铅笔、荧光笔、毛笔、文理笔、智能笔、图案笔。其中文理笔预设19种文理，智能笔可将绘制的图案变成规则的多边形以及曲边形图形，图案笔预设10种图案供使用。</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7、辅助工具：可以使用辅助工具里面的放大镜、探照灯、遮幕等常用工具，提供直尺、三角尺、量角器、圆规、等数学工具。</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8、插入对象：图片支持PNG/BMP/JPG/JPEG等格式的插入，文本支持doc/docx/ppt/pptx等格式的插入</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9、板中板：支持调用板中板辅助教学，可直接批注及加页不影响课件主画面。</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10、可直接切换到电脑桌面，方便老师使用桌面的教学资源。</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11、橡笔擦：支持对象擦、点擦除、清除页面三种模式。</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12、可提供不同颜色的白板页、也可根据教学需求，设置页面背景模板，提供田字格、五线谱等学科页面模板。</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13、直接调用高拍仪实现静态截取，对截取的内容进行放大、旋转等操作。可查看添加的白板页面。</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14、支持页面回放功能。无需进行手动开始录制，就可以对选中的任何页面进行页面的回放。</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15、支持屏幕录制功能，可将操作过程及板书内容，录制为视频并进行保存。</w:t>
            </w:r>
          </w:p>
          <w:p>
            <w:pPr>
              <w:pStyle w:val="38"/>
              <w:ind w:firstLine="0" w:firstLineChars="0"/>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16、透明页：实现书写与鼠标的一键切换，透明页悬浮按钮有调用U盘功能，可快捷一键打开U盘。</w:t>
            </w:r>
          </w:p>
          <w:p>
            <w:pPr>
              <w:pStyle w:val="28"/>
              <w:ind w:left="270" w:hanging="270" w:hangingChars="15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en-US"/>
              </w:rPr>
              <w:t>17、PPT批注跟随功能:从平台打开PPT，授课时的批注可跟随当页的PPT同时进行翻页，关闭PPT后，无需任何操作批注自动清除，不对原先PPT课件造成影响。</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0"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lang w:bidi="en-US"/>
              </w:rPr>
              <w:t>4</w:t>
            </w:r>
          </w:p>
        </w:tc>
        <w:tc>
          <w:tcPr>
            <w:tcW w:w="838"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升级建设</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原有墙体拆除（原两间合并，拆除中间砖墙墙体；墙体规格：长800cm*厚280cm*高290cm）；垃圾清运至校外，自行处理；</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商用方块地毯：纯色拼接（约68m</w:t>
            </w:r>
            <w:r>
              <w:rPr>
                <w:rFonts w:hint="eastAsia" w:ascii="微软雅黑" w:hAnsi="微软雅黑" w:eastAsia="微软雅黑" w:cs="微软雅黑"/>
                <w:b/>
                <w:bCs/>
                <w:color w:val="auto"/>
                <w:highlight w:val="none"/>
                <w:vertAlign w:val="superscript"/>
              </w:rPr>
              <w:t>2</w:t>
            </w:r>
            <w:r>
              <w:rPr>
                <w:rFonts w:hint="eastAsia" w:ascii="微软雅黑" w:hAnsi="微软雅黑" w:eastAsia="微软雅黑" w:cs="微软雅黑"/>
                <w:color w:val="auto"/>
                <w:highlight w:val="none"/>
              </w:rPr>
              <w:t>）；</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主要成分：环保、无味热熔胶，表层面料100%聚酯纤维；</w:t>
            </w:r>
          </w:p>
          <w:p>
            <w:pPr>
              <w:pStyle w:val="39"/>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特点：GB/B2级阻燃，柔韧性和防滑，底背稍硬，隔音，承压能力强。</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间</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p>
        </w:tc>
        <w:tc>
          <w:tcPr>
            <w:tcW w:w="6789"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b/>
                <w:bCs/>
                <w:color w:val="auto"/>
                <w:sz w:val="18"/>
                <w:szCs w:val="18"/>
                <w:highlight w:val="none"/>
              </w:rPr>
              <w:t>四、创新实训室（135.52 m</w:t>
            </w:r>
            <w:r>
              <w:rPr>
                <w:rFonts w:hint="eastAsia" w:ascii="微软雅黑" w:hAnsi="微软雅黑" w:eastAsia="微软雅黑" w:cs="微软雅黑"/>
                <w:b/>
                <w:bCs/>
                <w:color w:val="auto"/>
                <w:sz w:val="18"/>
                <w:szCs w:val="18"/>
                <w:highlight w:val="none"/>
                <w:vertAlign w:val="superscript"/>
              </w:rPr>
              <w:t>2</w:t>
            </w:r>
            <w:r>
              <w:rPr>
                <w:rFonts w:hint="eastAsia" w:ascii="微软雅黑" w:hAnsi="微软雅黑" w:eastAsia="微软雅黑" w:cs="微软雅黑"/>
                <w:b/>
                <w:bCs/>
                <w:color w:val="auto"/>
                <w:sz w:val="18"/>
                <w:szCs w:val="18"/>
                <w:highlight w:val="none"/>
              </w:rPr>
              <w:t>）</w:t>
            </w:r>
          </w:p>
        </w:tc>
        <w:tc>
          <w:tcPr>
            <w:tcW w:w="686" w:type="dxa"/>
            <w:vAlign w:val="center"/>
          </w:tcPr>
          <w:p>
            <w:pPr>
              <w:jc w:val="center"/>
              <w:rPr>
                <w:rFonts w:ascii="微软雅黑" w:hAnsi="微软雅黑" w:eastAsia="微软雅黑" w:cs="微软雅黑"/>
                <w:color w:val="auto"/>
                <w:sz w:val="18"/>
                <w:szCs w:val="18"/>
                <w:highlight w:val="none"/>
              </w:rPr>
            </w:pPr>
          </w:p>
        </w:tc>
        <w:tc>
          <w:tcPr>
            <w:tcW w:w="728" w:type="dxa"/>
            <w:vAlign w:val="center"/>
          </w:tcPr>
          <w:p>
            <w:pPr>
              <w:jc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六人位电脑桌椅</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规格：240*60*70cm；1.桌台面采用国家E1级环保多层板，厚20mm，加贴0.8mm厚防火塑面,四周采用高温加贴封边带，厚2mm。桌面颜色可根据用户的需求而订制。</w:t>
            </w:r>
            <w:r>
              <w:rPr>
                <w:rFonts w:hint="eastAsia" w:ascii="微软雅黑" w:hAnsi="微软雅黑" w:eastAsia="微软雅黑" w:cs="微软雅黑"/>
                <w:color w:val="auto"/>
                <w:kern w:val="0"/>
                <w:sz w:val="18"/>
                <w:szCs w:val="18"/>
                <w:highlight w:val="none"/>
              </w:rPr>
              <w:t>中背转椅1、面料：采用透气网布饰面，纹路细致、色泽均匀，手感柔软、细腻、有韧性；富有弹性，耐磨性强，阻燃，做防污、防污处理，清洁方便。 2、座海棉：采用中密度定型阻燃PU泡棉，坐面密度40kg/m³。厚实、弹性好。3、气压棒：采用优质气棒，气棒材质为精密冷压钢管；承重力达280KG. 4、转椅轮盘及万向轮：选用优质吸盘。5、升降，及PU扶手。6、结构部件之间采用优质金属连接件。</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云服务主机</w:t>
            </w:r>
          </w:p>
        </w:tc>
        <w:tc>
          <w:tcPr>
            <w:tcW w:w="6789" w:type="dxa"/>
            <w:vAlign w:val="center"/>
          </w:tcPr>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r>
              <w:rPr>
                <w:rFonts w:hint="eastAsia" w:ascii="微软雅黑" w:hAnsi="微软雅黑" w:eastAsia="微软雅黑" w:cs="微软雅黑"/>
                <w:color w:val="auto"/>
                <w:sz w:val="18"/>
                <w:szCs w:val="18"/>
                <w:highlight w:val="none"/>
                <w:lang w:bidi="en-US"/>
              </w:rPr>
              <w:t>★</w:t>
            </w:r>
            <w:r>
              <w:rPr>
                <w:rFonts w:hint="eastAsia" w:ascii="微软雅黑" w:hAnsi="微软雅黑" w:eastAsia="微软雅黑" w:cs="微软雅黑"/>
                <w:color w:val="auto"/>
                <w:sz w:val="18"/>
                <w:szCs w:val="18"/>
                <w:highlight w:val="none"/>
              </w:rPr>
              <w:t>软硬件一体化2U设备，配置≥1颗 E-2100系列处理器，主频不低于3.4GHz,物理核心数不少于4颗；</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2、</w:t>
            </w:r>
            <w:r>
              <w:rPr>
                <w:rFonts w:hint="eastAsia" w:ascii="宋体" w:hAnsi="宋体" w:cs="宋体"/>
                <w:color w:val="auto"/>
                <w:sz w:val="18"/>
                <w:szCs w:val="18"/>
                <w:highlight w:val="none"/>
              </w:rPr>
              <w:t>▲</w:t>
            </w:r>
            <w:r>
              <w:rPr>
                <w:rFonts w:hint="eastAsia" w:ascii="微软雅黑" w:hAnsi="微软雅黑" w:eastAsia="微软雅黑" w:cs="微软雅黑"/>
                <w:color w:val="auto"/>
                <w:sz w:val="18"/>
                <w:szCs w:val="18"/>
                <w:highlight w:val="none"/>
              </w:rPr>
              <w:t>内存插槽≥4个,3.5寸SATA硬盘插槽≥4个；</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3、</w:t>
            </w:r>
            <w:r>
              <w:rPr>
                <w:rFonts w:hint="eastAsia" w:ascii="宋体" w:hAnsi="宋体" w:cs="宋体"/>
                <w:color w:val="auto"/>
                <w:sz w:val="18"/>
                <w:szCs w:val="18"/>
                <w:highlight w:val="none"/>
              </w:rPr>
              <w:t>▲</w:t>
            </w:r>
            <w:r>
              <w:rPr>
                <w:rFonts w:hint="eastAsia" w:ascii="微软雅黑" w:hAnsi="微软雅黑" w:eastAsia="微软雅黑" w:cs="微软雅黑"/>
                <w:color w:val="auto"/>
                <w:sz w:val="18"/>
                <w:szCs w:val="18"/>
                <w:highlight w:val="none"/>
              </w:rPr>
              <w:t>≥1*16GB DDR4内存，≥1*240GB SSD固态硬盘，≥2*4T SATA机械硬盘；</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4、提供虚拟化软件软件著作权登记证书。提供证书复印件；</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5、采用裸金属架构，可直接安装于物理服务器上，支持向导式安装。无需部署集中管理平台，通过Web浏览器方式实现对资源池、网络、存储、桌面、模板、终端、账号、计划任务、高可用性、授权等统一管理，提升IT管理维护效率；</w:t>
            </w:r>
          </w:p>
          <w:p>
            <w:pPr>
              <w:pStyle w:val="38"/>
              <w:shd w:val="clear" w:color="auto" w:fill="FFFFFF"/>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管理平台提供终端概览数据报表，在一个视图页面窗口集中展示桌面云的建设情况：至少包含不够架构的教室总数、终端总数、在线/离线总数，教室的使用信息排名。能够显示排名前五的信息，例如终端总数、类别，能够通过数字和颜色进行区分。</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7、云桌面系统开机能够看到完整的操作系统启动画面，网卡禁用、修改网卡IP，桌面连接不会中断，保持与PC一致的用户体验。</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8、终端部署多个操作系统的情况下，能够在管理平台上设置基于终端的共享数据盘，可以设置共享数据盘的的空间大小，数据盘能够按需设定清除策略，包含不清除/每周清除/每月清除，并按需匹配多个操作系统，在终端断网环境下也能够使用。</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9、为了应对网络调整，可在管理平台上灵活修改服务器的ip地址，无需重启服务器，使用更改后的ip地址即可访问平台，原有配置无变化。</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10、为了快速创建模板，能够基于现有模板完成快速克隆，无需镜像导入或导出，可直接在平台操作，提供模板克隆配置页面，将现有模板克隆为教学模板或者个人模板，支持完整克隆以及链接克隆两种模式</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11、支持裸机部署模式，新购无操作系统的终端，可通过服务器直接下发客户端软件，终端自动化安装，也可在平台上一键清空所有终端的操作系统，为了避免误操作，需要进行二次验证。</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12、为了简化桌面部署模式，所有的操作系统镜像模板均能够在服务器WEB管理控制台安装，无需进入操作系统，在平台上即可完成模板的网络配置，支持ip系统分配或者手动配置固定ip，自定义选择硬件模板，能够支持不同的主板固件类型</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13、为保证服务器网络稳定性，可实现多网卡绑定功能，支持不少于6种常用的bond模式，可直接在WEB管理平台上操作，无需进入后台处理，降低管理维护难度；</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14、当存在多个管理人员时，无需登录管理平台就可以完成操作系统的镜像的编辑，可以绑定单个镜像的链接地址，通过该链接地址即可完成镜像编辑，可以设定分享日期、分享链接的有效期。</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15、能够针对实际网络环境设置桌面下发速度策略，下发模式策略支持广播模式和BT模式，可以在管理平台自定义服务端、终端的下发的上下行速度。</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16、管理员可自定义修改平台页面的LOGO信息、客户端的LOGO信息为用户LOGO信息，并支持一键恢复。</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17、能够将老旧电脑接入平台进行统一管理，能够为老旧电脑批量下发操作系统、统一软件更新。</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18、多台云服务器集群部署时，支持在管理平台界面下就能实现虚拟教室创建管理功能，根据物理教室规模在云服务器上灵活创建虚拟教室，支持查看云服务器运行状态，可一键开启意外关闭的服务，便于后期维护；</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19、管理节点支持高可用，当主控节点出现问题，导致正在运行的业务不能正常运行时，备用节点立即接续主控节点来执行业务。在HA切换过程中，对于所有终端连接服务器的网络配置均不需要更改，且触发HA切换策略的敏感度可细化到秒级并可自定义配置，从而实现业务的不中断或短暂中断。</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20、管理平台支持计划任务开关机功能，可设置按周期在固定时间唤醒和关闭指定范围内教学桌面终端，可以分别设置开机/关机策略，精确到分钟； </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21、虚拟桌面支持统一生成IP地址，计算机名，用户登录名，便于管理和满足标准化考试环境要求； </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22、支持直接对服务器上固态硬盘（SSD）进行性能测试，测试项至少包括16K的读写能力，具体测试项至少包括其中两项：随机读、顺序写。</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23、支持分权操作，不同权限、不同职责的角色可依据教室范围、功能模块的不同来进行具体的划分，可将相关教室范围授权给某个管理员，也可将部分功能模块授权给某个管理员能够操作，权限可细分到每一个功能按钮级别的操作。</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24、为了保障数据安全，支持系统平台数据库的备份，备份项至少包括备份时间点、备份周期，可限制备份文件的最大留存数量，实现自动化备份。</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25、支持各类USB设备，包括USB存储设备，打印机，扫描仪，电子白板等；</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26、支持USB应急恢复机制，无需通过管理平台，或者样机模式下发桌面，直接在终端插入应急U盘，即可实现快速的操作系统恢复。</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台</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3</w:t>
            </w:r>
          </w:p>
        </w:tc>
        <w:tc>
          <w:tcPr>
            <w:tcW w:w="83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教师云终端</w:t>
            </w:r>
          </w:p>
        </w:tc>
        <w:tc>
          <w:tcPr>
            <w:tcW w:w="6789" w:type="dxa"/>
            <w:vAlign w:val="center"/>
          </w:tcPr>
          <w:p>
            <w:pPr>
              <w:widowControl/>
              <w:numPr>
                <w:ilvl w:val="0"/>
                <w:numId w:val="7"/>
              </w:numPr>
              <w:jc w:val="left"/>
              <w:textAlignment w:val="center"/>
              <w:rPr>
                <w:rFonts w:ascii="微软雅黑" w:hAnsi="微软雅黑" w:eastAsia="微软雅黑" w:cs="微软雅黑"/>
                <w:color w:val="auto"/>
                <w:kern w:val="0"/>
                <w:sz w:val="18"/>
                <w:szCs w:val="18"/>
                <w:highlight w:val="none"/>
              </w:rPr>
            </w:pPr>
            <w:r>
              <w:rPr>
                <w:rStyle w:val="42"/>
                <w:rFonts w:hint="default"/>
                <w:color w:val="auto"/>
                <w:sz w:val="18"/>
                <w:szCs w:val="18"/>
                <w:highlight w:val="none"/>
              </w:rPr>
              <w:t>★</w:t>
            </w:r>
            <w:r>
              <w:rPr>
                <w:rFonts w:hint="eastAsia" w:ascii="微软雅黑" w:hAnsi="微软雅黑" w:eastAsia="微软雅黑" w:cs="微软雅黑"/>
                <w:color w:val="auto"/>
                <w:kern w:val="0"/>
                <w:sz w:val="18"/>
                <w:szCs w:val="18"/>
                <w:highlight w:val="none"/>
              </w:rPr>
              <w:t>配置≥Intel第8代四核四线程处理器（处理器主频≥3.6GHz）；内存≥8GB，显卡≥Intel HD 630；本地存储≥256 GB SSD；</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2、</w:t>
            </w:r>
            <w:r>
              <w:rPr>
                <w:rFonts w:hint="eastAsia" w:ascii="宋体" w:hAnsi="宋体" w:cs="宋体"/>
                <w:color w:val="auto"/>
                <w:kern w:val="0"/>
                <w:sz w:val="18"/>
                <w:szCs w:val="18"/>
                <w:highlight w:val="none"/>
              </w:rPr>
              <w:t>▲</w:t>
            </w:r>
            <w:r>
              <w:rPr>
                <w:rStyle w:val="41"/>
                <w:rFonts w:hint="default" w:ascii="微软雅黑" w:hAnsi="微软雅黑" w:eastAsia="微软雅黑" w:cs="微软雅黑"/>
                <w:color w:val="auto"/>
                <w:highlight w:val="none"/>
              </w:rPr>
              <w:t>USB接口≥9个（包含≥6个USB 3.1接口，≥1个</w:t>
            </w:r>
            <w:r>
              <w:rPr>
                <w:rFonts w:hint="eastAsia" w:ascii="微软雅黑" w:hAnsi="微软雅黑" w:eastAsia="微软雅黑" w:cs="微软雅黑"/>
                <w:color w:val="auto"/>
                <w:sz w:val="18"/>
                <w:szCs w:val="18"/>
                <w:highlight w:val="none"/>
              </w:rPr>
              <w:t xml:space="preserve">USB Type-C </w:t>
            </w:r>
            <w:r>
              <w:rPr>
                <w:rStyle w:val="41"/>
                <w:rFonts w:hint="default" w:ascii="微软雅黑" w:hAnsi="微软雅黑" w:eastAsia="微软雅黑" w:cs="微软雅黑"/>
                <w:color w:val="auto"/>
                <w:highlight w:val="none"/>
              </w:rPr>
              <w:t>）</w:t>
            </w:r>
            <w:r>
              <w:rPr>
                <w:rFonts w:hint="eastAsia" w:ascii="微软雅黑" w:hAnsi="微软雅黑" w:eastAsia="微软雅黑" w:cs="微软雅黑"/>
                <w:color w:val="auto"/>
                <w:kern w:val="0"/>
                <w:sz w:val="18"/>
                <w:szCs w:val="18"/>
                <w:highlight w:val="none"/>
              </w:rPr>
              <w:t>，≥2个千兆网口，≥1个VGA接口，≥1个HDMI接口，≥1个DP接口，≥1对音频输入输出接口；</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3、配置≥2个内存扩展槽，≥1个SATA扩展接口，可扩展1个2.5英寸硬盘，体积不大于1.2L；</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4、</w:t>
            </w:r>
            <w:r>
              <w:rPr>
                <w:rFonts w:hint="eastAsia" w:ascii="宋体" w:hAnsi="宋体" w:cs="宋体"/>
                <w:color w:val="auto"/>
                <w:kern w:val="0"/>
                <w:sz w:val="18"/>
                <w:szCs w:val="18"/>
                <w:highlight w:val="none"/>
              </w:rPr>
              <w:t>▲</w:t>
            </w:r>
            <w:r>
              <w:rPr>
                <w:rFonts w:hint="eastAsia" w:ascii="微软雅黑" w:hAnsi="微软雅黑" w:eastAsia="微软雅黑" w:cs="微软雅黑"/>
                <w:color w:val="auto"/>
                <w:kern w:val="0"/>
                <w:sz w:val="18"/>
                <w:szCs w:val="18"/>
                <w:highlight w:val="none"/>
              </w:rPr>
              <w:t>终端支持完全离线模式，即在云终端控制器连接中断时，依然可使用当前正在使用的镜像环境，保障业务连续性；</w:t>
            </w:r>
          </w:p>
          <w:p>
            <w:pPr>
              <w:widowControl/>
              <w:jc w:val="left"/>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5、声卡：使用7.1+2声道声卡，采用高保真音频解码芯片，芯片输出信噪比≥120db，输入信噪比≥110db。</w:t>
            </w:r>
          </w:p>
        </w:tc>
        <w:tc>
          <w:tcPr>
            <w:tcW w:w="686"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4</w:t>
            </w:r>
          </w:p>
        </w:tc>
        <w:tc>
          <w:tcPr>
            <w:tcW w:w="83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学生云终端</w:t>
            </w:r>
          </w:p>
        </w:tc>
        <w:tc>
          <w:tcPr>
            <w:tcW w:w="6789" w:type="dxa"/>
            <w:vAlign w:val="center"/>
          </w:tcPr>
          <w:p>
            <w:pPr>
              <w:widowControl/>
              <w:numPr>
                <w:ilvl w:val="0"/>
                <w:numId w:val="8"/>
              </w:numPr>
              <w:jc w:val="left"/>
              <w:textAlignment w:val="center"/>
              <w:rPr>
                <w:rFonts w:ascii="微软雅黑" w:hAnsi="微软雅黑" w:eastAsia="微软雅黑" w:cs="微软雅黑"/>
                <w:color w:val="auto"/>
                <w:kern w:val="0"/>
                <w:sz w:val="18"/>
                <w:szCs w:val="18"/>
                <w:highlight w:val="none"/>
              </w:rPr>
            </w:pPr>
            <w:r>
              <w:rPr>
                <w:rStyle w:val="42"/>
                <w:rFonts w:hint="default"/>
                <w:color w:val="auto"/>
                <w:sz w:val="18"/>
                <w:szCs w:val="18"/>
                <w:highlight w:val="none"/>
              </w:rPr>
              <w:t>所有终端均需采用x86架构；</w:t>
            </w:r>
            <w:r>
              <w:rPr>
                <w:rStyle w:val="42"/>
                <w:rFonts w:hint="default"/>
                <w:color w:val="auto"/>
                <w:sz w:val="18"/>
                <w:szCs w:val="18"/>
                <w:highlight w:val="none"/>
              </w:rPr>
              <w:br w:type="textWrapping"/>
            </w:r>
            <w:r>
              <w:rPr>
                <w:rStyle w:val="42"/>
                <w:rFonts w:hint="default"/>
                <w:color w:val="auto"/>
                <w:sz w:val="18"/>
                <w:szCs w:val="18"/>
                <w:highlight w:val="none"/>
              </w:rPr>
              <w:t>2、★配置≥Intel第8代双核四线程处理器（处理器主频≥3.8GHz）；</w:t>
            </w:r>
            <w:r>
              <w:rPr>
                <w:rStyle w:val="48"/>
                <w:rFonts w:hint="default" w:ascii="微软雅黑" w:hAnsi="微软雅黑" w:eastAsia="微软雅黑" w:cs="微软雅黑"/>
                <w:color w:val="auto"/>
                <w:highlight w:val="none"/>
              </w:rPr>
              <w:t>内存≥8GB</w:t>
            </w:r>
            <w:r>
              <w:rPr>
                <w:rStyle w:val="41"/>
                <w:rFonts w:hint="default" w:ascii="微软雅黑" w:hAnsi="微软雅黑" w:eastAsia="微软雅黑" w:cs="微软雅黑"/>
                <w:color w:val="auto"/>
                <w:highlight w:val="none"/>
              </w:rPr>
              <w:t>；显卡≥Intel HD 610；本地存储≥256 GB SSD；</w:t>
            </w:r>
            <w:r>
              <w:rPr>
                <w:rStyle w:val="41"/>
                <w:rFonts w:hint="default" w:ascii="微软雅黑" w:hAnsi="微软雅黑" w:eastAsia="微软雅黑" w:cs="微软雅黑"/>
                <w:color w:val="auto"/>
                <w:highlight w:val="none"/>
              </w:rPr>
              <w:br w:type="textWrapping"/>
            </w:r>
            <w:r>
              <w:rPr>
                <w:rStyle w:val="41"/>
                <w:rFonts w:hint="default" w:ascii="微软雅黑" w:hAnsi="微软雅黑" w:eastAsia="微软雅黑" w:cs="微软雅黑"/>
                <w:color w:val="auto"/>
                <w:highlight w:val="none"/>
              </w:rPr>
              <w:t>3、</w:t>
            </w:r>
            <w:r>
              <w:rPr>
                <w:rFonts w:hint="eastAsia" w:ascii="宋体" w:hAnsi="宋体" w:cs="宋体"/>
                <w:color w:val="auto"/>
                <w:kern w:val="0"/>
                <w:sz w:val="18"/>
                <w:szCs w:val="18"/>
                <w:highlight w:val="none"/>
              </w:rPr>
              <w:t>▲</w:t>
            </w:r>
            <w:r>
              <w:rPr>
                <w:rStyle w:val="41"/>
                <w:rFonts w:hint="default" w:ascii="微软雅黑" w:hAnsi="微软雅黑" w:eastAsia="微软雅黑" w:cs="微软雅黑"/>
                <w:color w:val="auto"/>
                <w:highlight w:val="none"/>
              </w:rPr>
              <w:t>USB接口≥9个（包含≥6个USB 3.1接口，≥1个</w:t>
            </w:r>
            <w:r>
              <w:rPr>
                <w:rFonts w:hint="eastAsia" w:ascii="微软雅黑" w:hAnsi="微软雅黑" w:eastAsia="微软雅黑" w:cs="微软雅黑"/>
                <w:color w:val="auto"/>
                <w:sz w:val="18"/>
                <w:szCs w:val="18"/>
                <w:highlight w:val="none"/>
              </w:rPr>
              <w:t xml:space="preserve">USB Type-C </w:t>
            </w:r>
            <w:r>
              <w:rPr>
                <w:rStyle w:val="41"/>
                <w:rFonts w:hint="default" w:ascii="微软雅黑" w:hAnsi="微软雅黑" w:eastAsia="微软雅黑" w:cs="微软雅黑"/>
                <w:color w:val="auto"/>
                <w:highlight w:val="none"/>
              </w:rPr>
              <w:t>），≥2个千兆网口，≥1个VGA接口，≥1个HDMI接口</w:t>
            </w:r>
            <w:r>
              <w:rPr>
                <w:rFonts w:hint="eastAsia" w:ascii="微软雅黑" w:hAnsi="微软雅黑" w:eastAsia="微软雅黑" w:cs="微软雅黑"/>
                <w:color w:val="auto"/>
                <w:kern w:val="0"/>
                <w:sz w:val="18"/>
                <w:szCs w:val="18"/>
                <w:highlight w:val="none"/>
              </w:rPr>
              <w:t>，≥1个DP接口</w:t>
            </w:r>
            <w:r>
              <w:rPr>
                <w:rStyle w:val="41"/>
                <w:rFonts w:hint="default" w:ascii="微软雅黑" w:hAnsi="微软雅黑" w:eastAsia="微软雅黑" w:cs="微软雅黑"/>
                <w:color w:val="auto"/>
                <w:highlight w:val="none"/>
              </w:rPr>
              <w:t>，≥1对音频输入输出接口；</w:t>
            </w:r>
            <w:r>
              <w:rPr>
                <w:rStyle w:val="41"/>
                <w:rFonts w:hint="default" w:ascii="微软雅黑" w:hAnsi="微软雅黑" w:eastAsia="微软雅黑" w:cs="微软雅黑"/>
                <w:color w:val="auto"/>
                <w:highlight w:val="none"/>
              </w:rPr>
              <w:br w:type="textWrapping"/>
            </w:r>
            <w:r>
              <w:rPr>
                <w:rStyle w:val="41"/>
                <w:rFonts w:hint="default" w:ascii="微软雅黑" w:hAnsi="微软雅黑" w:eastAsia="微软雅黑" w:cs="微软雅黑"/>
                <w:color w:val="auto"/>
                <w:highlight w:val="none"/>
              </w:rPr>
              <w:t>4</w:t>
            </w:r>
            <w:r>
              <w:rPr>
                <w:rFonts w:hint="eastAsia" w:ascii="微软雅黑" w:hAnsi="微软雅黑" w:eastAsia="微软雅黑" w:cs="微软雅黑"/>
                <w:color w:val="auto"/>
                <w:kern w:val="0"/>
                <w:sz w:val="18"/>
                <w:szCs w:val="18"/>
                <w:highlight w:val="none"/>
              </w:rPr>
              <w:t>、配置≥2个内存扩展槽，≥1个SATA扩展接口，可扩展1个2.5英寸硬盘，体积不大于1.2L；</w:t>
            </w:r>
          </w:p>
          <w:p>
            <w:pPr>
              <w:widowControl/>
              <w:jc w:val="left"/>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5、声卡：使用7.1+2声道声卡，采用高保真音频解码芯片，芯片输出信噪比≥120db，输入信噪比≥110db；</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6、</w:t>
            </w:r>
            <w:r>
              <w:rPr>
                <w:rFonts w:hint="eastAsia" w:ascii="宋体" w:hAnsi="宋体" w:cs="宋体"/>
                <w:color w:val="auto"/>
                <w:kern w:val="0"/>
                <w:sz w:val="18"/>
                <w:szCs w:val="18"/>
                <w:highlight w:val="none"/>
              </w:rPr>
              <w:t>▲</w:t>
            </w:r>
            <w:r>
              <w:rPr>
                <w:rFonts w:hint="eastAsia" w:ascii="微软雅黑" w:hAnsi="微软雅黑" w:eastAsia="微软雅黑" w:cs="微软雅黑"/>
                <w:color w:val="auto"/>
                <w:kern w:val="0"/>
                <w:sz w:val="18"/>
                <w:szCs w:val="18"/>
                <w:highlight w:val="none"/>
              </w:rPr>
              <w:t>终端支持完全离线模式，即在云终端控制器连接中断时，依然可使用当前正在使用的镜像环境，保障业务连续性；；</w:t>
            </w:r>
          </w:p>
        </w:tc>
        <w:tc>
          <w:tcPr>
            <w:tcW w:w="686"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台</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5</w:t>
            </w:r>
          </w:p>
        </w:tc>
        <w:tc>
          <w:tcPr>
            <w:tcW w:w="83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云课堂软件授权</w:t>
            </w:r>
          </w:p>
        </w:tc>
        <w:tc>
          <w:tcPr>
            <w:tcW w:w="6789" w:type="dxa"/>
            <w:vAlign w:val="center"/>
          </w:tcPr>
          <w:p>
            <w:pPr>
              <w:pStyle w:val="38"/>
              <w:ind w:firstLine="0" w:firstLineChars="0"/>
              <w:rPr>
                <w:rStyle w:val="41"/>
                <w:rFonts w:hint="default" w:ascii="微软雅黑" w:hAnsi="微软雅黑" w:eastAsia="微软雅黑" w:cs="微软雅黑"/>
                <w:color w:val="auto"/>
                <w:highlight w:val="none"/>
                <w:lang w:val="zh-CN"/>
              </w:rPr>
            </w:pPr>
            <w:r>
              <w:rPr>
                <w:rStyle w:val="41"/>
                <w:rFonts w:hint="default" w:ascii="微软雅黑" w:hAnsi="微软雅黑" w:eastAsia="微软雅黑" w:cs="微软雅黑"/>
                <w:color w:val="auto"/>
                <w:highlight w:val="none"/>
              </w:rPr>
              <w:t>1、教学管理软件与桌面云同一品牌，不接受第三方软件集成方案，无需采用硬件加密狗方式授权；</w:t>
            </w:r>
          </w:p>
          <w:p>
            <w:pPr>
              <w:pStyle w:val="38"/>
              <w:ind w:firstLine="0" w:firstLineChars="0"/>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rPr>
              <w:t>2、</w:t>
            </w:r>
            <w:r>
              <w:rPr>
                <w:rFonts w:hint="eastAsia" w:ascii="微软雅黑" w:hAnsi="微软雅黑" w:eastAsia="微软雅黑" w:cs="微软雅黑"/>
                <w:color w:val="auto"/>
                <w:sz w:val="18"/>
                <w:szCs w:val="18"/>
                <w:highlight w:val="none"/>
                <w:lang w:val="zh-CN"/>
              </w:rPr>
              <w:t>要求提供C/S架构云教学管理系统，至少需要包含教师端和学生端，并且教师端和学生端能够进行互动教学。例如：屏幕广播、影音广播、学生演示、遥控监看、屏幕录制、电子点名、收发作业、黑屏肃静、在线考试等。</w:t>
            </w:r>
          </w:p>
          <w:p>
            <w:pPr>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rPr>
              <w:t>3、</w:t>
            </w:r>
            <w:r>
              <w:rPr>
                <w:rFonts w:hint="eastAsia" w:ascii="微软雅黑" w:hAnsi="微软雅黑" w:eastAsia="微软雅黑" w:cs="微软雅黑"/>
                <w:color w:val="auto"/>
                <w:sz w:val="18"/>
                <w:szCs w:val="18"/>
                <w:highlight w:val="none"/>
                <w:lang w:val="zh-CN"/>
              </w:rPr>
              <w:t>支持老师禁止学生上网，可以针对所有学生锁屏，也可以针对部分学生锁屏；能够自定义提示信息并禁止学生进行操作，支持手动解锁、定时解锁、锁定时长三种模式，时间设定精确到秒级。</w:t>
            </w:r>
          </w:p>
          <w:p>
            <w:pPr>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rPr>
              <w:t>4、</w:t>
            </w:r>
            <w:r>
              <w:rPr>
                <w:rFonts w:hint="eastAsia" w:ascii="微软雅黑" w:hAnsi="微软雅黑" w:eastAsia="微软雅黑" w:cs="微软雅黑"/>
                <w:color w:val="auto"/>
                <w:sz w:val="18"/>
                <w:szCs w:val="18"/>
                <w:highlight w:val="none"/>
                <w:lang w:val="zh-CN"/>
              </w:rPr>
              <w:t>支持老师实时监看单一、多个学生机的屏幕；支持老师对单一、部分、全体学生高清广播教师机屏幕，实现多媒体教学；广播无延时、卡顿；支持老师指定某个学生的屏幕图像作为广播；</w:t>
            </w:r>
          </w:p>
          <w:p>
            <w:pPr>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rPr>
              <w:t>5、</w:t>
            </w:r>
            <w:r>
              <w:rPr>
                <w:rFonts w:hint="eastAsia" w:ascii="微软雅黑" w:hAnsi="微软雅黑" w:eastAsia="微软雅黑" w:cs="微软雅黑"/>
                <w:color w:val="auto"/>
                <w:sz w:val="18"/>
                <w:szCs w:val="18"/>
                <w:highlight w:val="none"/>
                <w:lang w:val="zh-CN"/>
              </w:rPr>
              <w:t>远程消息：教师与学生能够使用远程消息进行交流。</w:t>
            </w:r>
          </w:p>
          <w:p>
            <w:pPr>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rPr>
              <w:t>6、</w:t>
            </w:r>
            <w:r>
              <w:rPr>
                <w:rFonts w:hint="eastAsia" w:ascii="微软雅黑" w:hAnsi="微软雅黑" w:eastAsia="微软雅黑" w:cs="微软雅黑"/>
                <w:color w:val="auto"/>
                <w:sz w:val="18"/>
                <w:szCs w:val="18"/>
                <w:highlight w:val="none"/>
                <w:lang w:val="zh-CN"/>
              </w:rPr>
              <w:t>支持影音广播功能，教师将本地视频文件（可一次添加多个视频文件）广播给学生，支持常用的播放操作，至少包括：暂停、播放下一个、播放上一个、停止、清除播放列表，且在执行影音广播的同时，自动锁定学生机端的键鼠。如果是后登录的学生机，支持直接自动进入影音广播状态。</w:t>
            </w:r>
          </w:p>
          <w:p>
            <w:pPr>
              <w:pStyle w:val="38"/>
              <w:ind w:firstLine="0" w:firstLineChars="0"/>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rPr>
              <w:t>7、</w:t>
            </w:r>
            <w:r>
              <w:rPr>
                <w:rFonts w:hint="eastAsia" w:ascii="微软雅黑" w:hAnsi="微软雅黑" w:eastAsia="微软雅黑" w:cs="微软雅黑"/>
                <w:color w:val="auto"/>
                <w:sz w:val="18"/>
                <w:szCs w:val="18"/>
                <w:highlight w:val="none"/>
                <w:lang w:val="zh-CN"/>
              </w:rPr>
              <w:t>能够与桌面云系统融合打通，通过教学软件即可识别桌面开放的场景，并能够实现一键切换，在下课后一键关闭所有学生机。</w:t>
            </w:r>
          </w:p>
          <w:p>
            <w:pPr>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rPr>
              <w:t>8、</w:t>
            </w:r>
            <w:r>
              <w:rPr>
                <w:rFonts w:hint="eastAsia" w:ascii="微软雅黑" w:hAnsi="微软雅黑" w:eastAsia="微软雅黑" w:cs="微软雅黑"/>
                <w:color w:val="auto"/>
                <w:sz w:val="18"/>
                <w:szCs w:val="18"/>
                <w:highlight w:val="none"/>
                <w:lang w:val="zh-CN"/>
              </w:rPr>
              <w:t>上课时能够调用教师端的摄像头将实时影像和语音实时发送到学生端，实现远程实时影像语音教学。</w:t>
            </w:r>
          </w:p>
          <w:p>
            <w:pPr>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rPr>
              <w:t>9、</w:t>
            </w:r>
            <w:r>
              <w:rPr>
                <w:rFonts w:hint="eastAsia" w:ascii="微软雅黑" w:hAnsi="微软雅黑" w:eastAsia="微软雅黑" w:cs="微软雅黑"/>
                <w:color w:val="auto"/>
                <w:sz w:val="18"/>
                <w:szCs w:val="18"/>
                <w:highlight w:val="none"/>
                <w:lang w:val="zh-CN"/>
              </w:rPr>
              <w:t>支持在教室机上即时编辑试卷，支持导入纯文本word文档，答题部分支持添加单选、多选、判断、填空、问答，且在题目和选项中支持图片的导入。教师可自定义考试时长，在倒计时结束后自动结束当前考试。支持辅助老师对部分题型（包括单选、多选、判断题）进行自动化评分工作，并能对题目的正确率进行统计。</w:t>
            </w:r>
          </w:p>
          <w:p>
            <w:pPr>
              <w:widowControl/>
              <w:jc w:val="left"/>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10、</w:t>
            </w:r>
            <w:r>
              <w:rPr>
                <w:rFonts w:hint="eastAsia" w:ascii="微软雅黑" w:hAnsi="微软雅黑" w:eastAsia="微软雅黑" w:cs="微软雅黑"/>
                <w:color w:val="auto"/>
                <w:sz w:val="18"/>
                <w:szCs w:val="18"/>
                <w:highlight w:val="none"/>
                <w:lang w:val="zh-CN"/>
              </w:rPr>
              <w:t>支持随堂作业功能，教师可以给学生布置作业，能够设定作业提交截止的时间。学生可以收到教师布置给自己的作业，可以下载作业，学生把做好的作业直接提交到教师机，方便教师批改作业要收取的麻烦。教师可以将优秀的作业作为范本共享给其他学生，学生可以看到教师批改作业的结果，并可以查到评为优秀的作业。</w:t>
            </w:r>
          </w:p>
        </w:tc>
        <w:tc>
          <w:tcPr>
            <w:tcW w:w="686"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6</w:t>
            </w:r>
          </w:p>
        </w:tc>
        <w:tc>
          <w:tcPr>
            <w:tcW w:w="83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显示器</w:t>
            </w:r>
          </w:p>
        </w:tc>
        <w:tc>
          <w:tcPr>
            <w:tcW w:w="6789" w:type="dxa"/>
            <w:vAlign w:val="center"/>
          </w:tcPr>
          <w:p>
            <w:pPr>
              <w:widowControl/>
              <w:jc w:val="left"/>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液晶显示器，21.5寸LED背光，分辨率1920*1080，VGA+HDMI接口，窄边框设计，三年质保。</w:t>
            </w:r>
          </w:p>
        </w:tc>
        <w:tc>
          <w:tcPr>
            <w:tcW w:w="686"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个</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7</w:t>
            </w:r>
          </w:p>
        </w:tc>
        <w:tc>
          <w:tcPr>
            <w:tcW w:w="83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键盘鼠标</w:t>
            </w:r>
          </w:p>
        </w:tc>
        <w:tc>
          <w:tcPr>
            <w:tcW w:w="6789" w:type="dxa"/>
            <w:vAlign w:val="center"/>
          </w:tcPr>
          <w:p>
            <w:pPr>
              <w:widowControl/>
              <w:jc w:val="left"/>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云桌面键鼠套装，内含有线键盘、鼠标各一个</w:t>
            </w:r>
          </w:p>
        </w:tc>
        <w:tc>
          <w:tcPr>
            <w:tcW w:w="686"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kern w:val="0"/>
                <w:sz w:val="18"/>
                <w:szCs w:val="18"/>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widowControl/>
              <w:jc w:val="center"/>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8</w:t>
            </w:r>
          </w:p>
        </w:tc>
        <w:tc>
          <w:tcPr>
            <w:tcW w:w="838" w:type="dxa"/>
          </w:tcPr>
          <w:p>
            <w:pPr>
              <w:widowControl/>
              <w:jc w:val="center"/>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智慧黑板</w:t>
            </w:r>
          </w:p>
        </w:tc>
        <w:tc>
          <w:tcPr>
            <w:tcW w:w="6789" w:type="dxa"/>
          </w:tcPr>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w:t>
            </w:r>
            <w:r>
              <w:rPr>
                <w:rFonts w:hint="eastAsia" w:ascii="微软雅黑" w:hAnsi="微软雅黑" w:eastAsia="微软雅黑" w:cs="微软雅黑"/>
                <w:color w:val="auto"/>
                <w:sz w:val="18"/>
                <w:szCs w:val="18"/>
                <w:highlight w:val="none"/>
                <w:lang w:bidi="en-US"/>
              </w:rPr>
              <w:t>★</w:t>
            </w:r>
            <w:r>
              <w:rPr>
                <w:rFonts w:hint="eastAsia" w:ascii="微软雅黑" w:hAnsi="微软雅黑" w:eastAsia="微软雅黑" w:cs="微软雅黑"/>
                <w:color w:val="auto"/>
                <w:kern w:val="0"/>
                <w:sz w:val="18"/>
                <w:szCs w:val="18"/>
                <w:highlight w:val="none"/>
              </w:rPr>
              <w:t>LED背光原装液晶显示屏且无坏点，屏体级别：A规屏，显示尺寸≥86英寸，显示比例16:9，物理分辨率：3840×2160，屏体亮度≥450cd/㎡（Typ），对比度≥3500：最大可视角度：178°(H)/ 178°(V)，亮度均匀性≥92%。</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2、屏幕贴合方式：全贴合电容触控技术，同时为防止玻璃老化脱落，需采用纯平面，外框卡槽式全包边设计，安全无锐角。</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3、整机采用防眩光、防划伤钢化玻璃，需符合防眩光和防划伤钢化玻璃的相关要求。</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4、整机具备物理护眼和智能调节屏幕亮度功能，可以对老师和学生的视力进行一定的保护。</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5、整机内置无线网络模块，采用全向前置信号接发设计，网络信号接发源隐藏式设计，无任何外接、转接天线及网卡可实现正常网络连接。</w:t>
            </w:r>
          </w:p>
          <w:p>
            <w:pPr>
              <w:pStyle w:val="38"/>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w:t>
            </w:r>
            <w:r>
              <w:rPr>
                <w:rFonts w:hint="eastAsia" w:ascii="宋体" w:hAnsi="宋体" w:cs="宋体"/>
                <w:color w:val="auto"/>
                <w:sz w:val="18"/>
                <w:szCs w:val="18"/>
                <w:highlight w:val="none"/>
              </w:rPr>
              <w:t>▲</w:t>
            </w:r>
            <w:r>
              <w:rPr>
                <w:rFonts w:hint="eastAsia" w:ascii="微软雅黑" w:hAnsi="微软雅黑" w:eastAsia="微软雅黑" w:cs="微软雅黑"/>
                <w:color w:val="auto"/>
                <w:sz w:val="18"/>
                <w:szCs w:val="18"/>
                <w:highlight w:val="none"/>
              </w:rPr>
              <w:t>智慧黑板前置物理功能按键不少于8个，从而让老师可以更方便的进行操作，同时需不少于3个双通道USB接口（Windows和Android系统均能被识别，无需分区）、HDMI*1(非转接)，接口有丝印标识。</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7、智慧黑板需在两侧副板底部带有置笔槽设计。</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8、智慧黑板具有三指息屏开关黑板背光功能，任意显示触摸区域及任意物理按键均可快速唤醒，方便快捷。并且关闭屏幕的同时，触摸功能也自动关闭，防止误操作；快速按压开关机需控制在1秒内。</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9、智慧黑板采用NFC开机，智能刷卡开机后，可使用按键整体关机；防止学生随意开关机，随机配送至少5张NFC卡，方便学校对智慧黑板统一安全管理。</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10、内置Android系统和Windows系统，且在Android系统下支持10点触控及书写，Windows系统下支持至少20点的触控，连续响应速度≤8ms，触摸偏差≤2mm。</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11、根据教室智慧黑板尺寸需：长≥4200mm，高≥1250mm，厚≤100mm；采用专业的模块化构架、结构无缝一体化设计，利用无缝拼接显示软件实现各板块和多媒体互动无缝融合；无鼓边，平整度≤0.1mm，无书写断接，无书写不畅，纯平表面拼接无缝隙；灰尘或水迹不影响触控。</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12、黑板具备PC和安卓双系统备份，且PC的Windows及Android双系统可以仅通过教室的一根网线同时上网，不需要外加任何其它设备。</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13、支持一键屏幕下移以适配不同老师的上课需求。</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14、智慧黑板支持水笔、普通粉笔、无尘粉笔以及手指触摸书写等多种书写方式。黑板玻璃具有抗磨性，不影响老师反复书写。</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15、智慧黑板需自带无线AP网络共享功能，满足支持不低于20个用户终端在线网络连接，不许附加额外无线AP网络设备或者热点软件来实现，进行高度集成化。</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16、为便于维护使用方便，智慧黑板需具有前掀式维护功能。</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17、为保障师生在日常教学过程中不受到硬物意外伤害，产品表面玻璃边缘不得裸露造成危险；玻璃内嵌式设计对玻璃和使用者双重保护，钢化玻璃贴合有防爆膜，具有防飞溅功能，防止玻璃破碎伤人。</w:t>
            </w:r>
          </w:p>
          <w:p>
            <w:pPr>
              <w:pStyle w:val="38"/>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18、产品具有内置音箱设计结构，运用环境自适应扩声原理，保证高品质的音质效果，输出功率≥15W*2。</w:t>
            </w:r>
          </w:p>
          <w:p>
            <w:pPr>
              <w:pStyle w:val="38"/>
              <w:ind w:firstLine="0" w:firstLineChars="0"/>
              <w:rPr>
                <w:rFonts w:ascii="微软雅黑" w:hAnsi="微软雅黑" w:eastAsia="微软雅黑" w:cs="微软雅黑"/>
                <w:color w:val="auto"/>
                <w:sz w:val="18"/>
                <w:szCs w:val="18"/>
                <w:highlight w:val="none"/>
              </w:rPr>
            </w:pPr>
            <w:r>
              <w:rPr>
                <w:rStyle w:val="41"/>
                <w:rFonts w:hint="default" w:ascii="微软雅黑" w:hAnsi="微软雅黑" w:eastAsia="微软雅黑" w:cs="微软雅黑"/>
                <w:color w:val="auto"/>
                <w:highlight w:val="none"/>
              </w:rPr>
              <w:t>19、支持屏幕密码锁功能，可锁定屏幕。支持三种解锁方式：屏幕、遥控、按键。</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台</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9</w:t>
            </w:r>
          </w:p>
        </w:tc>
        <w:tc>
          <w:tcPr>
            <w:tcW w:w="83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配套教学软件</w:t>
            </w:r>
          </w:p>
        </w:tc>
        <w:tc>
          <w:tcPr>
            <w:tcW w:w="6789" w:type="dxa"/>
          </w:tcPr>
          <w:p>
            <w:pPr>
              <w:jc w:val="left"/>
              <w:rPr>
                <w:rStyle w:val="45"/>
                <w:rFonts w:ascii="微软雅黑" w:hAnsi="微软雅黑" w:eastAsia="微软雅黑" w:cs="微软雅黑"/>
                <w:color w:val="auto"/>
                <w:sz w:val="18"/>
                <w:szCs w:val="18"/>
                <w:highlight w:val="none"/>
              </w:rPr>
            </w:pPr>
            <w:r>
              <w:rPr>
                <w:rStyle w:val="45"/>
                <w:rFonts w:hint="eastAsia" w:ascii="微软雅黑" w:hAnsi="微软雅黑" w:eastAsia="微软雅黑" w:cs="微软雅黑"/>
                <w:color w:val="auto"/>
                <w:sz w:val="18"/>
                <w:szCs w:val="18"/>
                <w:highlight w:val="none"/>
              </w:rPr>
              <w:t xml:space="preserve">功能要求： </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1、书写：支持20点同时书写，可自由选择笔颜色及粗细 。</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2、支持多点擦除功能。</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3、可自定义批注白板界面下的功能菜单，用拖拽的方式增加或减少功能键。</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4、资源库功能：可一键调用各学科的本地资源。</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5、文本框：支持文本输入并可快速设置字体、大小、颜色 、粗体、斜体、下划线、项目符号，方便文本的输入。可对文本的对齐、缩进 、行供备课使用高等进行设置，提供不少于20 种以上预设字体选择。</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6、基础笔画：支持铅笔、荧光笔、毛笔、文理笔、智能笔、图案笔。其中文理笔预设19种文理，智能笔可将绘制的图案变成规则的多边形以及曲边形图形，图案笔预设10种图案供使用。</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7、辅助工具：可以使用辅助工具里面的放大镜、探照灯、遮幕等常用工具，提供直尺、三角尺、量角器、圆规、等数学工具。</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8、插入对象：图片支持PNG/BMP/JPG/JPEG等格式的插入，文本支持doc/docx/ppt/pptx等格式的插入。</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9、板中板：支持调用板中板辅助教学，可直接批注及加页不影响课件主画面。</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10、可直接切换到电脑桌面，方便老师使用桌面的教学资源。</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11、橡笔擦：支持对象擦、点擦除、清除页面三种模式。</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12、可提供不同颜色的白板页、也可根据教学需求，设置页面背景模板，提供田字格、五线谱等学科页面模板。</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13、直接调用高拍仪实现静态截取，对截取的内容进行放大、旋转等操作。可查看添加的白板页面。</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14、支持页面回放功能。无需进行手动开始录制，就可以对选中的任何页面进行页面的回放。</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15、支持屏幕录制功能，可将操作过程及板书内容，录制为视频并进行保存。</w:t>
            </w:r>
          </w:p>
          <w:p>
            <w:pPr>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16、透明页：实现书写与鼠标的一键切换，透明页悬浮按钮有调用U盘功能，可快捷一键打开U盘。</w:t>
            </w:r>
          </w:p>
          <w:p>
            <w:pPr>
              <w:jc w:val="left"/>
              <w:rPr>
                <w:rStyle w:val="45"/>
                <w:rFonts w:ascii="微软雅黑" w:hAnsi="微软雅黑" w:eastAsia="微软雅黑" w:cs="微软雅黑"/>
                <w:color w:val="auto"/>
                <w:sz w:val="18"/>
                <w:szCs w:val="18"/>
                <w:highlight w:val="none"/>
              </w:rPr>
            </w:pPr>
            <w:r>
              <w:rPr>
                <w:rStyle w:val="41"/>
                <w:rFonts w:hint="default" w:ascii="微软雅黑" w:hAnsi="微软雅黑" w:eastAsia="微软雅黑" w:cs="微软雅黑"/>
                <w:color w:val="auto"/>
                <w:highlight w:val="none"/>
              </w:rPr>
              <w:t>17、</w:t>
            </w:r>
            <w:r>
              <w:rPr>
                <w:rFonts w:hint="eastAsia" w:ascii="宋体" w:hAnsi="宋体" w:cs="宋体"/>
                <w:color w:val="auto"/>
                <w:kern w:val="0"/>
                <w:sz w:val="18"/>
                <w:szCs w:val="18"/>
                <w:highlight w:val="none"/>
              </w:rPr>
              <w:t>▲</w:t>
            </w:r>
            <w:r>
              <w:rPr>
                <w:rStyle w:val="41"/>
                <w:rFonts w:hint="default" w:ascii="微软雅黑" w:hAnsi="微软雅黑" w:eastAsia="微软雅黑" w:cs="微软雅黑"/>
                <w:color w:val="auto"/>
                <w:highlight w:val="none"/>
              </w:rPr>
              <w:t>PPT批注跟随功能:从平台打开PPT，授课时的批注可跟随当页的PPT同时进行翻页，关闭PPT后，无需任何操作批注自动清除，不对原先PPT课件造成影响。</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10</w:t>
            </w:r>
          </w:p>
        </w:tc>
        <w:tc>
          <w:tcPr>
            <w:tcW w:w="83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配套内置电脑</w:t>
            </w:r>
          </w:p>
        </w:tc>
        <w:tc>
          <w:tcPr>
            <w:tcW w:w="6789" w:type="dxa"/>
          </w:tcPr>
          <w:p>
            <w:pPr>
              <w:jc w:val="left"/>
              <w:rPr>
                <w:rStyle w:val="45"/>
                <w:rFonts w:ascii="微软雅黑" w:hAnsi="微软雅黑" w:eastAsia="微软雅黑" w:cs="微软雅黑"/>
                <w:color w:val="auto"/>
                <w:sz w:val="18"/>
                <w:szCs w:val="18"/>
                <w:highlight w:val="none"/>
              </w:rPr>
            </w:pPr>
            <w:r>
              <w:rPr>
                <w:rStyle w:val="45"/>
                <w:rFonts w:hint="eastAsia" w:ascii="微软雅黑" w:hAnsi="微软雅黑" w:eastAsia="微软雅黑" w:cs="微软雅黑"/>
                <w:color w:val="auto"/>
                <w:sz w:val="18"/>
                <w:szCs w:val="18"/>
                <w:highlight w:val="none"/>
              </w:rPr>
              <w:t>1.采用模块化、可维护、插拔式结构设计。</w:t>
            </w:r>
          </w:p>
          <w:p>
            <w:pPr>
              <w:pStyle w:val="38"/>
              <w:ind w:firstLine="0" w:firstLineChars="0"/>
              <w:rPr>
                <w:rStyle w:val="45"/>
                <w:rFonts w:ascii="微软雅黑" w:hAnsi="微软雅黑" w:eastAsia="微软雅黑" w:cs="微软雅黑"/>
                <w:color w:val="auto"/>
                <w:sz w:val="18"/>
                <w:szCs w:val="18"/>
                <w:highlight w:val="none"/>
                <w:lang w:eastAsia="en-US" w:bidi="en-US"/>
              </w:rPr>
            </w:pPr>
            <w:r>
              <w:rPr>
                <w:rStyle w:val="45"/>
                <w:rFonts w:hint="eastAsia" w:ascii="微软雅黑" w:hAnsi="微软雅黑" w:eastAsia="微软雅黑" w:cs="微软雅黑"/>
                <w:color w:val="auto"/>
                <w:sz w:val="18"/>
                <w:szCs w:val="18"/>
                <w:highlight w:val="none"/>
                <w:lang w:eastAsia="en-US" w:bidi="en-US"/>
              </w:rPr>
              <w:t>2.</w:t>
            </w:r>
            <w:r>
              <w:rPr>
                <w:rFonts w:hint="eastAsia" w:ascii="微软雅黑" w:hAnsi="微软雅黑" w:eastAsia="微软雅黑" w:cs="微软雅黑"/>
                <w:color w:val="auto"/>
                <w:sz w:val="18"/>
                <w:szCs w:val="18"/>
                <w:highlight w:val="none"/>
                <w:lang w:bidi="en-US"/>
              </w:rPr>
              <w:t xml:space="preserve"> </w:t>
            </w:r>
            <w:r>
              <w:rPr>
                <w:rFonts w:hint="eastAsia" w:ascii="宋体" w:hAnsi="宋体" w:cs="宋体"/>
                <w:color w:val="auto"/>
                <w:sz w:val="18"/>
                <w:szCs w:val="18"/>
                <w:highlight w:val="none"/>
              </w:rPr>
              <w:t>▲</w:t>
            </w:r>
            <w:r>
              <w:rPr>
                <w:rStyle w:val="45"/>
                <w:rFonts w:hint="eastAsia" w:ascii="微软雅黑" w:hAnsi="微软雅黑" w:eastAsia="微软雅黑" w:cs="微软雅黑"/>
                <w:color w:val="auto"/>
                <w:sz w:val="18"/>
                <w:szCs w:val="18"/>
                <w:highlight w:val="none"/>
                <w:lang w:eastAsia="en-US" w:bidi="en-US"/>
              </w:rPr>
              <w:t>采用Intel通用80pin接口,易拆卸维修。CPU采用Intel酷睿第九代I5处理器（CPU 9400）；内存：8G DDR4；硬盘：256G SSD；具备6个USB接口（其中至少包含4路USB3.0接口）；具有独立非外扩展的视频输出接口：≥1路HDMI ；≥1路DP；≥1路Type-c等。</w:t>
            </w:r>
          </w:p>
          <w:p>
            <w:pPr>
              <w:pStyle w:val="38"/>
              <w:ind w:firstLine="0" w:firstLineChars="0"/>
              <w:rPr>
                <w:rStyle w:val="45"/>
                <w:rFonts w:ascii="微软雅黑" w:hAnsi="微软雅黑" w:eastAsia="微软雅黑" w:cs="微软雅黑"/>
                <w:color w:val="auto"/>
                <w:sz w:val="18"/>
                <w:szCs w:val="18"/>
                <w:highlight w:val="none"/>
                <w:lang w:eastAsia="en-US" w:bidi="en-US"/>
              </w:rPr>
            </w:pPr>
            <w:r>
              <w:rPr>
                <w:rStyle w:val="45"/>
                <w:rFonts w:hint="eastAsia" w:ascii="微软雅黑" w:hAnsi="微软雅黑" w:eastAsia="微软雅黑" w:cs="微软雅黑"/>
                <w:color w:val="auto"/>
                <w:sz w:val="18"/>
                <w:szCs w:val="18"/>
                <w:highlight w:val="none"/>
                <w:lang w:bidi="en-US"/>
              </w:rPr>
              <w:t>3、</w:t>
            </w:r>
            <w:r>
              <w:rPr>
                <w:rStyle w:val="45"/>
                <w:rFonts w:hint="eastAsia" w:ascii="微软雅黑" w:hAnsi="微软雅黑" w:eastAsia="微软雅黑" w:cs="微软雅黑"/>
                <w:color w:val="auto"/>
                <w:sz w:val="18"/>
                <w:szCs w:val="18"/>
                <w:highlight w:val="none"/>
                <w:lang w:eastAsia="en-US" w:bidi="en-US"/>
              </w:rPr>
              <w:t>标配正版Windows10操作系统。</w:t>
            </w:r>
          </w:p>
          <w:p>
            <w:pPr>
              <w:pStyle w:val="38"/>
              <w:ind w:firstLine="0" w:firstLineChars="0"/>
              <w:rPr>
                <w:rFonts w:ascii="微软雅黑" w:hAnsi="微软雅黑" w:eastAsia="微软雅黑" w:cs="微软雅黑"/>
                <w:color w:val="auto"/>
                <w:sz w:val="18"/>
                <w:szCs w:val="18"/>
                <w:highlight w:val="none"/>
              </w:rPr>
            </w:pPr>
            <w:r>
              <w:rPr>
                <w:rStyle w:val="45"/>
                <w:rFonts w:hint="eastAsia" w:ascii="微软雅黑" w:hAnsi="微软雅黑" w:eastAsia="微软雅黑" w:cs="微软雅黑"/>
                <w:color w:val="auto"/>
                <w:sz w:val="18"/>
                <w:szCs w:val="18"/>
                <w:highlight w:val="none"/>
                <w:lang w:bidi="en-US"/>
              </w:rPr>
              <w:t>4、</w:t>
            </w:r>
            <w:r>
              <w:rPr>
                <w:rFonts w:hint="eastAsia" w:ascii="宋体" w:hAnsi="宋体" w:cs="宋体"/>
                <w:color w:val="auto"/>
                <w:sz w:val="18"/>
                <w:szCs w:val="18"/>
                <w:highlight w:val="none"/>
              </w:rPr>
              <w:t>▲</w:t>
            </w:r>
            <w:r>
              <w:rPr>
                <w:rStyle w:val="45"/>
                <w:rFonts w:hint="eastAsia" w:ascii="微软雅黑" w:hAnsi="微软雅黑" w:eastAsia="微软雅黑" w:cs="微软雅黑"/>
                <w:color w:val="auto"/>
                <w:sz w:val="18"/>
                <w:szCs w:val="18"/>
                <w:highlight w:val="none"/>
                <w:lang w:bidi="en-US"/>
              </w:rPr>
              <w:t>正版Windows10（专业版）操作系统。（原生支持网络管理组策略，原生支持BitLocker加密功能，</w:t>
            </w:r>
          </w:p>
          <w:p>
            <w:pPr>
              <w:pStyle w:val="38"/>
              <w:ind w:firstLine="0" w:firstLineChars="0"/>
              <w:rPr>
                <w:rStyle w:val="45"/>
                <w:rFonts w:ascii="微软雅黑" w:hAnsi="微软雅黑" w:eastAsia="微软雅黑" w:cs="微软雅黑"/>
                <w:color w:val="auto"/>
                <w:sz w:val="18"/>
                <w:szCs w:val="18"/>
                <w:highlight w:val="none"/>
                <w:lang w:bidi="en-US"/>
              </w:rPr>
            </w:pPr>
            <w:r>
              <w:rPr>
                <w:rStyle w:val="45"/>
                <w:rFonts w:hint="eastAsia" w:ascii="微软雅黑" w:hAnsi="微软雅黑" w:eastAsia="微软雅黑" w:cs="微软雅黑"/>
                <w:color w:val="auto"/>
                <w:sz w:val="18"/>
                <w:szCs w:val="18"/>
                <w:highlight w:val="none"/>
                <w:lang w:bidi="en-US"/>
              </w:rPr>
              <w:t>5、标配正版Office 365。（正版Office办公软件，包含Outlook，Access组件支持多语言、支持AI-powered创意功能、支持Android平台编辑功能）。</w:t>
            </w:r>
          </w:p>
          <w:p>
            <w:pPr>
              <w:pStyle w:val="38"/>
              <w:ind w:firstLine="0" w:firstLineChars="0"/>
              <w:rPr>
                <w:rFonts w:ascii="微软雅黑" w:hAnsi="微软雅黑" w:eastAsia="微软雅黑" w:cs="微软雅黑"/>
                <w:color w:val="auto"/>
                <w:sz w:val="18"/>
                <w:szCs w:val="18"/>
                <w:highlight w:val="none"/>
              </w:rPr>
            </w:pPr>
            <w:r>
              <w:rPr>
                <w:rStyle w:val="45"/>
                <w:rFonts w:hint="eastAsia" w:ascii="微软雅黑" w:hAnsi="微软雅黑" w:eastAsia="微软雅黑" w:cs="微软雅黑"/>
                <w:color w:val="auto"/>
                <w:sz w:val="18"/>
                <w:szCs w:val="18"/>
                <w:highlight w:val="none"/>
                <w:lang w:bidi="en-US"/>
              </w:rPr>
              <w:t>6、设备兼容与认证：插拔式电脑模块需提供单独电脑模块。</w:t>
            </w:r>
            <w:r>
              <w:rPr>
                <w:rFonts w:hint="eastAsia" w:ascii="微软雅黑" w:hAnsi="微软雅黑" w:eastAsia="微软雅黑" w:cs="微软雅黑"/>
                <w:color w:val="auto"/>
                <w:sz w:val="18"/>
                <w:szCs w:val="18"/>
                <w:highlight w:val="none"/>
              </w:rPr>
              <w:t xml:space="preserve"> </w:t>
            </w:r>
          </w:p>
          <w:p>
            <w:pPr>
              <w:jc w:val="left"/>
              <w:rPr>
                <w:rStyle w:val="45"/>
                <w:rFonts w:ascii="微软雅黑" w:hAnsi="微软雅黑" w:eastAsia="微软雅黑" w:cs="微软雅黑"/>
                <w:color w:val="auto"/>
                <w:sz w:val="18"/>
                <w:szCs w:val="18"/>
                <w:highlight w:val="none"/>
              </w:rPr>
            </w:pPr>
            <w:r>
              <w:rPr>
                <w:rStyle w:val="45"/>
                <w:rFonts w:hint="eastAsia" w:ascii="微软雅黑" w:hAnsi="微软雅黑" w:eastAsia="微软雅黑" w:cs="微软雅黑"/>
                <w:color w:val="auto"/>
                <w:sz w:val="18"/>
                <w:szCs w:val="18"/>
                <w:highlight w:val="none"/>
                <w:lang w:bidi="en-US"/>
              </w:rPr>
              <w:t>7、内置WIFI：IEEE 802.11n 标准；内置网卡：10M/100M/1000M。</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11</w:t>
            </w:r>
          </w:p>
        </w:tc>
        <w:tc>
          <w:tcPr>
            <w:tcW w:w="83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交换机</w:t>
            </w:r>
          </w:p>
        </w:tc>
        <w:tc>
          <w:tcPr>
            <w:tcW w:w="6789" w:type="dxa"/>
          </w:tcPr>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w:t>
            </w:r>
            <w:r>
              <w:rPr>
                <w:rFonts w:hint="eastAsia" w:ascii="微软雅黑" w:hAnsi="微软雅黑" w:eastAsia="微软雅黑" w:cs="微软雅黑"/>
                <w:color w:val="auto"/>
                <w:sz w:val="18"/>
                <w:szCs w:val="18"/>
                <w:highlight w:val="none"/>
                <w:lang w:bidi="en-US"/>
              </w:rPr>
              <w:t xml:space="preserve"> </w:t>
            </w:r>
            <w:r>
              <w:rPr>
                <w:rFonts w:hint="eastAsia" w:ascii="微软雅黑" w:hAnsi="微软雅黑" w:eastAsia="微软雅黑" w:cs="微软雅黑"/>
                <w:color w:val="auto"/>
                <w:kern w:val="0"/>
                <w:sz w:val="18"/>
                <w:szCs w:val="18"/>
                <w:highlight w:val="none"/>
              </w:rPr>
              <w:t>提供固化千兆电接口≥48个，独立的千兆 SFP接口≥4 个；</w:t>
            </w:r>
          </w:p>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2.</w:t>
            </w:r>
            <w:r>
              <w:rPr>
                <w:rFonts w:hint="eastAsia" w:ascii="微软雅黑" w:hAnsi="微软雅黑" w:eastAsia="微软雅黑" w:cs="微软雅黑"/>
                <w:color w:val="auto"/>
                <w:sz w:val="18"/>
                <w:szCs w:val="18"/>
                <w:highlight w:val="none"/>
                <w:lang w:bidi="en-US"/>
              </w:rPr>
              <w:t xml:space="preserve"> </w:t>
            </w:r>
            <w:r>
              <w:rPr>
                <w:rFonts w:hint="eastAsia" w:ascii="微软雅黑" w:hAnsi="微软雅黑" w:eastAsia="微软雅黑" w:cs="微软雅黑"/>
                <w:color w:val="auto"/>
                <w:kern w:val="0"/>
                <w:sz w:val="18"/>
                <w:szCs w:val="18"/>
                <w:highlight w:val="none"/>
              </w:rPr>
              <w:t>交换容量≥3.3Tbps，包转发率≥144Mpps；</w:t>
            </w:r>
          </w:p>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3.支持虚拟化技术，将多台物理设备互相连接起来，使其虚拟为一台逻辑设备，</w:t>
            </w:r>
          </w:p>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4.支持 Telnet 访问连接数量限制和基于 IPv6 的 Telnet 访问连接数量限制功能；</w:t>
            </w:r>
          </w:p>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5.支持VLAN 交换，支持基于 MAC/协议/Voice/端口的 VLAN；支持QinQ；支持GE端口聚合、支持10GE端口聚合、支持静态聚合、支持动态聚合、支持跨设备聚合；</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6.支持IPv4/IPv6 静态路由、 支持RIP/RIPng，OSPFV1/V2/V3。</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台</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12</w:t>
            </w:r>
          </w:p>
        </w:tc>
        <w:tc>
          <w:tcPr>
            <w:tcW w:w="83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赛事管理平台</w:t>
            </w:r>
          </w:p>
        </w:tc>
        <w:tc>
          <w:tcPr>
            <w:tcW w:w="6789" w:type="dxa"/>
          </w:tcPr>
          <w:p>
            <w:pPr>
              <w:pStyle w:val="35"/>
              <w:spacing w:line="276" w:lineRule="auto"/>
              <w:ind w:firstLine="0" w:firstLineChars="0"/>
              <w:jc w:val="left"/>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平台要求</w:t>
            </w:r>
          </w:p>
          <w:p>
            <w:pPr>
              <w:numPr>
                <w:ilvl w:val="0"/>
                <w:numId w:val="9"/>
              </w:numPr>
              <w:spacing w:line="276" w:lineRule="auto"/>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要求基于J2EE平台，采用B/S架构，使用java开发技术，支持主流windows操作系统，支持集群部署。能在互联网上运行，安全性好、负载能力高，客户端免安装和零维护。</w:t>
            </w:r>
          </w:p>
          <w:p>
            <w:pPr>
              <w:numPr>
                <w:ilvl w:val="0"/>
                <w:numId w:val="9"/>
              </w:numPr>
              <w:spacing w:line="276" w:lineRule="auto"/>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要求采用MVC APP移动架构，支持学生、老师和评委采用手机进行操作、管理项目、评审项目和查看数据。</w:t>
            </w:r>
          </w:p>
          <w:p>
            <w:pPr>
              <w:numPr>
                <w:ilvl w:val="0"/>
                <w:numId w:val="9"/>
              </w:numPr>
              <w:spacing w:line="276" w:lineRule="auto"/>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要求系统PC部分应用采用MVC架构，前后端严格分离，前端与后台分开部署：</w:t>
            </w:r>
          </w:p>
          <w:p>
            <w:pPr>
              <w:numPr>
                <w:ilvl w:val="0"/>
                <w:numId w:val="9"/>
              </w:numPr>
              <w:spacing w:line="276" w:lineRule="auto"/>
              <w:ind w:firstLine="360" w:firstLineChars="20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 前端架构采用主流的前端框架VUE进行搭建；支持PC端和移动端（手机和PAD）访问使用；</w:t>
            </w:r>
          </w:p>
          <w:p>
            <w:pPr>
              <w:numPr>
                <w:ilvl w:val="0"/>
                <w:numId w:val="9"/>
              </w:numPr>
              <w:spacing w:line="276" w:lineRule="auto"/>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后台架构控制层通过Controller实现；模型层通过Java标准类来实现；与数据库的接口采用对JDBC进行轻量级封装的DAO提供的接口；系统所有操作通过Log4j记录操作日志；层与层之间关联采用松耦合框架技术实现业务。</w:t>
            </w:r>
          </w:p>
          <w:p>
            <w:pPr>
              <w:numPr>
                <w:ilvl w:val="0"/>
                <w:numId w:val="9"/>
              </w:numPr>
              <w:spacing w:line="276" w:lineRule="auto"/>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要求后台系统采用Redis做为缓存进行数据存取。</w:t>
            </w:r>
          </w:p>
          <w:p>
            <w:pPr>
              <w:numPr>
                <w:ilvl w:val="0"/>
                <w:numId w:val="9"/>
              </w:numPr>
              <w:spacing w:line="276" w:lineRule="auto"/>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要求前后端在数据交互时，采用SSL协议为数据通讯提供安全支持。</w:t>
            </w:r>
          </w:p>
          <w:p>
            <w:pPr>
              <w:numPr>
                <w:ilvl w:val="0"/>
                <w:numId w:val="9"/>
              </w:numPr>
              <w:spacing w:line="276" w:lineRule="auto"/>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要求系统移动端部分采用IOS和Android原生进行开发，并能从app store和android主流应用市场中下载（如：华为、小米、腾讯、360等）。</w:t>
            </w:r>
          </w:p>
          <w:p>
            <w:pPr>
              <w:numPr>
                <w:ilvl w:val="0"/>
                <w:numId w:val="9"/>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以赛事为中心，实现数据、业务逻辑和展现分离；支持项目的创建、辅导、评估、评审、数据分析、交流等应用；支持重要的项目数据、分数数据批量下载和打印。</w:t>
            </w:r>
          </w:p>
          <w:p>
            <w:pPr>
              <w:numPr>
                <w:ilvl w:val="0"/>
                <w:numId w:val="9"/>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以项目为中心，实现数据、业务逻辑和展现分离。</w:t>
            </w:r>
          </w:p>
          <w:p>
            <w:pPr>
              <w:pStyle w:val="6"/>
              <w:ind w:firstLine="36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▲为方便软件项目运用，平台需要支持手机端、电脑端双端登录操作，投标单位需提供彩页截图证明，并加盖公章。</w:t>
            </w:r>
          </w:p>
          <w:p>
            <w:pPr>
              <w:rPr>
                <w:color w:val="auto"/>
                <w:highlight w:val="none"/>
              </w:rPr>
            </w:pPr>
          </w:p>
          <w:p>
            <w:pPr>
              <w:spacing w:line="276" w:lineRule="auto"/>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模块一：管理员赛事管理</w:t>
            </w:r>
          </w:p>
          <w:p>
            <w:pPr>
              <w:spacing w:line="276" w:lineRule="auto"/>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适用场景：网上测评及现场赛事管理</w:t>
            </w:r>
          </w:p>
          <w:p>
            <w:pPr>
              <w:spacing w:line="276" w:lineRule="auto"/>
              <w:ind w:firstLine="180" w:firstLineChars="1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（一）赛前准备管理</w:t>
            </w:r>
          </w:p>
          <w:p>
            <w:pPr>
              <w:spacing w:line="276" w:lineRule="auto"/>
              <w:ind w:firstLine="180" w:firstLineChars="1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1.创建赛事:支持创建不同类型的双创赛事(如：互联网+大赛、挑战杯大赛等）。</w:t>
            </w:r>
          </w:p>
          <w:p>
            <w:pPr>
              <w:spacing w:line="276" w:lineRule="auto"/>
              <w:ind w:firstLine="180" w:firstLineChars="1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2.报名赛事：</w:t>
            </w:r>
          </w:p>
          <w:p>
            <w:pPr>
              <w:spacing w:line="276" w:lineRule="auto"/>
              <w:ind w:firstLine="180" w:firstLineChars="1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3.设置赛事评分标准：可自定义基础赛事及基础赛事分类及基础赛事各分类的评分标准。</w:t>
            </w:r>
          </w:p>
          <w:p>
            <w:pPr>
              <w:spacing w:line="276" w:lineRule="auto"/>
              <w:ind w:firstLine="180" w:firstLineChars="1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4.设置赛事评分规则</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5.设置赛事各赛道评审小组及各小组评委</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6.赛事参赛项目管理：通过选择时间、待查询赛事、参赛项目资料有无、参赛项目名称快速查找参赛项目，发送短信通知创始人进行完善操作，支持项目批量导入。</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7.未报名项目通知管理：查找本组织未报名学生项目，并向这些项目发送参赛通知短信.</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8.参赛项目分配管理</w:t>
            </w:r>
          </w:p>
          <w:p>
            <w:pPr>
              <w:spacing w:line="276" w:lineRule="auto"/>
              <w:rPr>
                <w:rFonts w:ascii="微软雅黑" w:hAnsi="微软雅黑" w:eastAsia="微软雅黑" w:cs="微软雅黑"/>
                <w:b/>
                <w:bCs/>
                <w:color w:val="auto"/>
                <w:sz w:val="18"/>
                <w:szCs w:val="18"/>
                <w:highlight w:val="none"/>
              </w:rPr>
            </w:pPr>
          </w:p>
          <w:p>
            <w:pPr>
              <w:spacing w:line="276" w:lineRule="auto"/>
              <w:rPr>
                <w:rFonts w:ascii="微软雅黑" w:hAnsi="微软雅黑" w:eastAsia="微软雅黑" w:cs="微软雅黑"/>
                <w:b/>
                <w:bCs/>
                <w:color w:val="auto"/>
                <w:sz w:val="18"/>
                <w:szCs w:val="18"/>
                <w:highlight w:val="none"/>
              </w:rPr>
            </w:pPr>
            <w:r>
              <w:rPr>
                <w:rFonts w:hint="eastAsia" w:ascii="微软雅黑" w:hAnsi="微软雅黑" w:eastAsia="微软雅黑" w:cs="微软雅黑"/>
                <w:b/>
                <w:bCs/>
                <w:color w:val="auto"/>
                <w:sz w:val="18"/>
                <w:szCs w:val="18"/>
                <w:highlight w:val="none"/>
              </w:rPr>
              <w:t>（</w:t>
            </w:r>
            <w:r>
              <w:rPr>
                <w:rFonts w:hint="eastAsia" w:ascii="微软雅黑" w:hAnsi="微软雅黑" w:eastAsia="微软雅黑" w:cs="微软雅黑"/>
                <w:color w:val="auto"/>
                <w:sz w:val="18"/>
                <w:szCs w:val="18"/>
                <w:highlight w:val="none"/>
              </w:rPr>
              <w:t>二）赛中赛后管理</w:t>
            </w:r>
          </w:p>
          <w:p>
            <w:pPr>
              <w:spacing w:line="276" w:lineRule="auto"/>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1.赛事大屏信息管理（支持现场赛事大屏演示场景）</w:t>
            </w:r>
          </w:p>
          <w:p>
            <w:pPr>
              <w:spacing w:line="276" w:lineRule="auto"/>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2.评委打分情况</w:t>
            </w:r>
          </w:p>
          <w:p>
            <w:pPr>
              <w:spacing w:line="276" w:lineRule="auto"/>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3.赛事优质项目推荐与查询：支持推荐项目：将某一赛事项目推荐到赛事当中。</w:t>
            </w:r>
          </w:p>
          <w:p>
            <w:pPr>
              <w:spacing w:line="276" w:lineRule="auto"/>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4.</w:t>
            </w:r>
            <w:r>
              <w:rPr>
                <w:rFonts w:hint="eastAsia" w:ascii="宋体" w:hAnsi="宋体" w:cs="宋体"/>
                <w:color w:val="auto"/>
                <w:kern w:val="0"/>
                <w:sz w:val="18"/>
                <w:szCs w:val="18"/>
                <w:highlight w:val="none"/>
              </w:rPr>
              <w:t>▲</w:t>
            </w:r>
            <w:r>
              <w:rPr>
                <w:rFonts w:hint="eastAsia" w:ascii="微软雅黑" w:hAnsi="微软雅黑" w:eastAsia="微软雅黑" w:cs="微软雅黑"/>
                <w:bCs/>
                <w:color w:val="auto"/>
                <w:sz w:val="18"/>
                <w:szCs w:val="18"/>
                <w:highlight w:val="none"/>
              </w:rPr>
              <w:t>大众投票</w:t>
            </w:r>
            <w:r>
              <w:rPr>
                <w:rFonts w:hint="eastAsia" w:ascii="微软雅黑" w:hAnsi="微软雅黑" w:eastAsia="微软雅黑" w:cs="微软雅黑"/>
                <w:color w:val="auto"/>
                <w:sz w:val="18"/>
                <w:szCs w:val="18"/>
                <w:highlight w:val="none"/>
              </w:rPr>
              <w:t>（提供产品彩页截图并加盖公章，原件备查）</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（1）支持大众投票列表显示，实时查看所有参赛项目大众评审成绩/票数。</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（2）赛事项目排名屏幕管理</w:t>
            </w:r>
          </w:p>
          <w:p>
            <w:pPr>
              <w:spacing w:line="276" w:lineRule="auto"/>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5.赛事结束管理</w:t>
            </w:r>
          </w:p>
          <w:p>
            <w:pPr>
              <w:spacing w:line="276" w:lineRule="auto"/>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（三）信息管理</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1.组织人员相关统计</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2.查看项目：支持查看项目详细信息，对项目进行预览。</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3.查看评委评审进度:</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4.项目得分查看:可通过选择赛事、赛道、小组、项目名称，快速查找赛道参赛项目，查看参赛项目得分及评审该项目的评委打分情况。</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5.赛事参赛项目基本信息查看：可快速查看参赛项目基本信息(支持下载)。</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6.查看已推荐项目情况：可在推荐项目查询中查看推荐项目。</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7.组织项目报告查看</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 xml:space="preserve">（1）查看本组织项目与行业、技术关系图 </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w:t>
            </w:r>
            <w:r>
              <w:rPr>
                <w:rFonts w:hint="eastAsia" w:ascii="宋体" w:hAnsi="宋体" w:cs="宋体"/>
                <w:color w:val="auto"/>
                <w:kern w:val="0"/>
                <w:sz w:val="18"/>
                <w:szCs w:val="18"/>
                <w:highlight w:val="none"/>
              </w:rPr>
              <w:t>▲</w:t>
            </w:r>
            <w:r>
              <w:rPr>
                <w:rFonts w:hint="eastAsia" w:ascii="微软雅黑" w:hAnsi="微软雅黑" w:eastAsia="微软雅黑" w:cs="微软雅黑"/>
                <w:bCs/>
                <w:color w:val="auto"/>
                <w:sz w:val="18"/>
                <w:szCs w:val="18"/>
                <w:highlight w:val="none"/>
              </w:rPr>
              <w:t>查看参与组织基础赛事的项目详细报告</w:t>
            </w:r>
            <w:r>
              <w:rPr>
                <w:rFonts w:hint="eastAsia" w:ascii="微软雅黑" w:hAnsi="微软雅黑" w:eastAsia="微软雅黑" w:cs="微软雅黑"/>
                <w:color w:val="auto"/>
                <w:sz w:val="18"/>
                <w:szCs w:val="18"/>
                <w:highlight w:val="none"/>
              </w:rPr>
              <w:t>（提供产品彩页截图并加盖公章，原件备查）</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（3）查看参与组织赛事的项目报告</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（4）查看参与组织基础赛事的项目报告</w:t>
            </w:r>
          </w:p>
          <w:p>
            <w:pPr>
              <w:spacing w:line="276" w:lineRule="auto"/>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（四）统计报告查看</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w:t>
            </w:r>
            <w:r>
              <w:rPr>
                <w:rFonts w:hint="eastAsia" w:ascii="宋体" w:hAnsi="宋体" w:cs="宋体"/>
                <w:color w:val="auto"/>
                <w:kern w:val="0"/>
                <w:sz w:val="18"/>
                <w:szCs w:val="18"/>
                <w:highlight w:val="none"/>
              </w:rPr>
              <w:t>▲</w:t>
            </w:r>
            <w:r>
              <w:rPr>
                <w:rFonts w:hint="eastAsia" w:ascii="微软雅黑" w:hAnsi="微软雅黑" w:eastAsia="微软雅黑" w:cs="微软雅黑"/>
                <w:bCs/>
                <w:color w:val="auto"/>
                <w:sz w:val="18"/>
                <w:szCs w:val="18"/>
                <w:highlight w:val="none"/>
              </w:rPr>
              <w:t>项目地图：支持查看创新创业项目地图，查看项目与行业，技术关系图。</w:t>
            </w:r>
            <w:r>
              <w:rPr>
                <w:rFonts w:hint="eastAsia" w:ascii="微软雅黑" w:hAnsi="微软雅黑" w:eastAsia="微软雅黑" w:cs="微软雅黑"/>
                <w:color w:val="auto"/>
                <w:sz w:val="18"/>
                <w:szCs w:val="18"/>
                <w:highlight w:val="none"/>
              </w:rPr>
              <w:t>（提供产品彩页截图并加盖公章，原件备查）</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2.项目报告：支持通过赛事年份，赛事名称查询已创建赛事项目统计报告，查看各项目类别组织占比。</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3.参赛项目质量分析：支持通过赛事年份、赛事名称查询院校项目质量报表，同时支持按学校模糊查询。</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4.</w:t>
            </w:r>
            <w:r>
              <w:rPr>
                <w:rFonts w:hint="eastAsia" w:ascii="宋体" w:hAnsi="宋体" w:cs="宋体"/>
                <w:color w:val="auto"/>
                <w:kern w:val="0"/>
                <w:sz w:val="18"/>
                <w:szCs w:val="18"/>
                <w:highlight w:val="none"/>
              </w:rPr>
              <w:t>▲</w:t>
            </w:r>
            <w:r>
              <w:rPr>
                <w:rFonts w:hint="eastAsia" w:ascii="微软雅黑" w:hAnsi="微软雅黑" w:eastAsia="微软雅黑" w:cs="微软雅黑"/>
                <w:bCs/>
                <w:color w:val="auto"/>
                <w:sz w:val="18"/>
                <w:szCs w:val="18"/>
                <w:highlight w:val="none"/>
              </w:rPr>
              <w:t>评委质量分析：可以查看每个比赛，各个评审的打分偏离度。</w:t>
            </w:r>
            <w:r>
              <w:rPr>
                <w:rFonts w:hint="eastAsia" w:ascii="微软雅黑" w:hAnsi="微软雅黑" w:eastAsia="微软雅黑" w:cs="微软雅黑"/>
                <w:color w:val="auto"/>
                <w:sz w:val="18"/>
                <w:szCs w:val="18"/>
                <w:highlight w:val="none"/>
              </w:rPr>
              <w:t>（提供产品彩页截图并加盖公章，原件备查）</w:t>
            </w:r>
          </w:p>
          <w:p>
            <w:pPr>
              <w:spacing w:line="276" w:lineRule="auto"/>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（五）组织基础赛事模板管理</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1.支持添加/修改/删除基础赛事模板。</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2.基础赛事模板分类管理：根据基础赛事分类要求填写赛事分类名称、基础赛事分类介绍、修改及删除。</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3.基础赛事模板各分类评分标准管理。</w:t>
            </w:r>
          </w:p>
          <w:p>
            <w:pPr>
              <w:spacing w:line="276" w:lineRule="auto"/>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模块二：评委端项目评审</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1.创建评委个人信息：支持评委自己创建，也可管理员添加评委个人信息。</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2.评委个人信息管理：支持评委修改个人信息。</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3.查找评审赛事：通过年代、赛事进行状态(全部、进行中、已结束)、赛事举办组织快速查找到评审赛事。</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4.选择评审项目：评委可选择评审项目，也可管理员进行分配评审项目。</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5.</w:t>
            </w:r>
            <w:r>
              <w:rPr>
                <w:rFonts w:hint="eastAsia" w:ascii="宋体" w:hAnsi="宋体" w:cs="宋体"/>
                <w:color w:val="auto"/>
                <w:kern w:val="0"/>
                <w:sz w:val="18"/>
                <w:szCs w:val="18"/>
                <w:highlight w:val="none"/>
              </w:rPr>
              <w:t>▲</w:t>
            </w:r>
            <w:r>
              <w:rPr>
                <w:rFonts w:hint="eastAsia" w:ascii="微软雅黑" w:hAnsi="微软雅黑" w:eastAsia="微软雅黑" w:cs="微软雅黑"/>
                <w:bCs/>
                <w:color w:val="auto"/>
                <w:sz w:val="18"/>
                <w:szCs w:val="18"/>
                <w:highlight w:val="none"/>
              </w:rPr>
              <w:t>评审参赛项目：支持直接提交打分情况（提交后不可修改打分分数），以及暂存打分情况（暂存后可修改分数后提交）。</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6.查看评审进度：从项目维度，通过赛道、小组、项目名查赛道小组所有项目评审进度。</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7.查看打分情况：可通过选择赛事、赛道、小组、项目名称，快速查找赛道参赛项目，查看参赛项目得分及评审该项目的评委打分情况。</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8.填写评审评语：对于每一位评委都是独立的，支持评委填写评语。</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9.项目评审笔记：评委评审时在该项目所作笔记</w:t>
            </w:r>
          </w:p>
          <w:p>
            <w:pPr>
              <w:spacing w:line="276" w:lineRule="auto"/>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模块三：学生端参赛报名</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1.创建参赛项目：支持学生PC端/移动端创建赛事项目。</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2.项目信息管理：支持创建者修改项目信息、赛道、组别等。</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3.参赛小组成员管理：支持学生使用学生端组建参赛小组。</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4.上传项目资料：支持学生上传资料，设置资料评委是否可见。</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5.赛事查询：赛事列表中展示当前学生所在组织的所有赛事，包含赛事名称、创建者、起止时间、是否报名或结束等信息。</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6.赛事报名：支持学生端在赛事信息中选择参加的比赛，报名参赛。</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7.查询得分情况：可通过选择赛事、赛道、小组、项目名称，快速查找赛道参赛项目，查看参赛项目得分及评审该项目的评委打分情况。</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8.查看得分排名：如果项目参加的赛事允许学生查看成绩和排名，学生端可查询项目得分排名。</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9.学生参与赛事项目列表：支持查询该项目历史所有参与过度赛事信息。</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10.搜索相关赛事：展示的是所有对全社会开放的赛事信息。</w:t>
            </w:r>
          </w:p>
          <w:p>
            <w:pPr>
              <w:spacing w:line="276" w:lineRule="auto"/>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模块四：APP移动端客户端</w:t>
            </w:r>
          </w:p>
          <w:p>
            <w:pPr>
              <w:spacing w:line="276" w:lineRule="auto"/>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（一）评委端项目评审</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1.创建评委个人信息：支持评委自己创建，也可管理员添加评委个人信息。</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2.评委个人信息管理：支持评委修改个人信息。</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3.查找评审赛事：通过年代、赛事进行状态(全部、进行中、已结束)、赛事举办组织快速查找评审赛事</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4.选择评审项目：评委可选择评审项目，也可管理员进行分配评审项目。</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5.评审参赛项目：支持直接提交打分情况（提交后不可修改打分分数），以及暂存打分情况（暂存后可修改分数后提交）</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6.查看评审进度：从项目维度，通过赛道、小组、项目名查赛道小组所有项目评审进度。</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7.查看打分情况：可通过选择赛事、赛道、小组、项目名称，快速查找赛道参赛项目，查看参赛项目得分及评审该项目的评委打分情况。</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8.填写评审评语：对于每一位评委都是独立的，支持评委填写评语。</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9.项目评审笔记：评委评审时在该项目所作笔记，支持点击分享图标时可以选择分享到希望分享的平台。</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10.APP移动端更多操作：选择项目评审详情页右上角更多图标，会弹出操作弹窗：包含关注项目、分享项目、项目笔记三个操作选项</w:t>
            </w:r>
          </w:p>
          <w:p>
            <w:pPr>
              <w:spacing w:line="276" w:lineRule="auto"/>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（二）学生端参赛报名</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1.创建参赛项目：支持学生端创建赛事。</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2.项目信息管理：支持创建者修改项目信息、赛道、组别等。</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3.参赛小组成员管理：支持学生使用学生端组建参赛小组。</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4.创建研讨室：APP移动端支持项目小组创建研讨室，在研讨室中进行项目研讨，可发送文字、图片、语音通话等。</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5.上传项目资料：支持学生上传资料，可选择本地文件上传或网站链接上传。</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6.赛事查询：赛事列表中展示当前学生所在组织的所有赛事，包含赛事名称、创建者、起止时间、是否报名或结束等信息。</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7.赛事报名：支持学生端在赛事信息中选择参加的比赛，报名参赛。</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8.查询得分情况：可通过选择赛事、赛道、小组、项目名称，快速查找赛道参赛项目，查看参赛项目得分及评审该项目的评委打分情况。</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9.查看得分排名：如果项目参加的赛事允许学生查看成绩和排名，学生端可查询项目得分排名。</w:t>
            </w:r>
          </w:p>
          <w:p>
            <w:pPr>
              <w:spacing w:line="276" w:lineRule="auto"/>
              <w:ind w:firstLine="360" w:firstLineChars="200"/>
              <w:rPr>
                <w:rFonts w:ascii="微软雅黑" w:hAnsi="微软雅黑" w:eastAsia="微软雅黑" w:cs="微软雅黑"/>
                <w:bCs/>
                <w:color w:val="auto"/>
                <w:sz w:val="18"/>
                <w:szCs w:val="18"/>
                <w:highlight w:val="none"/>
              </w:rPr>
            </w:pPr>
            <w:r>
              <w:rPr>
                <w:rFonts w:hint="eastAsia" w:ascii="微软雅黑" w:hAnsi="微软雅黑" w:eastAsia="微软雅黑" w:cs="微软雅黑"/>
                <w:bCs/>
                <w:color w:val="auto"/>
                <w:sz w:val="18"/>
                <w:szCs w:val="18"/>
                <w:highlight w:val="none"/>
              </w:rPr>
              <w:t>10.学生参与赛事项目列表：支持查询该项目历史所有参与过度赛事信息。</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bCs/>
                <w:color w:val="auto"/>
                <w:sz w:val="18"/>
                <w:szCs w:val="18"/>
                <w:highlight w:val="none"/>
              </w:rPr>
              <w:t>11.搜索相关赛事：展示的是所有对全社会开放的赛事信息。</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13</w:t>
            </w:r>
          </w:p>
        </w:tc>
        <w:tc>
          <w:tcPr>
            <w:tcW w:w="838" w:type="dxa"/>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项目实战训练平台</w:t>
            </w:r>
          </w:p>
        </w:tc>
        <w:tc>
          <w:tcPr>
            <w:tcW w:w="6789" w:type="dxa"/>
          </w:tcPr>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总体要求</w:t>
            </w:r>
          </w:p>
          <w:p>
            <w:pPr>
              <w:numPr>
                <w:ilvl w:val="0"/>
                <w:numId w:val="10"/>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通过多场景训练、多维度分析，探索“以学生为中心”的课堂教学模式，帮助双创项目团队成员进一步掌握项目成长要点，提高项目质量。</w:t>
            </w:r>
          </w:p>
          <w:p>
            <w:pPr>
              <w:numPr>
                <w:ilvl w:val="0"/>
                <w:numId w:val="10"/>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通过线上课程平台及丰富的在线教学资源，支持学生随时随地自主学习。</w:t>
            </w:r>
          </w:p>
          <w:p>
            <w:pPr>
              <w:numPr>
                <w:ilvl w:val="0"/>
                <w:numId w:val="10"/>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通过线上线下互动教学实战平台搭建，支持院校翻转学习、混合式学习在课堂中的应用，支持学生随时随地团队共创学习，打造团队专属工作室空间。</w:t>
            </w:r>
          </w:p>
          <w:p>
            <w:pPr>
              <w:numPr>
                <w:ilvl w:val="0"/>
                <w:numId w:val="10"/>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构建各类双创项目训练营、双创大赛需要，打造路演竞赛虚拟仿真全流程，包括项目网评、项目会评、项目现场评审等场景及细节，支持项目实践指导与项目质量打磨提升。</w:t>
            </w:r>
          </w:p>
          <w:p>
            <w:pPr>
              <w:numPr>
                <w:ilvl w:val="0"/>
                <w:numId w:val="10"/>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通过简单易用的工具及平台，赋能更多院校双创教师与孵化器导师掌握真实双创项目辅导方法，提升院校老师双创项目教学与指导能力。</w:t>
            </w:r>
          </w:p>
          <w:p>
            <w:pPr>
              <w:numPr>
                <w:ilvl w:val="0"/>
                <w:numId w:val="10"/>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通过云计算、大数据等新信息技术，支持企业导师与投资人随时随地进行项目实践辅导、项目筛选对接与孵化跟进，强化校内外导师队伍建设与实际运营。</w:t>
            </w:r>
          </w:p>
          <w:p>
            <w:pPr>
              <w:numPr>
                <w:ilvl w:val="0"/>
                <w:numId w:val="10"/>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支持项目的创建、辅导、评测、数据分析、师生APP端交流对接等应用。</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    ▲为方便软件项目运用，平台需要支持手机端、电脑端双端登录操作，投标单位需提供彩页截图证明，并加盖公章。</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模块一：双创项目训练在线课程</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主要内容包括：</w:t>
            </w:r>
          </w:p>
          <w:p>
            <w:pPr>
              <w:numPr>
                <w:ilvl w:val="0"/>
                <w:numId w:val="1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营前准备：如何创建项目工作室、如何做好项目资料管理、如何参加项目训练营、如何写好成长日记。</w:t>
            </w:r>
          </w:p>
          <w:p>
            <w:pPr>
              <w:numPr>
                <w:ilvl w:val="0"/>
                <w:numId w:val="1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第一章  认识创新创业大赛：创新创业教育的时代背景、创新创业教育基本概念、“互联网+”大赛六大价值。</w:t>
            </w:r>
          </w:p>
          <w:p>
            <w:pPr>
              <w:numPr>
                <w:ilvl w:val="0"/>
                <w:numId w:val="1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第二章  启动创新之旅：优秀项目十大来源、如何选拔金种子项目、如何进行金种子测评。</w:t>
            </w:r>
          </w:p>
          <w:p>
            <w:pPr>
              <w:numPr>
                <w:ilvl w:val="0"/>
                <w:numId w:val="1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第三章  选择你的赛道：创新创业项目行业洞察与赛道解析。</w:t>
            </w:r>
          </w:p>
          <w:p>
            <w:pPr>
              <w:numPr>
                <w:ilvl w:val="0"/>
                <w:numId w:val="1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第四章  掌握评审规则：投资人、专家眼中的优秀项目标准与看点解析。</w:t>
            </w:r>
          </w:p>
          <w:p>
            <w:pPr>
              <w:numPr>
                <w:ilvl w:val="0"/>
                <w:numId w:val="1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第五章  迭代商业计划：好项目资料的六大特征、商业计划书PPT版本撰写逻辑与要点、商业计划书word版本撰写大纲与要点、如何制作项目路演视频资料、如何梳理商业模式。</w:t>
            </w:r>
          </w:p>
          <w:p>
            <w:pPr>
              <w:numPr>
                <w:ilvl w:val="0"/>
                <w:numId w:val="1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第六章  走向路演舞台：路演呈现的六大要点、成功答辩的六大要素、评委专家常问问题。</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模块二：线上项目工作室</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资料上传：支持工作室内成员学习资源共享，支持word、ppt、视频常见格式的上传，实现在线预览。</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资料共享：提供PC端、手机端项目私密工作室互动，支持团队计划书、照片、视频、文档等资料共享学习。</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资料加密：支持项目资料的多级加密处理，不提供项目资料下载，保护项目资料的安全性。</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资料编辑：支持项目团队登陆后进行项目资料的修改、删除，随时进行项目资料的更新。</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成员管理：支持创始人对项目工作室内成员进行添加、删除、交流等管理。</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团队交流：支持语音、文字、图片、视频形式互动交流。</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项目在线辅导：支持项目导师实现在线工作室同创、交流、辅导。</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项目系统测评:支持项目创始人对项目进行多轮次测评，帮助创业团队梳理思路，明确项目发展情况，并建立项目测评成长记录。</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项目管理设置：提供工作室详情、团队成员管理等功能，支持项目创新成长。</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项目成长日志：对项目人员、资料、奖项等变更信息进行历史记录。</w:t>
            </w:r>
          </w:p>
          <w:p>
            <w:pPr>
              <w:numPr>
                <w:ilvl w:val="0"/>
                <w:numId w:val="1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权限管理：所有工作室内资料及动态非小组内成员不可见。</w:t>
            </w:r>
          </w:p>
          <w:p>
            <w:pPr>
              <w:rPr>
                <w:rFonts w:ascii="微软雅黑" w:hAnsi="微软雅黑" w:eastAsia="微软雅黑" w:cs="微软雅黑"/>
                <w:color w:val="auto"/>
                <w:sz w:val="18"/>
                <w:szCs w:val="18"/>
                <w:highlight w:val="none"/>
              </w:rPr>
            </w:pP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模块三：线上项目训练营</w:t>
            </w:r>
          </w:p>
          <w:p>
            <w:pPr>
              <w:numPr>
                <w:ilvl w:val="0"/>
                <w:numId w:val="13"/>
              </w:numPr>
              <w:ind w:firstLine="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入营项目管理</w:t>
            </w:r>
          </w:p>
          <w:p>
            <w:pPr>
              <w:numPr>
                <w:ilvl w:val="0"/>
                <w:numId w:val="14"/>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创建项目：入营项目团队可创建新项目，填报项目资料，生成项目独立工作室。</w:t>
            </w:r>
          </w:p>
          <w:p>
            <w:pPr>
              <w:numPr>
                <w:ilvl w:val="0"/>
                <w:numId w:val="14"/>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选择项目：入营项目团队可选择已创建项目直接入营。</w:t>
            </w:r>
          </w:p>
          <w:p>
            <w:pPr>
              <w:numPr>
                <w:ilvl w:val="0"/>
                <w:numId w:val="14"/>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认领项目：导师可直接创建项目，分配给无项目的团队进一步学习。</w:t>
            </w:r>
          </w:p>
          <w:p>
            <w:pPr>
              <w:numPr>
                <w:ilvl w:val="0"/>
                <w:numId w:val="14"/>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项目管理设置：提供工作室详情、团队成员管理等功能，支持项目创新成长。</w:t>
            </w:r>
          </w:p>
          <w:p>
            <w:pPr>
              <w:rPr>
                <w:rFonts w:ascii="微软雅黑" w:hAnsi="微软雅黑" w:eastAsia="微软雅黑" w:cs="微软雅黑"/>
                <w:color w:val="auto"/>
                <w:sz w:val="18"/>
                <w:szCs w:val="18"/>
                <w:highlight w:val="none"/>
              </w:rPr>
            </w:pPr>
          </w:p>
          <w:p>
            <w:pPr>
              <w:numPr>
                <w:ilvl w:val="0"/>
                <w:numId w:val="13"/>
              </w:numPr>
              <w:ind w:firstLine="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项目资料查询</w:t>
            </w:r>
          </w:p>
          <w:p>
            <w:pPr>
              <w:numPr>
                <w:ilvl w:val="0"/>
                <w:numId w:val="15"/>
              </w:numPr>
              <w:ind w:left="3" w:firstLineChars="22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资料上传：支持工作室内成员学习资源共享，支持word、ppt、视频常见格式的上传，实现在线预览。</w:t>
            </w:r>
          </w:p>
          <w:p>
            <w:pPr>
              <w:numPr>
                <w:ilvl w:val="0"/>
                <w:numId w:val="15"/>
              </w:numPr>
              <w:ind w:left="3" w:firstLineChars="22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共享资料：提供PC端、手机端项目私密工作室互动，支持团队计划书、照片、视频、文档等资料共享学习。</w:t>
            </w:r>
          </w:p>
          <w:p>
            <w:pPr>
              <w:numPr>
                <w:ilvl w:val="0"/>
                <w:numId w:val="15"/>
              </w:numPr>
              <w:ind w:left="3" w:firstLineChars="222"/>
              <w:rPr>
                <w:rFonts w:ascii="微软雅黑" w:hAnsi="微软雅黑" w:eastAsia="微软雅黑" w:cs="微软雅黑"/>
                <w:color w:val="auto"/>
                <w:sz w:val="18"/>
                <w:szCs w:val="18"/>
                <w:highlight w:val="none"/>
              </w:rPr>
            </w:pP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资料加密：支持项目资料的多级加密处理，不提供项目资料下载，保护项目资料的安全性。</w:t>
            </w:r>
          </w:p>
          <w:p>
            <w:pPr>
              <w:numPr>
                <w:ilvl w:val="0"/>
                <w:numId w:val="15"/>
              </w:numPr>
              <w:ind w:left="3" w:firstLineChars="22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资料编辑：支持项目团队登陆后进行项目资料的修改、删除，随时进行项目资料的更新。</w:t>
            </w:r>
          </w:p>
          <w:p>
            <w:pPr>
              <w:numPr>
                <w:ilvl w:val="0"/>
                <w:numId w:val="15"/>
              </w:numPr>
              <w:ind w:left="3" w:firstLineChars="22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资料查阅：支持项目导师直接查看所有入营项目资料。</w:t>
            </w:r>
          </w:p>
          <w:p>
            <w:pPr>
              <w:numPr>
                <w:ilvl w:val="0"/>
                <w:numId w:val="15"/>
              </w:numPr>
              <w:ind w:left="3" w:firstLineChars="22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支持学校根据教学、训练需要，自主上传实训课件，包括知识点涉及的业务指导文档、视频课件等内容。</w:t>
            </w:r>
          </w:p>
          <w:p>
            <w:pPr>
              <w:numPr>
                <w:ilvl w:val="0"/>
                <w:numId w:val="13"/>
              </w:numPr>
              <w:ind w:firstLine="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线上交流辅导</w:t>
            </w:r>
          </w:p>
          <w:p>
            <w:pPr>
              <w:numPr>
                <w:ilvl w:val="0"/>
                <w:numId w:val="16"/>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全员研讨：所有营内成员入营后自动创建集体讨论室，开展集中学习、研讨与交流。</w:t>
            </w:r>
          </w:p>
          <w:p>
            <w:pPr>
              <w:numPr>
                <w:ilvl w:val="0"/>
                <w:numId w:val="16"/>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小组研讨：支持项目导师于各研讨组之间轮流辅导，支持一对一、多对一辅导交流。</w:t>
            </w:r>
          </w:p>
          <w:p>
            <w:pPr>
              <w:numPr>
                <w:ilvl w:val="0"/>
                <w:numId w:val="16"/>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定向提问：训练营成员可向导师团进行提问，并指定邀请导师进行答疑辅导。</w:t>
            </w:r>
          </w:p>
          <w:p>
            <w:pPr>
              <w:numPr>
                <w:ilvl w:val="0"/>
                <w:numId w:val="16"/>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讨论方式：支持语音、文字、图片、视频聊天。</w:t>
            </w:r>
          </w:p>
          <w:p>
            <w:pPr>
              <w:numPr>
                <w:ilvl w:val="0"/>
                <w:numId w:val="16"/>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文件发送：支持研讨组内文件发送与交流。</w:t>
            </w:r>
          </w:p>
          <w:p>
            <w:pPr>
              <w:numPr>
                <w:ilvl w:val="0"/>
                <w:numId w:val="16"/>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消息导出：支持训练营学习记录文字内容导出。</w:t>
            </w:r>
          </w:p>
          <w:p>
            <w:pPr>
              <w:numPr>
                <w:ilvl w:val="0"/>
                <w:numId w:val="16"/>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位置共享：发送营员位置，并支持共享实时位置。</w:t>
            </w:r>
          </w:p>
          <w:p>
            <w:pPr>
              <w:numPr>
                <w:ilvl w:val="0"/>
                <w:numId w:val="13"/>
              </w:numPr>
              <w:ind w:firstLine="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实战训练工具</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虚拟仿真实战互动：通过同伴互评、项目模型、项目评估、问题库等多款实战工具支持大规模教学互动，提升学员课堂参与度、能力分析与培养。</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多场景模拟训练：支持各项目模拟项目网评、项目路演、项目答辩全流程评审。</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金种子选拔：对参加训练营的项目是否具备初期优质项目的潜力进行评测，通过对市场、团队，技术，实际效果等维度对项目是否具备符合金种子的特点进行测评。</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赛道测评：对参加训练营的项目进行是否符合某个赛道的测评，测评根据每个赛道的特性，划分为共性审查和个性审查两个部分，通过“符合要求”、“需要确认”、“不需要考虑”、“不符合”四个维度进行确认。</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大众评审：支持参加训练营的项目进行多轮次的评审。支持网络评审、现场路演以及现场答辩多场景的评审模拟以及横纵向的数据对比分析。</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信度测评：全员参考“优秀项目”测评标准，对参加训练营的项目关键要点进行分析、打分以及提出问题和修改建议。</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资料测评：全员可参考资料测评标准，对参加训练营的项目进行分析、打分以及提出问题和修改建议。</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路演测评：全员可对照“路演测评”标准，对参加训练营的项目进行分析、打分以及提出问题和修改建议。</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答辨测评：全员可参照“答辩测评”标准，对参加训练营的项目进行分析、打分以及提出问题和修改建议。</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有问必答：系统内置17个经典提问范例供辅导教师使用，促进项目团队思考回答，并可发动全员就问答呈现进行测评反馈。</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成长笔记：参加训练营学员，可记录每一天学习心得。学习心得可以分享到微信等。</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分析报告：对参与项目训练营的各项目团队的项目进行综合测评分析。</w:t>
            </w:r>
          </w:p>
          <w:p>
            <w:pPr>
              <w:numPr>
                <w:ilvl w:val="0"/>
                <w:numId w:val="17"/>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成绩评语：支持参加训练营的项目查看以往参加各类比赛的成绩与评语信息，便于项目辅导教师充分了解项目情况，给出针对性意见。  </w:t>
            </w:r>
          </w:p>
          <w:p>
            <w:pPr>
              <w:numPr>
                <w:ilvl w:val="0"/>
                <w:numId w:val="13"/>
              </w:numPr>
              <w:ind w:firstLine="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成员管理</w:t>
            </w:r>
          </w:p>
          <w:p>
            <w:pPr>
              <w:numPr>
                <w:ilvl w:val="0"/>
                <w:numId w:val="18"/>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权限管理：所有工作室内资料及动态非小组内成员不可见。</w:t>
            </w:r>
          </w:p>
          <w:p>
            <w:pPr>
              <w:numPr>
                <w:ilvl w:val="0"/>
                <w:numId w:val="18"/>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多导师辅导模式：系统支持多个导师同时辅导参加实训的项目团队，由训练营超级管理员指定多个管理员和辅导老师进行。</w:t>
            </w:r>
          </w:p>
          <w:p>
            <w:pPr>
              <w:numPr>
                <w:ilvl w:val="0"/>
                <w:numId w:val="18"/>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相互交流：支持营内成员直接私信交流，通知、消息直达。</w:t>
            </w:r>
          </w:p>
          <w:p>
            <w:pPr>
              <w:numPr>
                <w:ilvl w:val="0"/>
                <w:numId w:val="18"/>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添加好友：添加好友进入通讯录，支持实时交流互动。</w:t>
            </w:r>
          </w:p>
          <w:p>
            <w:pPr>
              <w:numPr>
                <w:ilvl w:val="0"/>
                <w:numId w:val="18"/>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移出训练营：不符合本营要求的成员可由营长、导师移出训练营。</w:t>
            </w:r>
          </w:p>
          <w:p>
            <w:pPr>
              <w:numPr>
                <w:ilvl w:val="0"/>
                <w:numId w:val="18"/>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设为导师：营长可将邀请入营的导师团设置为“导师”即可查阅营内项目资料。</w:t>
            </w:r>
          </w:p>
          <w:p>
            <w:pPr>
              <w:numPr>
                <w:ilvl w:val="0"/>
                <w:numId w:val="18"/>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转移训练营：营长中途或希望转移训练营主管权限，可直接将身份权限转移给指定营内成员</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模块四：APP移动客户端</w:t>
            </w:r>
          </w:p>
          <w:p>
            <w:pPr>
              <w:numPr>
                <w:ilvl w:val="0"/>
                <w:numId w:val="19"/>
              </w:numPr>
              <w:ind w:firstLine="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营长用户移动端</w:t>
            </w:r>
          </w:p>
          <w:p>
            <w:pPr>
              <w:numPr>
                <w:ilvl w:val="0"/>
                <w:numId w:val="20"/>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创建训练营：营长享有训练营创建权限，上传训练营LOGO、名称、简介，设置训练营规则。</w:t>
            </w:r>
          </w:p>
          <w:p>
            <w:pPr>
              <w:numPr>
                <w:ilvl w:val="0"/>
                <w:numId w:val="20"/>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设置训练营规则：训练营可设为开放式无需入营审核，也可设为对入营邀请进行“审核”后进入训练营。</w:t>
            </w:r>
          </w:p>
          <w:p>
            <w:pPr>
              <w:numPr>
                <w:ilvl w:val="0"/>
                <w:numId w:val="20"/>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训练轮次设置：训练营内每个模块工具的测评可设置为1轮或多轮可支持项目资料的反复打磨。</w:t>
            </w:r>
          </w:p>
          <w:p>
            <w:pPr>
              <w:numPr>
                <w:ilvl w:val="0"/>
                <w:numId w:val="20"/>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发布通知：发布训练营邀请码至项目团队、导师，邀请其入营。</w:t>
            </w:r>
          </w:p>
          <w:p>
            <w:pPr>
              <w:numPr>
                <w:ilvl w:val="0"/>
                <w:numId w:val="20"/>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设置营员身份：设置营内“导师”权限，可查阅营内所有项目资料。</w:t>
            </w:r>
          </w:p>
          <w:p>
            <w:pPr>
              <w:numPr>
                <w:ilvl w:val="0"/>
                <w:numId w:val="20"/>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营员管理：对于违规或误添加营员可移出训练营。</w:t>
            </w:r>
          </w:p>
          <w:p>
            <w:pPr>
              <w:numPr>
                <w:ilvl w:val="0"/>
                <w:numId w:val="20"/>
              </w:numPr>
              <w:ind w:firstLine="360" w:firstLine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转移营长权限：如中途营长变更，营长可将训练营管理权限转移至新营长。</w:t>
            </w:r>
          </w:p>
          <w:p>
            <w:pPr>
              <w:numPr>
                <w:ilvl w:val="0"/>
                <w:numId w:val="19"/>
              </w:numPr>
              <w:ind w:firstLine="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导师用户移动端</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项目工作室辅导</w:t>
            </w:r>
          </w:p>
          <w:p>
            <w:pPr>
              <w:numPr>
                <w:ilvl w:val="0"/>
                <w:numId w:val="2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加入工作室：辅导教师通过项目邀请码加入工作室，随时查看项目资料、研讨信息以及项目成长记录等。</w:t>
            </w:r>
          </w:p>
          <w:p>
            <w:pPr>
              <w:numPr>
                <w:ilvl w:val="0"/>
                <w:numId w:val="2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项目资料查看：支持辅导教师在线查看项目信息，并可通过工作室完成项目关键文档存储、项目资料学习、项目系统自测、项目团队研讨、项目管理设置等项目管理与运维。</w:t>
            </w:r>
          </w:p>
          <w:p>
            <w:pPr>
              <w:numPr>
                <w:ilvl w:val="0"/>
                <w:numId w:val="2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资料共享学习：支持导师上传训练营通知、活动安排、共享资料等照片、视频、文档加密上传，支持专业资源共享学习。</w:t>
            </w:r>
          </w:p>
          <w:p>
            <w:pPr>
              <w:numPr>
                <w:ilvl w:val="0"/>
                <w:numId w:val="2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项目交流辅导：支持项目指导老师一对一、多对一等方式进行项目在线咨询、面对面研讨，帮助项目团队开展项目诊断、项目辅导、资源对接和成长。</w:t>
            </w:r>
          </w:p>
          <w:p>
            <w:pPr>
              <w:numPr>
                <w:ilvl w:val="0"/>
                <w:numId w:val="21"/>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项目管理设置：提供工作室详情、团队成员管理、项目成长日历等功能，支持项目创新成长。</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项目训练营模块</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 .创建训练营/加入训练营：随时创建专属训练营，自动生成训练营邀请码，可支持多轮次、多项目、多指标、多导师、多维度的训练。</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 实训资料共享互动：支持训练营期间学习资料和项目资料上传，教学资源共享，支持师生同创与团队之间优秀案例交流。其中，项目区的资料只有辅导老师能够查看；共享区的资料全员都可查看。</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 虚拟仿真实战工具：通过同伴互评、项目模型、项目评估、问题库等多款实战工具支持大规模教学互动，提升学员课堂参与度、能力分析与培养。同时虚拟各项目训练、竞赛时的项目网评、项目会评、项目路演、项目答辩、评审等全流程。</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4. </w:t>
            </w: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金种子选拔：对参加训练营的项目是否具备初期优质项目的潜力进行评测，通过对市场、团队，技术，实际效果等维度对项目是否具备符合金种子的特点进行测评。</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5. </w:t>
            </w: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赛道测评：对参加训练营的项目进行是否符合某个赛道的测评，测评根据每个赛道的特性，划分为共性审查和个性审查两个部分，通过“符合要求”、“需要确认”、“不需要考虑”、“不符合”四个维度进行确认。</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 大众评审：支持参加训练营的工作进行多轮次的评审，评审可依据互联网+大赛、挑战杯大赛和其他自定义大赛的评分标准进行评审。支持网络评审、现场路演以及现场答辩多场景的评审模拟以及横纵向的数据对比分析；</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7. </w:t>
            </w: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信度测评：辅导教师可利用工具从“市场可信”、“技术可信”、“产品可信”、“模式可信”、“团队可信”和“未来可信”六个维度对参加训练营的项目进行分析、打分以及提出问题和修改建议。</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8. </w:t>
            </w: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资料测评：辅导教师可利用工具从“主题鲜明”、“定位精准”、“逻辑清晰”、“内容丰富”、“形式专业”和“结尾有力”六个维度对参加训练营的项目进行分析、打分以及提出问题和修改建议。</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9.路演测评：辅导教师可利用工具从“准备充分度”、“团队匹配度”、“现场打动度”、“现场把控度”、“表达自然度”和“时间可控度”六个维度对参加训练营的项目进行分析、打分以及提出问题和修改建议。</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10.答辨测评：辅导教师可利用工具从“认真准备”、“合理分工”、“听清问题”、“回答精准”、“自信自然”和“感恩好学”六个维度对参加训练营的项目进行分析、打分以及提出问题和修改建议。</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11.有问必答：系统内置17个精典评委的提问问题范例供辅导教师使用，让项目团队回答，并可发动全场参训人员就辅导教师发布的问题进行打份评价。</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12.成长笔记：参加训练营的学员，可记录每一天学习心得。学习心得可以分享到微信等。</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13.分析报告：对参与项目训练营的各项目团队的项目进行综合测评分析</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14.成绩评语：支持参加训练营的项目查看以往参加各类比赛的成绩与评语信息，便于项目辅导教师充分了解项目情况，给出针对性意见。  </w:t>
            </w:r>
          </w:p>
          <w:p>
            <w:pPr>
              <w:numPr>
                <w:ilvl w:val="0"/>
                <w:numId w:val="19"/>
              </w:numPr>
              <w:ind w:firstLine="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学生用户移动端</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在线课程学习</w:t>
            </w:r>
          </w:p>
          <w:p>
            <w:pPr>
              <w:numPr>
                <w:ilvl w:val="0"/>
                <w:numId w:val="2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平台包含项目实战课程及相关教学资源，具备在线学习、线上项目工作室孵化、项目训练营以及赛事模拟等移动端功能。</w:t>
            </w:r>
          </w:p>
          <w:p>
            <w:pPr>
              <w:numPr>
                <w:ilvl w:val="0"/>
                <w:numId w:val="2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支持手机端和PC端同时在线课程学习。</w:t>
            </w:r>
          </w:p>
          <w:p>
            <w:pPr>
              <w:numPr>
                <w:ilvl w:val="0"/>
                <w:numId w:val="2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使用平台学习课程自定义视频播放模式。</w:t>
            </w:r>
          </w:p>
          <w:p>
            <w:pPr>
              <w:numPr>
                <w:ilvl w:val="0"/>
                <w:numId w:val="2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学生可通过平台查看学习课程基本信息。</w:t>
            </w:r>
          </w:p>
          <w:p>
            <w:pPr>
              <w:numPr>
                <w:ilvl w:val="0"/>
                <w:numId w:val="22"/>
              </w:num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可在平台移动端查看学习记录及学习心跳图。</w:t>
            </w:r>
          </w:p>
          <w:p>
            <w:pPr>
              <w:numPr>
                <w:ilvl w:val="0"/>
                <w:numId w:val="22"/>
              </w:numPr>
              <w:rPr>
                <w:rFonts w:ascii="微软雅黑" w:hAnsi="微软雅黑" w:eastAsia="微软雅黑" w:cs="微软雅黑"/>
                <w:color w:val="auto"/>
                <w:sz w:val="18"/>
                <w:szCs w:val="18"/>
                <w:highlight w:val="none"/>
              </w:rPr>
            </w:pP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创新创业课程开发平台支持颁发区块链证书，APP中可直接查阅证书，支持分享到微信、QQ等第三方平台。</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创建项目工作室</w:t>
            </w:r>
          </w:p>
          <w:p>
            <w:pPr>
              <w:numPr>
                <w:ilvl w:val="0"/>
                <w:numId w:val="23"/>
              </w:numPr>
              <w:ind w:left="0" w:firstLine="4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支持学生在线创建项目信息，并可通过工作室完成项目关键文档存储、项目资料学习、项目系统自测、项目团队研讨、项目管理设置等项目管理与运维。</w:t>
            </w:r>
          </w:p>
          <w:p>
            <w:pPr>
              <w:numPr>
                <w:ilvl w:val="0"/>
                <w:numId w:val="23"/>
              </w:numPr>
              <w:ind w:left="0" w:firstLine="4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创建工作室：项目团队成员创建项目工作室，并邀请其他团队成员和辅导教师，随时查看项目资料、研讨信息以及项目成长记录等。</w:t>
            </w:r>
          </w:p>
          <w:p>
            <w:pPr>
              <w:numPr>
                <w:ilvl w:val="0"/>
                <w:numId w:val="23"/>
              </w:numPr>
              <w:ind w:left="0" w:firstLine="4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资料共享学习：提供PC端、手机端项目私密工作室互动，支持团队计划书、照片、视频、文档在线研讨学习及加密上传，支持专业资源共享学习。</w:t>
            </w:r>
          </w:p>
          <w:p>
            <w:pPr>
              <w:numPr>
                <w:ilvl w:val="0"/>
                <w:numId w:val="23"/>
              </w:numPr>
              <w:ind w:left="0" w:firstLine="4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项目系统测评：结合百名投资人项目评审经验，开发出一套项目系统自测题，为创业者提供项目综合测评，帮助创业团队梳理思路，明确项目发展情况，并建立项目测评成长记录。</w:t>
            </w:r>
          </w:p>
          <w:p>
            <w:pPr>
              <w:numPr>
                <w:ilvl w:val="0"/>
                <w:numId w:val="23"/>
              </w:numPr>
              <w:ind w:left="0" w:firstLine="4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项目交流辅导：组织成功创业者、企业家、行业专家等建立专人或多人项目咨询辅导团队，采用一对一、多对一等方式进行项目在线咨询、面对面研讨，帮助项目团队开展项目诊断、项目辅导、资源对接和成长。</w:t>
            </w:r>
          </w:p>
          <w:p>
            <w:pPr>
              <w:numPr>
                <w:ilvl w:val="0"/>
                <w:numId w:val="23"/>
              </w:numPr>
              <w:ind w:left="0" w:firstLine="4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项目管理设置：提供工作室详情、团队成员管理、项目成长日历等功能，支持项目创新成长。</w:t>
            </w:r>
          </w:p>
          <w:p>
            <w:pPr>
              <w:numPr>
                <w:ilvl w:val="0"/>
                <w:numId w:val="23"/>
              </w:numPr>
              <w:ind w:left="0" w:firstLine="4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一键同步团队共创：实战训练营与项目工作室联动，项目团队可一键同步最新资料参与实战训练，同时支持导师团同时在线浏览多个项目资料，提高学习效率，探索以学生为中心，以能力培养为目标的双创实践教学模式。</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模块五：PC教学管理端</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（一）基本信息</w:t>
            </w:r>
          </w:p>
          <w:p>
            <w:pPr>
              <w:ind w:left="420" w:left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 支持查看全校/学院教学分析。</w:t>
            </w:r>
          </w:p>
          <w:p>
            <w:pPr>
              <w:ind w:left="420" w:left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 支持查看各学院参课学生分布。</w:t>
            </w:r>
          </w:p>
          <w:p>
            <w:pPr>
              <w:ind w:left="420" w:left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 支持查看各学院课程平均成绩分布。</w:t>
            </w:r>
          </w:p>
          <w:p>
            <w:pPr>
              <w:ind w:left="420" w:left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 支持查看各学院参课项目数量分布、参课专业前10分布。</w:t>
            </w:r>
          </w:p>
          <w:p>
            <w:pPr>
              <w:ind w:left="420" w:left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 支持查看全校/各学院课程平均出勤率。</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（二）教学管理</w:t>
            </w:r>
          </w:p>
          <w:p>
            <w:pPr>
              <w:ind w:left="420" w:left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 课程管理</w:t>
            </w:r>
          </w:p>
          <w:p>
            <w:pPr>
              <w:ind w:left="420" w:left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 成绩管理：支持通过学院、专业、时间区间、课程名称查询，查看学生成绩分布和课程中人员成绩表信息，支持导出成绩表。</w:t>
            </w:r>
          </w:p>
          <w:p>
            <w:pPr>
              <w:ind w:left="420" w:leftChars="20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w:t>
            </w: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项目管理：支持通过学院、时间区间、课程名称查询，查看项目参与课程情况信息。（提供产品彩页截图并加盖公章，原件备查）</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 学生管理：支持通过学院、专业课程名称查询，查看优秀学生档案信息，支持导出优秀学生档案表</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14</w:t>
            </w:r>
          </w:p>
        </w:tc>
        <w:tc>
          <w:tcPr>
            <w:tcW w:w="83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机柜</w:t>
            </w:r>
          </w:p>
        </w:tc>
        <w:tc>
          <w:tcPr>
            <w:tcW w:w="6789" w:type="dxa"/>
          </w:tcPr>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容量：22U</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门及门锁：钢化玻璃前门</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材料及工艺：脱脂、酸洗、磷化、静电喷塑 SPCC优质冷轧钢板</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高度：1166mm，宽度：600mm，深度：600mm</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15</w:t>
            </w:r>
          </w:p>
        </w:tc>
        <w:tc>
          <w:tcPr>
            <w:tcW w:w="83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授课讲台</w:t>
            </w:r>
          </w:p>
        </w:tc>
        <w:tc>
          <w:tcPr>
            <w:tcW w:w="6789" w:type="dxa"/>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整机采用钢制防爆设计，壁挂式结构，表面采用烤漆工艺。整机1240*320*66mm（±5），双门双锁，上下两部分，上部通体侧边开门；下部通体上下开门，为保护人机操作界面，合起来能把按键、接口和高拍仪隐藏。</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台</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16</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音响系统</w:t>
            </w:r>
          </w:p>
        </w:tc>
        <w:tc>
          <w:tcPr>
            <w:tcW w:w="6789" w:type="dxa"/>
            <w:vAlign w:val="center"/>
          </w:tcPr>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功放1台</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8Ω立体声功率：250W×2；4Ω立体声功率：400W×2；8Ω桥接功率：750W；4Ω桥接功率：1000W；冷却方式：风冷（风扇温控设计）；通道分离度（串音）在1KHz：&gt;60dB；频率响应：20Hz-20kHz±1db；总谐波失真：＜0.025%@8Ω1KHz；信噪比：〉100dB；输入灵敏度：0.775V；转换速率：&gt;20V/μs；输入共模抑制比：&gt;70dB；输入阻抗:平衡20KΩ和非平衡10KΩ；阻抗系数：&gt;200@1kHz/8Ω；保护：峰值限幅，过载，直流，短路，过热，软启动；控制: 前面板：电源开关/通道1通道2音量控制; 后面板:模式/灵敏度/接地开关；输入接口：3引脚（XLR）卡侬口；输出接口:接线柱和SPEAKON NL4×2 PIN1+/2+POS（正负4芯安全插座）；主保险丝:10A；电源要求：220V/50Hz；</w:t>
            </w:r>
          </w:p>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音响2对</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额定功率：80W；最大功率：160W；额定阻抗：8Ω；频率响应：50Hz-18.7kHz；驱动器：1个8寸长冲程低音驱动器、2个3寸前纸盆高音；灵敏度：90dB/1W/1M；最大声压级：105dB；分频器：1.8KHz；</w:t>
            </w:r>
          </w:p>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无线话筒1套</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接收机：频道组数：双通道；载波频段：UHF 740～820MHz；调制方式：FM；；灵敏度：在偏移度等于25KHz，输入6dBμV时，S/N&gt;60dB ；频带宽度：15MHz；最大偏移度：±45KHz(具压缩扩展及自动音量限制电路) ；综合S/N比：&gt; 95 dB；综合T.H.D.：&lt;1.1%</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1K；综合频率响应：50Hz-18KHz±3dB；最大输出电压： -20dBV/100Ω；输出插座：XLR平衡式及φ6.3不平衡式插座；电源供应：0.5A, 12～15VDC；发射话筒：载波频段：UHF 740～820MHz；载波功率：3 mW；谐波辐射：&lt;-63dBm ；最大偏移度：±45KHz；话筒电源：1.5v×2电池；电流消耗：&lt;28 mA ；</w:t>
            </w:r>
          </w:p>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有线话筒1只</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类型：动圈式；频率响应：60Hz-14KHz；指向特性：心型指向；灵敏度：-67dB±3dB(1V/Pa)；输出阻抗：600 Ω± 30%(at1KHz)；输出连接头：XLRM 卡侬公头；开关：磁控锁定式；</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含：吊架，线材，运输，安装，调试。</w:t>
            </w:r>
          </w:p>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调音台1台</w:t>
            </w:r>
          </w:p>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sz w:val="18"/>
                <w:szCs w:val="18"/>
                <w:highlight w:val="none"/>
              </w:rPr>
              <w:t>8通道调音台；输入：平衡式话筒×4，立体声×2；输出：L、R、MONO、AUX×2；整机信噪比：&lt;-90dBu；失真度：&lt;0.01%；频率响应：20Hz-20KHz ±1dBu；阻抗匹配-话筒输入：1.6KΩ；其它输入：&gt;10KΩ；录音输出：1.1KΩ；其它输出：120Ω；均衡参数-高频:12KHz±15dB；中频：3.5KHz±15dB；低频：350Hz±15dB；输入灵敏度-话筒：-60dB；立体声输入：-40dB；辅助输入：-20dB；混音返回：-20dB；主输出电平：+4V max；消耗功率：30W。</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17</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健康照明平板LED</w:t>
            </w:r>
          </w:p>
        </w:tc>
        <w:tc>
          <w:tcPr>
            <w:tcW w:w="6789" w:type="dxa"/>
            <w:vAlign w:val="center"/>
          </w:tcPr>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★1、LED面板灯须为一体式灯具（光源不可替换），不接受组合式灯具，通过国家强制性CCC认证（投标文件中提供证书复印件及中国质量认证中心官网的截图，链接中的型号与投标型号必须一致）。</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2、LED面板灯采用嵌入安装，产品整灯尺寸不大于600×600mm，灯体边框型材材质为银色铝型材质并且预留台阶面便于安装定位，灯体边框厚度≤12（mm）。</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3、LED面板灯采用微晶珠面光学透光板，微晶防眩透光板由直径3mm和1mm的微晶颗粒交错组成，以达到防眩效果。</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4、驱动输入端采用免螺丝压线板与压盖一体化设计；输出线采用迷宫式防拉扯结构，防止因输出线脱落，导致的触电安全隐患。</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5、LED面板灯色温在5000K±280K,同时显色指数≥90，功率因数≥0.97。</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6、LED面板灯光频闪无危害（光输出波动深度＜0.6%）。</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7、LED面板灯的真实亮度范围[3500cd/m2,4000 cd/m2]，产品满足蓝光无危害级别，显示“无危险类”。</w:t>
            </w:r>
            <w:r>
              <w:rPr>
                <w:rFonts w:hint="eastAsia" w:ascii="微软雅黑" w:hAnsi="微软雅黑" w:eastAsia="微软雅黑" w:cs="微软雅黑"/>
                <w:color w:val="auto"/>
                <w:kern w:val="0"/>
                <w:sz w:val="18"/>
                <w:szCs w:val="18"/>
                <w:highlight w:val="none"/>
              </w:rPr>
              <w:br w:type="textWrapping"/>
            </w:r>
            <w:r>
              <w:rPr>
                <w:rFonts w:hint="eastAsia" w:ascii="微软雅黑" w:hAnsi="微软雅黑" w:eastAsia="微软雅黑" w:cs="微软雅黑"/>
                <w:color w:val="auto"/>
                <w:kern w:val="0"/>
                <w:sz w:val="18"/>
                <w:szCs w:val="18"/>
                <w:highlight w:val="none"/>
              </w:rPr>
              <w:t>8、</w:t>
            </w:r>
            <w:r>
              <w:rPr>
                <w:rFonts w:hint="eastAsia" w:ascii="宋体" w:hAnsi="宋体" w:cs="宋体"/>
                <w:color w:val="auto"/>
                <w:kern w:val="0"/>
                <w:sz w:val="18"/>
                <w:szCs w:val="18"/>
                <w:highlight w:val="none"/>
              </w:rPr>
              <w:t>▲</w:t>
            </w:r>
            <w:r>
              <w:rPr>
                <w:rFonts w:hint="eastAsia" w:ascii="微软雅黑" w:hAnsi="微软雅黑" w:eastAsia="微软雅黑" w:cs="微软雅黑"/>
                <w:color w:val="auto"/>
                <w:kern w:val="0"/>
                <w:sz w:val="18"/>
                <w:szCs w:val="18"/>
                <w:highlight w:val="none"/>
              </w:rPr>
              <w:t>投标人必须提供制造商针对该类产品由国家权威机构依据《GB/T 13379-2008 视觉工效学原则 室内工作场所照明》、《CSA 035.1 LED照明产品 视觉健康舒适度测试 第一部分 概述》出具的人眼视觉舒适度VICO＜2的检测报告复印件。</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盏</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18</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静电地板</w:t>
            </w:r>
          </w:p>
        </w:tc>
        <w:tc>
          <w:tcPr>
            <w:tcW w:w="6789" w:type="dxa"/>
            <w:vAlign w:val="center"/>
          </w:tcPr>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规格：600mm*600mm*35mm；</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板幅极限偏差：0－-0.4mm；</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板厚极限偏差：0±0.3mm；</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表面平整度：≤0.6mm；</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相邻边垂直度：≤0.3mm； </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集中荷载：≥600KG；挠度≤2mm；</w:t>
            </w:r>
          </w:p>
          <w:p>
            <w:pP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均布载荷:≥1000Kg/m2。含钢支架及横梁等安装件，入口踏步处理。</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b/>
                <w:bCs/>
                <w:color w:val="auto"/>
                <w:sz w:val="18"/>
                <w:szCs w:val="18"/>
                <w:highlight w:val="none"/>
              </w:rPr>
              <w:t>m</w:t>
            </w:r>
            <w:r>
              <w:rPr>
                <w:rFonts w:hint="eastAsia" w:ascii="微软雅黑" w:hAnsi="微软雅黑" w:eastAsia="微软雅黑" w:cs="微软雅黑"/>
                <w:b/>
                <w:bCs/>
                <w:color w:val="auto"/>
                <w:sz w:val="18"/>
                <w:szCs w:val="18"/>
                <w:highlight w:val="none"/>
                <w:vertAlign w:val="superscript"/>
              </w:rPr>
              <w:t>2</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19</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综合布线</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实训室机房布线</w:t>
            </w:r>
          </w:p>
        </w:tc>
        <w:tc>
          <w:tcPr>
            <w:tcW w:w="686" w:type="dxa"/>
            <w:vAlign w:val="center"/>
          </w:tcPr>
          <w:p>
            <w:pPr>
              <w:jc w:val="center"/>
              <w:rPr>
                <w:rFonts w:ascii="微软雅黑" w:hAnsi="微软雅黑" w:eastAsia="微软雅黑" w:cs="微软雅黑"/>
                <w:color w:val="auto"/>
                <w:sz w:val="18"/>
                <w:szCs w:val="18"/>
                <w:highlight w:val="none"/>
              </w:rPr>
            </w:pPr>
          </w:p>
        </w:tc>
        <w:tc>
          <w:tcPr>
            <w:tcW w:w="728" w:type="dxa"/>
            <w:vAlign w:val="center"/>
          </w:tcPr>
          <w:p>
            <w:pPr>
              <w:jc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网络线</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六类非屏蔽网络线缆</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箱</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电源线</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2.5平方电源线缆，国标</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米</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电源线</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4平方电源线缆，国标</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米</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电源面板</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三孔电源面板</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个</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电源接线板</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6孔位电源接线板</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个</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接地线</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BV10平方双色线</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米</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防雷模块</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二级三级防雷，380V，40~80KW</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安装辅材</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接地扁钢、铜鼻子、螺栓、线管、电焊条、线扎、线管、线槽、开关、空开、漏电保护、蛇形管等等</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施工</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强弱电布线、插座安装、净化电源安装、线管、线槽安装，安装及测试，电脑集成，防静电地板接地网安装及测试</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计算机系统集成</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设备安装、调试，软件安装及调试，IP地址规划、备份还原设置，计算机线缆捆扎等等</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p>
        </w:tc>
        <w:tc>
          <w:tcPr>
            <w:tcW w:w="6789" w:type="dxa"/>
            <w:vAlign w:val="center"/>
          </w:tcPr>
          <w:p>
            <w:pPr>
              <w:ind w:firstLine="180" w:firstLineChars="100"/>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b/>
                <w:bCs/>
                <w:color w:val="auto"/>
                <w:sz w:val="18"/>
                <w:szCs w:val="18"/>
                <w:highlight w:val="none"/>
              </w:rPr>
              <w:t>五、项目孵化区（135.52 m</w:t>
            </w:r>
            <w:r>
              <w:rPr>
                <w:rFonts w:hint="eastAsia" w:ascii="微软雅黑" w:hAnsi="微软雅黑" w:eastAsia="微软雅黑" w:cs="微软雅黑"/>
                <w:b/>
                <w:bCs/>
                <w:color w:val="auto"/>
                <w:sz w:val="18"/>
                <w:szCs w:val="18"/>
                <w:highlight w:val="none"/>
                <w:vertAlign w:val="superscript"/>
              </w:rPr>
              <w:t>2</w:t>
            </w:r>
            <w:r>
              <w:rPr>
                <w:rFonts w:hint="eastAsia" w:ascii="微软雅黑" w:hAnsi="微软雅黑" w:eastAsia="微软雅黑" w:cs="微软雅黑"/>
                <w:b/>
                <w:bCs/>
                <w:color w:val="auto"/>
                <w:sz w:val="18"/>
                <w:szCs w:val="18"/>
                <w:highlight w:val="none"/>
              </w:rPr>
              <w:t>）</w:t>
            </w:r>
          </w:p>
        </w:tc>
        <w:tc>
          <w:tcPr>
            <w:tcW w:w="686" w:type="dxa"/>
            <w:vAlign w:val="center"/>
          </w:tcPr>
          <w:p>
            <w:pPr>
              <w:jc w:val="center"/>
              <w:rPr>
                <w:rFonts w:ascii="微软雅黑" w:hAnsi="微软雅黑" w:eastAsia="微软雅黑" w:cs="微软雅黑"/>
                <w:color w:val="auto"/>
                <w:sz w:val="18"/>
                <w:szCs w:val="18"/>
                <w:highlight w:val="none"/>
              </w:rPr>
            </w:pPr>
          </w:p>
        </w:tc>
        <w:tc>
          <w:tcPr>
            <w:tcW w:w="728" w:type="dxa"/>
            <w:vAlign w:val="center"/>
          </w:tcPr>
          <w:p>
            <w:pPr>
              <w:jc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四人位办公桌椅</w:t>
            </w:r>
          </w:p>
        </w:tc>
        <w:tc>
          <w:tcPr>
            <w:tcW w:w="6789" w:type="dxa"/>
            <w:vAlign w:val="center"/>
          </w:tcPr>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尺寸：2400*600*700mm  </w:t>
            </w:r>
          </w:p>
          <w:p>
            <w:pPr>
              <w:numPr>
                <w:ilvl w:val="0"/>
                <w:numId w:val="24"/>
              </w:num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基材：采用中密度板，板材厚度为20mm,达国家E1级环保标准， 含水率在10%；2、油漆采用 “五底三面”工艺处理，哑光聚脂漆，（PU）成份，为聚胺酯，可以第二次修补，耐压，硬度3.5H。白色仿皮漆。</w:t>
            </w:r>
          </w:p>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sz w:val="18"/>
                <w:szCs w:val="18"/>
                <w:highlight w:val="none"/>
              </w:rPr>
              <w:t>3、支架：采用优质加重型圆盘脚或方管稳定性好.台面四边采用倒斜边处理；</w:t>
            </w:r>
            <w:r>
              <w:rPr>
                <w:rFonts w:hint="eastAsia" w:ascii="微软雅黑" w:hAnsi="微软雅黑" w:eastAsia="微软雅黑" w:cs="微软雅黑"/>
                <w:color w:val="auto"/>
                <w:kern w:val="0"/>
                <w:sz w:val="18"/>
                <w:szCs w:val="18"/>
                <w:highlight w:val="none"/>
              </w:rPr>
              <w:t>尺寸：485*520*770cm坐面为优质面料制作，手感舒适，透气性好。</w:t>
            </w:r>
          </w:p>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4、泡棉：座椅内部采用高密度一次成型阻燃泡绵，密度40度，表面涂有防止老化变形的保护膜。</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5、钢架：采用氟碳喷涂工艺处理,美观大方，经久耐用。</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休闲沙发</w:t>
            </w:r>
          </w:p>
        </w:tc>
        <w:tc>
          <w:tcPr>
            <w:tcW w:w="6789" w:type="dxa"/>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规格：1380mm*740mm*730mm</w:t>
            </w:r>
          </w:p>
          <w:p>
            <w:pPr>
              <w:numPr>
                <w:ilvl w:val="0"/>
                <w:numId w:val="25"/>
              </w:num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面料：采用牛皮，纹路细致，色泽均匀，手感柔软、细腻、有韧性、富有弹 ， 耐磨性强，阻燃，厚度 1.5mm。 </w:t>
            </w:r>
          </w:p>
          <w:p>
            <w:pPr>
              <w:numPr>
                <w:ilvl w:val="0"/>
                <w:numId w:val="25"/>
              </w:num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海棉：采用“东亚牌”高密度阻燃裁切海棉，座垫密度大于45kg/m2，并用 软中硬多层叠加，增加舒适度，回弹率≥40%。</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w:t>
            </w:r>
          </w:p>
        </w:tc>
        <w:tc>
          <w:tcPr>
            <w:tcW w:w="83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六人位会议桌椅</w:t>
            </w:r>
          </w:p>
        </w:tc>
        <w:tc>
          <w:tcPr>
            <w:tcW w:w="6789" w:type="dxa"/>
          </w:tcPr>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sz w:val="18"/>
                <w:szCs w:val="18"/>
                <w:highlight w:val="none"/>
              </w:rPr>
              <w:t>尺寸：3600*600*750mm。主体采用50*50*1.2mm方管，底脚配有内藏式调节脚，所有钢件酸洗磷化高温静电喷涂，高光白色，桌面采用E1级25mm厚三聚氰胺贴面板，2mmPVC封边；配挡板、主机架及活动柜，</w:t>
            </w:r>
            <w:r>
              <w:rPr>
                <w:rFonts w:hint="eastAsia" w:ascii="微软雅黑" w:hAnsi="微软雅黑" w:eastAsia="微软雅黑" w:cs="微软雅黑"/>
                <w:color w:val="auto"/>
                <w:kern w:val="0"/>
                <w:sz w:val="18"/>
                <w:szCs w:val="18"/>
                <w:highlight w:val="none"/>
              </w:rPr>
              <w:t>中背转椅</w:t>
            </w:r>
          </w:p>
          <w:p>
            <w:pPr>
              <w:numPr>
                <w:ilvl w:val="0"/>
                <w:numId w:val="26"/>
              </w:num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面料：采用透气网布饰面，纹路细致、色泽均匀，手感柔软、细腻、有韧性；富有弹性，耐磨性强，阻燃，做防污、防污处理，清洁方便。 </w:t>
            </w:r>
          </w:p>
          <w:p>
            <w:pPr>
              <w:numPr>
                <w:ilvl w:val="0"/>
                <w:numId w:val="26"/>
              </w:num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 xml:space="preserve">座海棉：采用中密度定型阻燃PU泡棉，坐面密度40kg/m³。厚实、弹性好。     3、气压棒：采用优质气棒，气棒材质为精密冷压钢管；承重力达280KG。          </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4、转椅轮盘及万向轮：选用优质吸盘。                                       5、升降，及PU扶手。                                                             6、结构部件之间采用优质金属连接件。</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w:t>
            </w:r>
          </w:p>
        </w:tc>
        <w:tc>
          <w:tcPr>
            <w:tcW w:w="83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打印机</w:t>
            </w:r>
          </w:p>
        </w:tc>
        <w:tc>
          <w:tcPr>
            <w:tcW w:w="6789" w:type="dxa"/>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技术参数：打印分辨率：1200 x 1200 dpi，增强分辨率高达4800 x 1200 dpi；内存：3G；预热时间：黑白 (A4，睡眠模式)：11.4秒；彩色 (A4，睡眠模式下)：11.5秒首页输出时间：黑白 (A4，就绪模式下)：5.9秒；彩色 (A4，就绪模式下)：8.2秒；最大打印能力（页/月）：80000页；网络打印：支持；网络打印方式：内置；双面打印：支持；噪音：旁观者位置声压 (打印)：49 dB (A)；旁观者位置声压 (就绪模式)：34 dB (A)；随机软件：驱动光盘；高速USB2.0端口；内置千兆以太网10/100/1000 Base-TX网络端口；易于访问的USB端口；附件：HP Color LaserJet Pro M452dn；4个预装惠普410A入门硒鼓 (黑色、青色、品红色，黄色：约1200页)；包装箱内文档 (入门指南、安装海报)；软件驱动和文档光盘；电源线；USB数据线；支持纸张尺寸：A3/A4</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台</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w:t>
            </w:r>
          </w:p>
        </w:tc>
        <w:tc>
          <w:tcPr>
            <w:tcW w:w="83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墙体拆除</w:t>
            </w:r>
          </w:p>
        </w:tc>
        <w:tc>
          <w:tcPr>
            <w:tcW w:w="6789" w:type="dxa"/>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原有墙体拆除（原两间合并，拆除中间砖墙墙体；墙体规格：长800cm*厚280cm*高290cm）；垃圾清运至校外，自行处理；</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拆除原墙体部分后，顶部修补恢复原样。</w:t>
            </w:r>
          </w:p>
        </w:tc>
        <w:tc>
          <w:tcPr>
            <w:tcW w:w="686"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项</w:t>
            </w:r>
          </w:p>
        </w:tc>
        <w:tc>
          <w:tcPr>
            <w:tcW w:w="728" w:type="dxa"/>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Align w:val="center"/>
          </w:tcPr>
          <w:p>
            <w:pPr>
              <w:jc w:val="center"/>
              <w:rPr>
                <w:rFonts w:ascii="微软雅黑" w:hAnsi="微软雅黑" w:eastAsia="微软雅黑" w:cs="微软雅黑"/>
                <w:color w:val="auto"/>
                <w:sz w:val="18"/>
                <w:szCs w:val="18"/>
                <w:highlight w:val="none"/>
              </w:rPr>
            </w:pPr>
          </w:p>
        </w:tc>
        <w:tc>
          <w:tcPr>
            <w:tcW w:w="838" w:type="dxa"/>
            <w:vAlign w:val="center"/>
          </w:tcPr>
          <w:p>
            <w:pPr>
              <w:jc w:val="center"/>
              <w:rPr>
                <w:rFonts w:ascii="微软雅黑" w:hAnsi="微软雅黑" w:eastAsia="微软雅黑" w:cs="微软雅黑"/>
                <w:color w:val="auto"/>
                <w:sz w:val="18"/>
                <w:szCs w:val="18"/>
                <w:highlight w:val="none"/>
              </w:rPr>
            </w:pPr>
          </w:p>
        </w:tc>
        <w:tc>
          <w:tcPr>
            <w:tcW w:w="6789" w:type="dxa"/>
            <w:vAlign w:val="center"/>
          </w:tcPr>
          <w:p>
            <w:pPr>
              <w:numPr>
                <w:ilvl w:val="0"/>
                <w:numId w:val="27"/>
              </w:num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b/>
                <w:bCs/>
                <w:color w:val="auto"/>
                <w:sz w:val="18"/>
                <w:szCs w:val="18"/>
                <w:highlight w:val="none"/>
              </w:rPr>
              <w:t>专创融合实验中心（139.04 m</w:t>
            </w:r>
            <w:r>
              <w:rPr>
                <w:rFonts w:hint="eastAsia" w:ascii="微软雅黑" w:hAnsi="微软雅黑" w:eastAsia="微软雅黑" w:cs="微软雅黑"/>
                <w:b/>
                <w:bCs/>
                <w:color w:val="auto"/>
                <w:sz w:val="18"/>
                <w:szCs w:val="18"/>
                <w:highlight w:val="none"/>
                <w:vertAlign w:val="superscript"/>
              </w:rPr>
              <w:t>2</w:t>
            </w:r>
            <w:r>
              <w:rPr>
                <w:rFonts w:hint="eastAsia" w:ascii="微软雅黑" w:hAnsi="微软雅黑" w:eastAsia="微软雅黑" w:cs="微软雅黑"/>
                <w:b/>
                <w:bCs/>
                <w:color w:val="auto"/>
                <w:sz w:val="18"/>
                <w:szCs w:val="18"/>
                <w:highlight w:val="none"/>
              </w:rPr>
              <w:t>）</w:t>
            </w:r>
          </w:p>
        </w:tc>
        <w:tc>
          <w:tcPr>
            <w:tcW w:w="686" w:type="dxa"/>
            <w:vAlign w:val="center"/>
          </w:tcPr>
          <w:p>
            <w:pPr>
              <w:jc w:val="center"/>
              <w:rPr>
                <w:rFonts w:ascii="微软雅黑" w:hAnsi="微软雅黑" w:eastAsia="微软雅黑" w:cs="微软雅黑"/>
                <w:color w:val="auto"/>
                <w:sz w:val="18"/>
                <w:szCs w:val="18"/>
                <w:highlight w:val="none"/>
              </w:rPr>
            </w:pPr>
          </w:p>
        </w:tc>
        <w:tc>
          <w:tcPr>
            <w:tcW w:w="728" w:type="dxa"/>
            <w:vAlign w:val="center"/>
          </w:tcPr>
          <w:p>
            <w:pPr>
              <w:jc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小组讨论桌椅</w:t>
            </w:r>
          </w:p>
        </w:tc>
        <w:tc>
          <w:tcPr>
            <w:tcW w:w="6789" w:type="dxa"/>
          </w:tcPr>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尺寸：1200*600*600mm</w:t>
            </w:r>
          </w:p>
          <w:p>
            <w:pPr>
              <w:widowControl/>
              <w:jc w:val="left"/>
              <w:textAlignment w:val="center"/>
              <w:rPr>
                <w:rFonts w:ascii="微软雅黑" w:hAnsi="微软雅黑" w:eastAsia="微软雅黑" w:cs="微软雅黑"/>
                <w:color w:val="auto"/>
                <w:sz w:val="18"/>
                <w:szCs w:val="18"/>
                <w:highlight w:val="none"/>
              </w:rPr>
            </w:pPr>
            <w:r>
              <w:rPr>
                <w:rStyle w:val="58"/>
                <w:rFonts w:hint="eastAsia" w:ascii="微软雅黑" w:hAnsi="微软雅黑" w:eastAsia="微软雅黑" w:cs="微软雅黑"/>
                <w:color w:val="auto"/>
                <w:highlight w:val="none"/>
              </w:rPr>
              <w:t>1、基材：采用中密度板，板材厚度为20mm,达国家E1级环保标准， 含水率在10%；2、油漆采用 “五底三面”工艺处理，哑光聚脂漆，（PU）成份，为聚胺酯，可以第二次修补，耐压，硬度3.5H。白色仿皮漆。                                     3、支架：采用优质加重型圆盘脚或方管稳定性好.台面四边采用倒斜边处理。</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音响系统</w:t>
            </w:r>
          </w:p>
        </w:tc>
        <w:tc>
          <w:tcPr>
            <w:tcW w:w="6789" w:type="dxa"/>
            <w:vAlign w:val="center"/>
          </w:tcPr>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功放1台</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8Ω立体声功率：250W×2；4Ω立体声功率：400W×2；8Ω桥接功率：750W；4Ω桥接功率：1000W；冷却方式：风冷（风扇温控设计）；通道分离度（串音）在1KHz：&gt;60dB；频率响应：20Hz-20kHz±1db；总谐波失真：＜0.025%@8Ω1KHz；信噪比：〉100dB；输入灵敏度：0.775V；转换速率：&gt;20V/μs；输入共模抑制比：&gt;70dB；输入阻抗:平衡20KΩ和非平衡10KΩ；阻抗系数：&gt;200@1kHz/8Ω；保护：峰值限幅，过载，直流，短路，过热，软启动；控制: 前面板：电源开关/通道1通道2音量控制; 后面板:模式/灵敏度/接地开关；输入接口：3引脚（XLR）卡侬口；输出接口:接线柱和SPEAKON NL4×2 PIN1+/2+POS（正负4芯安全插座）；主保险丝:10A；电源要求：220V/50Hz；</w:t>
            </w:r>
          </w:p>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音响2对</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额定功率：80W；最大功率：160W；额定阻抗：8Ω；频率响应：50Hz-18.7kHz；驱动器：1个8寸长冲程低音驱动器、2个3寸前纸盆高音；灵敏度：90dB/1W/1M；最大声压级：105dB；分频器：1.8KHz；</w:t>
            </w:r>
          </w:p>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无线话筒1套</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接收机：频道组数：双通道；载波频段：UHF 740～820MHz；调制方式：FM；；灵敏度：在偏移度等于25KHz，输入6dBμV时，S/N&gt;60dB ；频带宽度：15MHz；最大偏移度：±45KHz(具压缩扩展及自动音量限制电路) ；综合S/N比：&gt; 95 dB；综合T.H.D.：&lt;1.1%</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1K；综合频率响应：50Hz-18KHz±3dB；最大输出电压： -20dBV/100Ω；输出插座：XLR平衡式及φ6.3不平衡式插座；电源供应：0.5A, 12～15VDC；发射话筒：载波频段：UHF 740～820MHz；载波功率：3 mW；谐波辐射：&lt;-63dBm ；最大偏移度：±45KHz；话筒电源：1.5v×2电池；电流消耗：&lt;28 mA ；</w:t>
            </w:r>
          </w:p>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有线话筒1只</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类型：动圈式；频率响应：60Hz-14KHz；指向特性：心型指向；灵敏度：-67dB±3dB(1V/Pa)；输出阻抗：600 Ω± 30%(at1KHz)；输出连接头：XLRM 卡侬公头；开关：磁控锁定式；</w:t>
            </w:r>
          </w:p>
          <w:p>
            <w:pPr>
              <w:snapToGrid w:val="0"/>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含：吊架，线材，运输，安装，调试。</w:t>
            </w:r>
          </w:p>
          <w:p>
            <w:pPr>
              <w:snapToGrid w:val="0"/>
              <w:jc w:val="left"/>
              <w:rPr>
                <w:rFonts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调音台*1台</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8通道调音台；输入：平衡式话筒×4，立体声×2；输出：L、R、MONO、AUX×2；整机信噪比：&lt;-90dBu；失真度：&lt;0.01%；频率响应：20Hz-20KHz ±1dBu；阻抗匹配-话筒输入：1.6KΩ；其它输入：&gt;10KΩ；录音输出：1.1KΩ；其它输出：120Ω；均衡参数-高频:12KHz±15dB；中频：3.5KHz±15dB；低频：350Hz±15dB；输入灵敏度-话筒：-60dB；立体声输入：-40dB；辅助输入：-20dB；混音返回：-20dB；主输出电平：+4V max；消耗功率：30W；</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3</w:t>
            </w:r>
          </w:p>
        </w:tc>
        <w:tc>
          <w:tcPr>
            <w:tcW w:w="838"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智慧黑板</w:t>
            </w:r>
          </w:p>
        </w:tc>
        <w:tc>
          <w:tcPr>
            <w:tcW w:w="6789" w:type="dxa"/>
          </w:tcPr>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w:t>
            </w:r>
            <w:r>
              <w:rPr>
                <w:rFonts w:hint="eastAsia" w:ascii="宋体" w:hAnsi="宋体" w:cs="宋体"/>
                <w:color w:val="auto"/>
                <w:kern w:val="0"/>
                <w:sz w:val="18"/>
                <w:szCs w:val="18"/>
                <w:highlight w:val="none"/>
              </w:rPr>
              <w:t>▲</w:t>
            </w:r>
            <w:r>
              <w:rPr>
                <w:rFonts w:hint="eastAsia" w:ascii="微软雅黑" w:hAnsi="微软雅黑" w:eastAsia="微软雅黑" w:cs="微软雅黑"/>
                <w:color w:val="auto"/>
                <w:kern w:val="0"/>
                <w:sz w:val="18"/>
                <w:szCs w:val="18"/>
                <w:highlight w:val="none"/>
              </w:rPr>
              <w:t>LED背光原装液晶显示屏，屏体级别：A规屏，显示尺寸≥86英寸，显示比例16:9，物理分辨率：3840×2160，屏体亮度≥450cd/㎡（Typ），对比度≥3500，最大可视角度：178°(H)/ 178°(V)，亮度均匀性≥92%。</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2、屏幕贴合方式：全贴合电容触控技术，同时为防止玻璃老化脱落，需采用纯平面，外框卡槽式全包边设计，安全无锐角。</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3、整机采用防眩光、防划伤钢化玻璃，需符合防眩光和防划伤钢化玻璃的相关要求。</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4、整机具备物理护眼和智能调节屏幕亮度功能，可以对老师和学生的视力进行一定的保护。</w:t>
            </w:r>
          </w:p>
          <w:p>
            <w:pPr>
              <w:pStyle w:val="38"/>
              <w:spacing w:line="312" w:lineRule="auto"/>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5、整机内置无线网络模块，采用全向前置信号接发设计，网络信号接发源隐藏式设计，无任何外接、转接天线及网卡可实现正常网络连接。</w:t>
            </w:r>
          </w:p>
          <w:p>
            <w:pPr>
              <w:pStyle w:val="38"/>
              <w:spacing w:line="312" w:lineRule="auto"/>
              <w:ind w:firstLine="0" w:firstLineChars="0"/>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w:t>
            </w:r>
            <w:r>
              <w:rPr>
                <w:rFonts w:hint="eastAsia" w:ascii="宋体" w:hAnsi="宋体" w:cs="宋体"/>
                <w:color w:val="auto"/>
                <w:sz w:val="18"/>
                <w:szCs w:val="18"/>
                <w:highlight w:val="none"/>
              </w:rPr>
              <w:t>▲</w:t>
            </w:r>
            <w:r>
              <w:rPr>
                <w:rFonts w:hint="eastAsia" w:ascii="微软雅黑" w:hAnsi="微软雅黑" w:eastAsia="微软雅黑" w:cs="微软雅黑"/>
                <w:color w:val="auto"/>
                <w:sz w:val="18"/>
                <w:szCs w:val="18"/>
                <w:highlight w:val="none"/>
              </w:rPr>
              <w:t>智慧黑板前置物理功能按键不少于8个，从而让老师可以更方便的进行操作，同时需不少于3个双通道USB接口（Windows和Android系统均能被识别，无需分区）、HDMI*1(非转接)，接口有丝印标识。</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7、智慧黑板需在两侧副板底部带有置笔槽设计。</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8、智慧黑板具有三指息屏开关黑板背光功能，任意显示触摸区域及任意物理按键均可快速唤醒，方便快捷。并且关闭屏幕的同时，触摸功能也自动关闭，防止误操作；快速按压开关机需控制在1秒内。</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9、智慧黑板采用NFC开机，智能刷卡开机后，可使用按键整体关机；防止学生随意开关机，随机配送至少5张NFC卡，方便学校对智慧黑板统一安全管理。</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10、内置Android系统和Windows系统，且在Android系统下支持10点触控及书写，Windows系统下支持至少20点的触控，连续响应速度≤8ms，触摸偏差≤2mm。</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11、根据教室智慧黑板尺寸需：长≥4200mm，高≥1250mm，厚≤100mm；采用专业的模块化构架、结构无缝一体化设计，利用无缝拼接显示软件实现各板块和多媒体互动无缝融合；无鼓边，平整度≤0.1mm，无书写断接，无书写不畅，纯平表面拼接无缝隙；灰尘或水迹不影响触控。</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12、黑板具备PC和安卓双系统备份，且PC的Windows及Android双系统可以仅通过教室的一根网线同时上网，不需要外加任何其它设备。</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13、支持一键屏幕下移以适配不同老师的上课需求。</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14、智慧黑板支持水笔、普通粉笔、无尘粉笔以及手指触摸书写等多种书写方式。黑板玻璃具有抗磨性，不影响老师反复书写。</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15、智慧黑板需自带无线AP网络共享功能，满足支持不低于20个用户终端在线网络连接，不许附加额外无线AP网络设备或者热点软件来实现，进行高度集成化。</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16、为便于维护使用方便，智慧黑板需具有前掀式维护功能。</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17、为保障师生在日常教学过程中不受到硬物意外伤害，产品表面玻璃边缘不得裸露造成危险；玻璃内嵌式设计对玻璃和使用者双重保护，钢化玻璃贴合有防爆膜，具有防飞溅功能，防止玻璃破碎伤人。</w:t>
            </w:r>
          </w:p>
          <w:p>
            <w:pPr>
              <w:pStyle w:val="38"/>
              <w:spacing w:line="312" w:lineRule="auto"/>
              <w:ind w:firstLine="0" w:firstLineChars="0"/>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18、产品具有内置音箱设计结构，运用环境自适应扩声原理，保证高品质的音质效果，输出功率≥15W*2。</w:t>
            </w:r>
          </w:p>
          <w:p>
            <w:pPr>
              <w:pStyle w:val="38"/>
              <w:spacing w:line="312" w:lineRule="auto"/>
              <w:ind w:firstLine="0" w:firstLineChars="0"/>
              <w:rPr>
                <w:rFonts w:ascii="微软雅黑" w:hAnsi="微软雅黑" w:eastAsia="微软雅黑" w:cs="微软雅黑"/>
                <w:color w:val="auto"/>
                <w:sz w:val="18"/>
                <w:szCs w:val="18"/>
                <w:highlight w:val="none"/>
                <w:lang w:bidi="en-US"/>
              </w:rPr>
            </w:pPr>
            <w:r>
              <w:rPr>
                <w:rStyle w:val="41"/>
                <w:rFonts w:hint="default" w:ascii="微软雅黑" w:hAnsi="微软雅黑" w:eastAsia="微软雅黑" w:cs="微软雅黑"/>
                <w:color w:val="auto"/>
                <w:highlight w:val="none"/>
              </w:rPr>
              <w:t>19、支持屏幕密码锁功能，可锁定屏幕。支持三种解锁方式：屏幕、遥控、按键。</w:t>
            </w:r>
          </w:p>
        </w:tc>
        <w:tc>
          <w:tcPr>
            <w:tcW w:w="686" w:type="dxa"/>
          </w:tcPr>
          <w:p>
            <w:pPr>
              <w:jc w:val="center"/>
              <w:rPr>
                <w:rFonts w:ascii="微软雅黑" w:hAnsi="微软雅黑" w:eastAsia="微软雅黑" w:cs="微软雅黑"/>
                <w:color w:val="auto"/>
                <w:sz w:val="18"/>
                <w:szCs w:val="18"/>
                <w:highlight w:val="none"/>
                <w:lang w:eastAsia="en-US" w:bidi="en-US"/>
              </w:rPr>
            </w:pPr>
            <w:r>
              <w:rPr>
                <w:rFonts w:hint="eastAsia" w:ascii="微软雅黑" w:hAnsi="微软雅黑" w:eastAsia="微软雅黑" w:cs="微软雅黑"/>
                <w:color w:val="auto"/>
                <w:sz w:val="18"/>
                <w:szCs w:val="18"/>
                <w:highlight w:val="none"/>
              </w:rPr>
              <w:t>台</w:t>
            </w:r>
          </w:p>
        </w:tc>
        <w:tc>
          <w:tcPr>
            <w:tcW w:w="728"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4</w:t>
            </w:r>
          </w:p>
        </w:tc>
        <w:tc>
          <w:tcPr>
            <w:tcW w:w="838"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配套教学软件</w:t>
            </w:r>
          </w:p>
        </w:tc>
        <w:tc>
          <w:tcPr>
            <w:tcW w:w="6789" w:type="dxa"/>
          </w:tcPr>
          <w:p>
            <w:pPr>
              <w:jc w:val="left"/>
              <w:rPr>
                <w:rStyle w:val="45"/>
                <w:rFonts w:ascii="微软雅黑" w:hAnsi="微软雅黑" w:eastAsia="微软雅黑" w:cs="微软雅黑"/>
                <w:color w:val="auto"/>
                <w:sz w:val="18"/>
                <w:szCs w:val="18"/>
                <w:highlight w:val="none"/>
              </w:rPr>
            </w:pPr>
            <w:r>
              <w:rPr>
                <w:rStyle w:val="45"/>
                <w:rFonts w:hint="eastAsia" w:ascii="微软雅黑" w:hAnsi="微软雅黑" w:eastAsia="微软雅黑" w:cs="微软雅黑"/>
                <w:color w:val="auto"/>
                <w:sz w:val="18"/>
                <w:szCs w:val="18"/>
                <w:highlight w:val="none"/>
              </w:rPr>
              <w:t>功能要求：</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1、书写：支持20点同时书写，可自由选择笔颜色及粗细。</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2、支持多点擦除功能。</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3、可自定义批注白板界面下的功能菜单，用拖拽的方式增加或减少功能键。</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4、资源库功能：可一键调用各学科的本地资源。</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5、文本框：支持文本输入并可快速设置字体、大小、颜色 、粗体、斜体、下划线、项目符号，方便文本的输入。可对文本的对齐、缩进 、行供备课使用高等进行设置，提供不少于20 种以上预设字体选择。</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6、基础笔画：支持铅笔、荧光笔、毛笔、文理笔、智能笔、图案笔。其中文理笔预设19种文理，智能笔可将绘制的图案变成规则的多边形以及曲边形图形，图案笔预设10种图案供使用。</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7、辅助工具：可以使用辅助工具里面的放大镜、探照灯、遮幕等常用工具，提供直尺、三角尺、量角器、圆规、等数学工具。</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8、插入对象：图片支持PNG/BMP/JPG/JPEG等格式的插入，文本支持doc/docx/ppt/pptx等格式的插入。</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9、板中板：支持调用板中板辅助教学，可直接批注及加页不影响课件主画面。</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10、可直接切换到电脑桌面，方便老师使用桌面的教学资源。</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11、橡笔擦：支持对象擦、点擦除、清除页面三种模式。</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12、可提供不同颜色的白板页、也可根据教学需求，设置页面背景模板，提供田字格、五线谱等学科页面模板。</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13、直接调用高拍仪实现静态截取，对截取的内容进行放大、旋转等操作。可查看添加的白板页面。</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14、支持页面回放功能。无需进行手动开始录制，就可以对选中的任何页面进行页面的回放。</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15、支持屏幕录制功能，可将操作过程及板书内容，录制为视频并进行保存。</w:t>
            </w:r>
          </w:p>
          <w:p>
            <w:pPr>
              <w:spacing w:line="220" w:lineRule="atLeast"/>
              <w:rPr>
                <w:rStyle w:val="41"/>
                <w:rFonts w:hint="default" w:ascii="微软雅黑" w:hAnsi="微软雅黑" w:eastAsia="微软雅黑" w:cs="微软雅黑"/>
                <w:color w:val="auto"/>
                <w:highlight w:val="none"/>
              </w:rPr>
            </w:pPr>
            <w:r>
              <w:rPr>
                <w:rStyle w:val="41"/>
                <w:rFonts w:hint="default" w:ascii="微软雅黑" w:hAnsi="微软雅黑" w:eastAsia="微软雅黑" w:cs="微软雅黑"/>
                <w:color w:val="auto"/>
                <w:highlight w:val="none"/>
              </w:rPr>
              <w:t>16、透明页：实现书写与鼠标的一键切换，透明页悬浮按钮有调用U盘功能，可快捷一键打开U盘。</w:t>
            </w:r>
          </w:p>
          <w:p>
            <w:pPr>
              <w:jc w:val="left"/>
              <w:rPr>
                <w:rFonts w:ascii="微软雅黑" w:hAnsi="微软雅黑" w:eastAsia="微软雅黑" w:cs="微软雅黑"/>
                <w:bCs/>
                <w:color w:val="auto"/>
                <w:kern w:val="52"/>
                <w:sz w:val="18"/>
                <w:szCs w:val="18"/>
                <w:highlight w:val="none"/>
                <w:lang w:bidi="en-US"/>
              </w:rPr>
            </w:pPr>
            <w:r>
              <w:rPr>
                <w:rStyle w:val="41"/>
                <w:rFonts w:hint="default" w:ascii="微软雅黑" w:hAnsi="微软雅黑" w:eastAsia="微软雅黑" w:cs="微软雅黑"/>
                <w:color w:val="auto"/>
                <w:highlight w:val="none"/>
              </w:rPr>
              <w:t>17、</w:t>
            </w:r>
            <w:r>
              <w:rPr>
                <w:rFonts w:hint="eastAsia" w:ascii="宋体" w:hAnsi="宋体" w:cs="宋体"/>
                <w:color w:val="auto"/>
                <w:kern w:val="0"/>
                <w:sz w:val="18"/>
                <w:szCs w:val="18"/>
                <w:highlight w:val="none"/>
              </w:rPr>
              <w:t>▲</w:t>
            </w:r>
            <w:r>
              <w:rPr>
                <w:rStyle w:val="41"/>
                <w:rFonts w:hint="default" w:ascii="微软雅黑" w:hAnsi="微软雅黑" w:eastAsia="微软雅黑" w:cs="微软雅黑"/>
                <w:color w:val="auto"/>
                <w:highlight w:val="none"/>
              </w:rPr>
              <w:t>PPT批注跟随功能:从平台打开PPT，授课时的批注可跟随当页的PPT同时进行翻页，关闭PPT后，无需任何操作批注自动清除，不对原先PPT课件造成影响。</w:t>
            </w:r>
            <w:r>
              <w:rPr>
                <w:rStyle w:val="45"/>
                <w:rFonts w:hint="eastAsia" w:ascii="微软雅黑" w:hAnsi="微软雅黑" w:eastAsia="微软雅黑" w:cs="微软雅黑"/>
                <w:color w:val="auto"/>
                <w:sz w:val="18"/>
                <w:szCs w:val="18"/>
                <w:highlight w:val="none"/>
              </w:rPr>
              <w:t xml:space="preserve"> </w:t>
            </w:r>
          </w:p>
        </w:tc>
        <w:tc>
          <w:tcPr>
            <w:tcW w:w="686"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套</w:t>
            </w:r>
          </w:p>
        </w:tc>
        <w:tc>
          <w:tcPr>
            <w:tcW w:w="728"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5</w:t>
            </w:r>
          </w:p>
        </w:tc>
        <w:tc>
          <w:tcPr>
            <w:tcW w:w="838"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配套内置电脑</w:t>
            </w:r>
          </w:p>
        </w:tc>
        <w:tc>
          <w:tcPr>
            <w:tcW w:w="6789" w:type="dxa"/>
          </w:tcPr>
          <w:p>
            <w:pPr>
              <w:jc w:val="left"/>
              <w:rPr>
                <w:rStyle w:val="45"/>
                <w:rFonts w:ascii="微软雅黑" w:hAnsi="微软雅黑" w:eastAsia="微软雅黑" w:cs="微软雅黑"/>
                <w:color w:val="auto"/>
                <w:sz w:val="18"/>
                <w:szCs w:val="18"/>
                <w:highlight w:val="none"/>
              </w:rPr>
            </w:pPr>
            <w:r>
              <w:rPr>
                <w:rStyle w:val="45"/>
                <w:rFonts w:hint="eastAsia" w:ascii="微软雅黑" w:hAnsi="微软雅黑" w:eastAsia="微软雅黑" w:cs="微软雅黑"/>
                <w:color w:val="auto"/>
                <w:sz w:val="18"/>
                <w:szCs w:val="18"/>
                <w:highlight w:val="none"/>
              </w:rPr>
              <w:t>1.采用模块化、可维护、插拔式结构设计。</w:t>
            </w:r>
          </w:p>
          <w:p>
            <w:pPr>
              <w:pStyle w:val="38"/>
              <w:spacing w:line="312" w:lineRule="auto"/>
              <w:ind w:firstLine="0" w:firstLineChars="0"/>
              <w:rPr>
                <w:rStyle w:val="45"/>
                <w:rFonts w:ascii="微软雅黑" w:hAnsi="微软雅黑" w:eastAsia="微软雅黑" w:cs="微软雅黑"/>
                <w:color w:val="auto"/>
                <w:sz w:val="18"/>
                <w:szCs w:val="18"/>
                <w:highlight w:val="none"/>
                <w:lang w:eastAsia="en-US" w:bidi="en-US"/>
              </w:rPr>
            </w:pPr>
            <w:r>
              <w:rPr>
                <w:rStyle w:val="45"/>
                <w:rFonts w:hint="eastAsia" w:ascii="微软雅黑" w:hAnsi="微软雅黑" w:eastAsia="微软雅黑" w:cs="微软雅黑"/>
                <w:color w:val="auto"/>
                <w:sz w:val="18"/>
                <w:szCs w:val="18"/>
                <w:highlight w:val="none"/>
                <w:lang w:eastAsia="en-US" w:bidi="en-US"/>
              </w:rPr>
              <w:t>2.</w:t>
            </w:r>
            <w:r>
              <w:rPr>
                <w:rFonts w:hint="eastAsia" w:ascii="微软雅黑" w:hAnsi="微软雅黑" w:eastAsia="微软雅黑" w:cs="微软雅黑"/>
                <w:color w:val="auto"/>
                <w:sz w:val="18"/>
                <w:szCs w:val="18"/>
                <w:highlight w:val="none"/>
                <w:lang w:bidi="en-US"/>
              </w:rPr>
              <w:t xml:space="preserve"> </w:t>
            </w:r>
            <w:r>
              <w:rPr>
                <w:rFonts w:hint="eastAsia" w:ascii="宋体" w:hAnsi="宋体" w:cs="宋体"/>
                <w:color w:val="auto"/>
                <w:sz w:val="18"/>
                <w:szCs w:val="18"/>
                <w:highlight w:val="none"/>
              </w:rPr>
              <w:t>▲</w:t>
            </w:r>
            <w:r>
              <w:rPr>
                <w:rStyle w:val="45"/>
                <w:rFonts w:hint="eastAsia" w:ascii="微软雅黑" w:hAnsi="微软雅黑" w:eastAsia="微软雅黑" w:cs="微软雅黑"/>
                <w:color w:val="auto"/>
                <w:sz w:val="18"/>
                <w:szCs w:val="18"/>
                <w:highlight w:val="none"/>
                <w:lang w:eastAsia="en-US" w:bidi="en-US"/>
              </w:rPr>
              <w:t>采用Intel通用80pin接口,易拆卸维修。CPU采用Intel酷睿第九代I5处理器（CPU 9400）；内存：8G DDR4；硬盘：256G SSD；具备6个USB接口（其中至少包含4路USB3.0接口）；具有独立非外扩展的视频输出接口：≥1路HDMI ；≥1路DP；≥1路Type-c等。</w:t>
            </w:r>
          </w:p>
          <w:p>
            <w:pPr>
              <w:pStyle w:val="38"/>
              <w:spacing w:line="312" w:lineRule="auto"/>
              <w:ind w:firstLine="0" w:firstLineChars="0"/>
              <w:rPr>
                <w:rStyle w:val="45"/>
                <w:rFonts w:ascii="微软雅黑" w:hAnsi="微软雅黑" w:eastAsia="微软雅黑" w:cs="微软雅黑"/>
                <w:color w:val="auto"/>
                <w:sz w:val="18"/>
                <w:szCs w:val="18"/>
                <w:highlight w:val="none"/>
                <w:lang w:eastAsia="en-US" w:bidi="en-US"/>
              </w:rPr>
            </w:pPr>
            <w:r>
              <w:rPr>
                <w:rStyle w:val="45"/>
                <w:rFonts w:hint="eastAsia" w:ascii="微软雅黑" w:hAnsi="微软雅黑" w:eastAsia="微软雅黑" w:cs="微软雅黑"/>
                <w:color w:val="auto"/>
                <w:sz w:val="18"/>
                <w:szCs w:val="18"/>
                <w:highlight w:val="none"/>
                <w:lang w:bidi="en-US"/>
              </w:rPr>
              <w:t>3、</w:t>
            </w:r>
            <w:r>
              <w:rPr>
                <w:rStyle w:val="45"/>
                <w:rFonts w:hint="eastAsia" w:ascii="微软雅黑" w:hAnsi="微软雅黑" w:eastAsia="微软雅黑" w:cs="微软雅黑"/>
                <w:color w:val="auto"/>
                <w:sz w:val="18"/>
                <w:szCs w:val="18"/>
                <w:highlight w:val="none"/>
                <w:lang w:eastAsia="en-US" w:bidi="en-US"/>
              </w:rPr>
              <w:t>标配正版Windows10操作系统。</w:t>
            </w:r>
          </w:p>
          <w:p>
            <w:pPr>
              <w:pStyle w:val="38"/>
              <w:spacing w:line="312" w:lineRule="auto"/>
              <w:ind w:firstLine="0" w:firstLineChars="0"/>
              <w:rPr>
                <w:rStyle w:val="45"/>
                <w:rFonts w:ascii="微软雅黑" w:hAnsi="微软雅黑" w:eastAsia="微软雅黑" w:cs="微软雅黑"/>
                <w:color w:val="auto"/>
                <w:sz w:val="18"/>
                <w:szCs w:val="18"/>
                <w:highlight w:val="none"/>
                <w:lang w:bidi="en-US"/>
              </w:rPr>
            </w:pPr>
            <w:r>
              <w:rPr>
                <w:rStyle w:val="45"/>
                <w:rFonts w:hint="eastAsia" w:ascii="微软雅黑" w:hAnsi="微软雅黑" w:eastAsia="微软雅黑" w:cs="微软雅黑"/>
                <w:color w:val="auto"/>
                <w:sz w:val="18"/>
                <w:szCs w:val="18"/>
                <w:highlight w:val="none"/>
                <w:lang w:bidi="en-US"/>
              </w:rPr>
              <w:t>4、标配正版Office 365。（正版Office办公软件，包含Outlook，Access组件支持多语言、支持AI-powered创意功能、支持Android平台编辑功能）。</w:t>
            </w:r>
          </w:p>
          <w:p>
            <w:pPr>
              <w:pStyle w:val="38"/>
              <w:spacing w:line="312" w:lineRule="auto"/>
              <w:ind w:firstLine="0" w:firstLineChars="0"/>
              <w:rPr>
                <w:rFonts w:ascii="微软雅黑" w:hAnsi="微软雅黑" w:eastAsia="微软雅黑" w:cs="微软雅黑"/>
                <w:color w:val="auto"/>
                <w:sz w:val="18"/>
                <w:szCs w:val="18"/>
                <w:highlight w:val="none"/>
              </w:rPr>
            </w:pPr>
            <w:r>
              <w:rPr>
                <w:rStyle w:val="45"/>
                <w:rFonts w:hint="eastAsia" w:ascii="微软雅黑" w:hAnsi="微软雅黑" w:eastAsia="微软雅黑" w:cs="微软雅黑"/>
                <w:color w:val="auto"/>
                <w:sz w:val="18"/>
                <w:szCs w:val="18"/>
                <w:highlight w:val="none"/>
                <w:lang w:bidi="en-US"/>
              </w:rPr>
              <w:t>5、设备兼容与认证：插拔式电脑模块需提供单独电脑模块。</w:t>
            </w:r>
            <w:r>
              <w:rPr>
                <w:rFonts w:hint="eastAsia" w:ascii="微软雅黑" w:hAnsi="微软雅黑" w:eastAsia="微软雅黑" w:cs="微软雅黑"/>
                <w:color w:val="auto"/>
                <w:sz w:val="18"/>
                <w:szCs w:val="18"/>
                <w:highlight w:val="none"/>
              </w:rPr>
              <w:t xml:space="preserve"> </w:t>
            </w:r>
          </w:p>
          <w:p>
            <w:pPr>
              <w:jc w:val="left"/>
              <w:rPr>
                <w:rFonts w:ascii="微软雅黑" w:hAnsi="微软雅黑" w:eastAsia="微软雅黑" w:cs="微软雅黑"/>
                <w:bCs/>
                <w:color w:val="auto"/>
                <w:kern w:val="52"/>
                <w:sz w:val="18"/>
                <w:szCs w:val="18"/>
                <w:highlight w:val="none"/>
                <w:lang w:bidi="en-US"/>
              </w:rPr>
            </w:pPr>
            <w:r>
              <w:rPr>
                <w:rStyle w:val="45"/>
                <w:rFonts w:hint="eastAsia" w:ascii="微软雅黑" w:hAnsi="微软雅黑" w:eastAsia="微软雅黑" w:cs="微软雅黑"/>
                <w:color w:val="auto"/>
                <w:sz w:val="18"/>
                <w:szCs w:val="18"/>
                <w:highlight w:val="none"/>
                <w:lang w:bidi="en-US"/>
              </w:rPr>
              <w:t>6、内置WIFI：IEEE 802.11n 标准；内置网卡：10M/100M/1000M。</w:t>
            </w:r>
          </w:p>
        </w:tc>
        <w:tc>
          <w:tcPr>
            <w:tcW w:w="686"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套</w:t>
            </w:r>
          </w:p>
        </w:tc>
        <w:tc>
          <w:tcPr>
            <w:tcW w:w="728" w:type="dxa"/>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w:t>
            </w:r>
          </w:p>
        </w:tc>
        <w:tc>
          <w:tcPr>
            <w:tcW w:w="83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讲台</w:t>
            </w:r>
          </w:p>
        </w:tc>
        <w:tc>
          <w:tcPr>
            <w:tcW w:w="6789" w:type="dxa"/>
            <w:vAlign w:val="center"/>
          </w:tcPr>
          <w:p>
            <w:pPr>
              <w:widowControl/>
              <w:spacing w:line="300" w:lineRule="exact"/>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1.讲台外形尺寸： 1200mm*720mm*1000mm；</w:t>
            </w:r>
          </w:p>
          <w:p>
            <w:pPr>
              <w:widowControl/>
              <w:spacing w:line="300" w:lineRule="exact"/>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2.采用优质冷轧钢板，模具冲压成型，采用除油、酸洗、磷化、静电喷塑工艺处理。 面板厚度1.2mm，侧板及内板厚度1.0 mm并内附加强筋强化。     </w:t>
            </w:r>
          </w:p>
          <w:p>
            <w:pPr>
              <w:widowControl/>
              <w:spacing w:line="300" w:lineRule="exact"/>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3.钢木结合工艺。整体采用优质冷轧钢板制作；实木扶手，讲台内所有锁钥匙通用，标配4把钥匙讲台后部采用直线圆弧，避免碰撞造成对学生的伤害。实木扶手。  </w:t>
            </w:r>
          </w:p>
          <w:p>
            <w:pPr>
              <w:widowControl/>
              <w:spacing w:line="300" w:lineRule="exact"/>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讲台内可放置中央控制器、视频展台、台式电脑、DVD、功放等电教设备。      </w:t>
            </w:r>
          </w:p>
          <w:p>
            <w:pPr>
              <w:widowControl/>
              <w:spacing w:line="300" w:lineRule="exact"/>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4.讲台提供23.8英寸液晶显示器窗口，并具备可视角度。显示器角度180度内然度任意调节，方便教师观看.       </w:t>
            </w:r>
          </w:p>
          <w:p>
            <w:pPr>
              <w:widowControl/>
              <w:spacing w:line="300" w:lineRule="exact"/>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5.讲台提供台式计算机独立开机操作窗口和视频展台抽屉。       </w:t>
            </w:r>
          </w:p>
          <w:p>
            <w:pPr>
              <w:widowControl/>
              <w:spacing w:line="300" w:lineRule="exact"/>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6.底部预留各类线缆进线孔位置、和布线系统。     </w:t>
            </w:r>
          </w:p>
          <w:p>
            <w:pPr>
              <w:widowControl/>
              <w:spacing w:line="300" w:lineRule="exact"/>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7.讲台采用上下两层分体安装结构，通过内置4角羊角螺栓高强度连接；需保证与电脑、中控、视频展台、功放、调音台有效整合安装。   </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kern w:val="0"/>
                <w:sz w:val="18"/>
                <w:szCs w:val="18"/>
                <w:highlight w:val="none"/>
              </w:rPr>
              <w:t>6.讲台可扩展远程控制电子自动装置，实现远程开关。</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bottom w:val="single" w:color="auto" w:sz="4" w:space="0"/>
            </w:tcBorders>
            <w:vAlign w:val="center"/>
          </w:tcPr>
          <w:p>
            <w:pPr>
              <w:jc w:val="center"/>
              <w:rPr>
                <w:rFonts w:ascii="微软雅黑" w:hAnsi="微软雅黑" w:eastAsia="微软雅黑" w:cs="微软雅黑"/>
                <w:color w:val="auto"/>
                <w:sz w:val="18"/>
                <w:szCs w:val="18"/>
                <w:highlight w:val="none"/>
              </w:rPr>
            </w:pPr>
          </w:p>
        </w:tc>
        <w:tc>
          <w:tcPr>
            <w:tcW w:w="838" w:type="dxa"/>
            <w:tcBorders>
              <w:bottom w:val="single" w:color="auto" w:sz="4" w:space="0"/>
            </w:tcBorders>
            <w:vAlign w:val="center"/>
          </w:tcPr>
          <w:p>
            <w:pPr>
              <w:jc w:val="center"/>
              <w:rPr>
                <w:rFonts w:ascii="微软雅黑" w:hAnsi="微软雅黑" w:eastAsia="微软雅黑" w:cs="微软雅黑"/>
                <w:color w:val="auto"/>
                <w:sz w:val="18"/>
                <w:szCs w:val="18"/>
                <w:highlight w:val="none"/>
              </w:rPr>
            </w:pPr>
          </w:p>
        </w:tc>
        <w:tc>
          <w:tcPr>
            <w:tcW w:w="6789" w:type="dxa"/>
            <w:tcBorders>
              <w:bottom w:val="single" w:color="auto" w:sz="4" w:space="0"/>
            </w:tcBorders>
            <w:vAlign w:val="center"/>
          </w:tcPr>
          <w:p>
            <w:pPr>
              <w:numPr>
                <w:ilvl w:val="0"/>
                <w:numId w:val="27"/>
              </w:num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b/>
                <w:bCs/>
                <w:color w:val="auto"/>
                <w:sz w:val="18"/>
                <w:szCs w:val="18"/>
                <w:highlight w:val="none"/>
              </w:rPr>
              <w:t>信息共享&amp;辅导中心（103.84 m</w:t>
            </w:r>
            <w:r>
              <w:rPr>
                <w:rFonts w:hint="eastAsia" w:ascii="微软雅黑" w:hAnsi="微软雅黑" w:eastAsia="微软雅黑" w:cs="微软雅黑"/>
                <w:b/>
                <w:bCs/>
                <w:color w:val="auto"/>
                <w:sz w:val="18"/>
                <w:szCs w:val="18"/>
                <w:highlight w:val="none"/>
                <w:vertAlign w:val="superscript"/>
              </w:rPr>
              <w:t>2</w:t>
            </w:r>
            <w:r>
              <w:rPr>
                <w:rFonts w:hint="eastAsia" w:ascii="微软雅黑" w:hAnsi="微软雅黑" w:eastAsia="微软雅黑" w:cs="微软雅黑"/>
                <w:b/>
                <w:bCs/>
                <w:color w:val="auto"/>
                <w:sz w:val="18"/>
                <w:szCs w:val="18"/>
                <w:highlight w:val="none"/>
              </w:rPr>
              <w:t>）</w:t>
            </w:r>
          </w:p>
        </w:tc>
        <w:tc>
          <w:tcPr>
            <w:tcW w:w="686" w:type="dxa"/>
            <w:tcBorders>
              <w:bottom w:val="single" w:color="auto" w:sz="4" w:space="0"/>
            </w:tcBorders>
            <w:vAlign w:val="center"/>
          </w:tcPr>
          <w:p>
            <w:pPr>
              <w:jc w:val="center"/>
              <w:rPr>
                <w:rFonts w:ascii="微软雅黑" w:hAnsi="微软雅黑" w:eastAsia="微软雅黑" w:cs="微软雅黑"/>
                <w:color w:val="auto"/>
                <w:sz w:val="18"/>
                <w:szCs w:val="18"/>
                <w:highlight w:val="none"/>
              </w:rPr>
            </w:pPr>
          </w:p>
        </w:tc>
        <w:tc>
          <w:tcPr>
            <w:tcW w:w="728" w:type="dxa"/>
            <w:tcBorders>
              <w:bottom w:val="single" w:color="auto" w:sz="4" w:space="0"/>
            </w:tcBorders>
            <w:vAlign w:val="center"/>
          </w:tcPr>
          <w:p>
            <w:pPr>
              <w:jc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tcBorders>
            <w:vAlign w:val="center"/>
          </w:tcPr>
          <w:p>
            <w:pPr>
              <w:pStyle w:val="39"/>
              <w:jc w:val="center"/>
              <w:rPr>
                <w:rFonts w:ascii="微软雅黑" w:hAnsi="微软雅黑" w:eastAsia="微软雅黑" w:cs="微软雅黑"/>
                <w:color w:val="auto"/>
                <w:highlight w:val="none"/>
                <w:lang w:eastAsia="en-US" w:bidi="en-US"/>
              </w:rPr>
            </w:pPr>
            <w:r>
              <w:rPr>
                <w:rFonts w:hint="eastAsia" w:ascii="微软雅黑" w:hAnsi="微软雅黑" w:eastAsia="微软雅黑" w:cs="微软雅黑"/>
                <w:color w:val="auto"/>
                <w:highlight w:val="none"/>
              </w:rPr>
              <w:t>1</w:t>
            </w:r>
          </w:p>
        </w:tc>
        <w:tc>
          <w:tcPr>
            <w:tcW w:w="838" w:type="dxa"/>
            <w:tcBorders>
              <w:top w:val="single" w:color="auto" w:sz="4" w:space="0"/>
            </w:tcBorders>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P2.5室内显示屏</w:t>
            </w:r>
          </w:p>
        </w:tc>
        <w:tc>
          <w:tcPr>
            <w:tcW w:w="6789" w:type="dxa"/>
            <w:tcBorders>
              <w:top w:val="single" w:color="auto" w:sz="4" w:space="0"/>
            </w:tcBorders>
            <w:vAlign w:val="center"/>
          </w:tcPr>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规格P2.5室内全彩LED显示屏，像素点组成 1红1绿1蓝。</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 xml:space="preserve">封装：SMD2020  </w:t>
            </w:r>
            <w:r>
              <w:rPr>
                <w:rFonts w:hint="eastAsia" w:ascii="微软雅黑" w:hAnsi="微软雅黑" w:eastAsia="微软雅黑" w:cs="微软雅黑"/>
                <w:color w:val="auto"/>
                <w:sz w:val="18"/>
                <w:szCs w:val="18"/>
                <w:highlight w:val="none"/>
              </w:rPr>
              <w:br w:type="textWrapping"/>
            </w: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像素点间距2.5mm</w:t>
            </w:r>
            <w:r>
              <w:rPr>
                <w:rFonts w:hint="eastAsia" w:ascii="微软雅黑" w:hAnsi="微软雅黑" w:eastAsia="微软雅黑" w:cs="微软雅黑"/>
                <w:color w:val="auto"/>
                <w:sz w:val="18"/>
                <w:szCs w:val="18"/>
                <w:highlight w:val="none"/>
              </w:rPr>
              <w:br w:type="textWrapping"/>
            </w: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显示密度 160000Dots/㎡</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模组规格 128点×64点，320mm×160mm</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单元板功率≤24W</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最大白平衡亮度 ≥1000cd/㎡ 输入信号接口：Hub75</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亮度均匀性：≥0.95</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灰度级别 红、绿、蓝各12~16bits,最大可至65536级</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低亮高灰，起灰早，轻松实现14bit以上灰度，色彩显示更细腻。</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具备行业领先的消隐功能，实现上行及下行无“鬼影”，画面精美干净，显示更逼真。</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显示颜色 ≥16.7M种，最大达43980亿种</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失控点数 ≤万分之一</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最佳视距 ≥2.5米</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可视角度 水平：140±10 度  垂直：130±10 度</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亮度调节 256级手动/自动调节</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 xml:space="preserve">换帧频率 ≥60 帧/秒 </w:t>
            </w:r>
            <w:r>
              <w:rPr>
                <w:rFonts w:hint="eastAsia" w:ascii="微软雅黑" w:hAnsi="微软雅黑" w:eastAsia="微软雅黑" w:cs="微软雅黑"/>
                <w:color w:val="auto"/>
                <w:sz w:val="18"/>
                <w:szCs w:val="18"/>
                <w:highlight w:val="none"/>
              </w:rPr>
              <w:br w:type="textWrapping"/>
            </w:r>
            <w:r>
              <w:rPr>
                <w:rFonts w:hint="eastAsia" w:ascii="宋体" w:hAnsi="宋体" w:cs="宋体"/>
                <w:color w:val="auto"/>
                <w:kern w:val="0"/>
                <w:sz w:val="18"/>
                <w:szCs w:val="18"/>
                <w:highlight w:val="none"/>
              </w:rPr>
              <w:t>▲</w:t>
            </w:r>
            <w:r>
              <w:rPr>
                <w:rFonts w:hint="eastAsia" w:ascii="微软雅黑" w:hAnsi="微软雅黑" w:eastAsia="微软雅黑" w:cs="微软雅黑"/>
                <w:color w:val="auto"/>
                <w:sz w:val="18"/>
                <w:szCs w:val="18"/>
                <w:highlight w:val="none"/>
              </w:rPr>
              <w:t>刷新频率 ≥3840Hz（全灰度场）播放画面流畅，避免水波纹，在1/1250秒的专业相机拍摄情况下，画面无频闪线、无晃动，完全满足现场直播镜头切换无闪烁需求</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驱动IC为ICN2053高刷芯片</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屏体寿命 ≥100,000小时.</w:t>
            </w:r>
          </w:p>
          <w:p>
            <w:pPr>
              <w:widowControl/>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衰减率：≤15%（工作三年）</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连续工作时间 ＞72小时</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平均无故障时间 ＞10,000小时</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工作电压 AC :220V±15%，50Hz±2 Hz</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环境温湿度 工作温度：-20℃～+60℃，工作湿度：10％-65％RH(无结露)</w:t>
            </w:r>
            <w:r>
              <w:rPr>
                <w:rFonts w:hint="eastAsia" w:ascii="微软雅黑" w:hAnsi="微软雅黑" w:eastAsia="微软雅黑" w:cs="微软雅黑"/>
                <w:color w:val="auto"/>
                <w:sz w:val="18"/>
                <w:szCs w:val="18"/>
                <w:highlight w:val="none"/>
              </w:rPr>
              <w:br w:type="textWrapping"/>
            </w:r>
            <w:r>
              <w:rPr>
                <w:rFonts w:hint="eastAsia" w:ascii="微软雅黑" w:hAnsi="微软雅黑" w:eastAsia="微软雅黑" w:cs="微软雅黑"/>
                <w:color w:val="auto"/>
                <w:sz w:val="18"/>
                <w:szCs w:val="18"/>
                <w:highlight w:val="none"/>
              </w:rPr>
              <w:t>平整度 用精度0.02的通用量具测量样品的平整度为0.1mm，</w:t>
            </w:r>
          </w:p>
          <w:p>
            <w:pPr>
              <w:widowControl/>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投标产品乃低亮高灰节能LED显示模组、新型低功耗高均匀度LED显示屏</w:t>
            </w:r>
          </w:p>
          <w:p>
            <w:pPr>
              <w:widowControl/>
              <w:jc w:val="left"/>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工作湿度范围：10％-65％RH(无结露)</w:t>
            </w:r>
          </w:p>
        </w:tc>
        <w:tc>
          <w:tcPr>
            <w:tcW w:w="686" w:type="dxa"/>
            <w:tcBorders>
              <w:top w:val="single" w:color="auto" w:sz="4" w:space="0"/>
            </w:tcBorders>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b/>
                <w:bCs/>
                <w:color w:val="auto"/>
                <w:highlight w:val="none"/>
              </w:rPr>
              <w:t>m</w:t>
            </w:r>
            <w:r>
              <w:rPr>
                <w:rFonts w:hint="eastAsia" w:ascii="微软雅黑" w:hAnsi="微软雅黑" w:eastAsia="微软雅黑" w:cs="微软雅黑"/>
                <w:b/>
                <w:bCs/>
                <w:color w:val="auto"/>
                <w:highlight w:val="none"/>
                <w:vertAlign w:val="superscript"/>
              </w:rPr>
              <w:t>2</w:t>
            </w:r>
          </w:p>
        </w:tc>
        <w:tc>
          <w:tcPr>
            <w:tcW w:w="728" w:type="dxa"/>
            <w:tcBorders>
              <w:top w:val="single" w:color="auto" w:sz="4" w:space="0"/>
            </w:tcBorders>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lang w:eastAsia="en-US" w:bidi="en-US"/>
              </w:rPr>
            </w:pPr>
            <w:r>
              <w:rPr>
                <w:rFonts w:hint="eastAsia" w:ascii="微软雅黑" w:hAnsi="微软雅黑" w:eastAsia="微软雅黑" w:cs="微软雅黑"/>
                <w:color w:val="auto"/>
                <w:highlight w:val="none"/>
              </w:rPr>
              <w:t>2</w:t>
            </w:r>
          </w:p>
        </w:tc>
        <w:tc>
          <w:tcPr>
            <w:tcW w:w="838"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显示屏开关电源</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输入电压范围： 176～264VAC  额定输出电压：5VDC</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纹波和噪声：150mVp-p</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过载保护：额定负载的110~150%范围内电源保护，去载恢复正常输出</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短路保护：输出端短路时电源保护，输出关断，去掉短路恢复正常输出</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安全标准：符合GB4943-2001，UL1012</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抗电强度：I/P-O/P、I/P-FG：1.5KVAC   O/P-FG：0.5KVAC</w:t>
            </w:r>
          </w:p>
          <w:p>
            <w:pPr>
              <w:pStyle w:val="39"/>
              <w:rPr>
                <w:rFonts w:ascii="微软雅黑" w:hAnsi="微软雅黑" w:eastAsia="微软雅黑" w:cs="微软雅黑"/>
                <w:color w:val="auto"/>
                <w:highlight w:val="none"/>
                <w:lang w:eastAsia="en-US" w:bidi="en-US"/>
              </w:rPr>
            </w:pPr>
            <w:r>
              <w:rPr>
                <w:rFonts w:hint="eastAsia" w:ascii="微软雅黑" w:hAnsi="微软雅黑" w:eastAsia="微软雅黑" w:cs="微软雅黑"/>
                <w:color w:val="auto"/>
                <w:highlight w:val="none"/>
              </w:rPr>
              <w:t>绝缘电阻：I/P-O/P、I/P-FG、O/P-FG：100MΩ/500VDC（电磁干扰）传导和辐射：符合EN55022，Class B，平均无故障工作时间（MTBF）：100，000小时</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项</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3</w:t>
            </w:r>
          </w:p>
        </w:tc>
        <w:tc>
          <w:tcPr>
            <w:tcW w:w="838"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定制箱体</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黑色磨砂铝型材，箱体整体厚度≤15cm，散热空间大，无缝拼接插件；</w:t>
            </w:r>
          </w:p>
          <w:p>
            <w:pPr>
              <w:pStyle w:val="13"/>
              <w:ind w:left="0"/>
              <w:rPr>
                <w:rFonts w:eastAsia="微软雅黑"/>
                <w:color w:val="auto"/>
                <w:highlight w:val="none"/>
              </w:rPr>
            </w:pPr>
            <w:r>
              <w:rPr>
                <w:rFonts w:hint="eastAsia" w:ascii="微软雅黑" w:hAnsi="微软雅黑" w:eastAsia="微软雅黑" w:cs="微软雅黑"/>
                <w:color w:val="auto"/>
                <w:kern w:val="0"/>
                <w:sz w:val="18"/>
                <w:szCs w:val="18"/>
                <w:highlight w:val="none"/>
              </w:rPr>
              <w:t>外框304黑色镜面不锈钢包边：宽度包边≧3cm，高度包边≧3cm；</w:t>
            </w:r>
          </w:p>
          <w:p>
            <w:pPr>
              <w:pStyle w:val="39"/>
              <w:rPr>
                <w:rFonts w:eastAsia="微软雅黑"/>
                <w:color w:val="auto"/>
                <w:highlight w:val="none"/>
                <w:lang w:bidi="en-US"/>
              </w:rPr>
            </w:pPr>
            <w:r>
              <w:rPr>
                <w:rFonts w:hint="eastAsia" w:ascii="微软雅黑" w:hAnsi="微软雅黑" w:eastAsia="微软雅黑" w:cs="微软雅黑"/>
                <w:color w:val="auto"/>
                <w:highlight w:val="none"/>
              </w:rPr>
              <w:t>尺寸：4.53X2.49=10.93㎡。</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b/>
                <w:bCs/>
                <w:color w:val="auto"/>
                <w:highlight w:val="none"/>
              </w:rPr>
              <w:t>m</w:t>
            </w:r>
            <w:r>
              <w:rPr>
                <w:rFonts w:hint="eastAsia" w:ascii="微软雅黑" w:hAnsi="微软雅黑" w:eastAsia="微软雅黑" w:cs="微软雅黑"/>
                <w:b/>
                <w:bCs/>
                <w:color w:val="auto"/>
                <w:highlight w:val="none"/>
                <w:vertAlign w:val="superscript"/>
              </w:rPr>
              <w:t>2</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4</w:t>
            </w:r>
          </w:p>
        </w:tc>
        <w:tc>
          <w:tcPr>
            <w:tcW w:w="838"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控制系统</w:t>
            </w:r>
          </w:p>
        </w:tc>
        <w:tc>
          <w:tcPr>
            <w:tcW w:w="6789" w:type="dxa"/>
            <w:vAlign w:val="center"/>
          </w:tcPr>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设定LED屏幕大小，可以设定LED区域的大小；</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可实现新建节目叶、节目窗、播放内容等；</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可实现视频、图片、文本、时钟、计时器、天气预报、外部视频等的播放，可实现Word、Excel、PPT、Gif、Flash等文件的播放；</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可实现播放通知、体育比分管理的实时调整播放；</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可实现节目定时管理、定时指令表的查看；</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软件可实现参数设置、向接收卡发送图片视频文件、实现接收卡发送节目文件；</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可对电源进行控制、能够对大屏进行亮度调节；</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软件具有对大屏通过相机进行校正的功能，可以实现启用亮度校正；</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软件具有边缘修缝功能，</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软件可通过上位机对终端进行远程控制，从而实现客户机对led大屏的远程控制；</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软件具有权限分级管理功能，用户可自行设定登陆密码；</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对于软件运行过程中遇到故障时可自动重启；</w:t>
            </w:r>
          </w:p>
          <w:p>
            <w:pPr>
              <w:widowControl/>
              <w:jc w:val="left"/>
              <w:textAlignment w:val="center"/>
              <w:rPr>
                <w:rFonts w:ascii="微软雅黑" w:hAnsi="微软雅黑" w:eastAsia="微软雅黑" w:cs="微软雅黑"/>
                <w:color w:val="auto"/>
                <w:kern w:val="0"/>
                <w:sz w:val="18"/>
                <w:szCs w:val="18"/>
                <w:highlight w:val="none"/>
                <w:lang w:bidi="en-US"/>
              </w:rPr>
            </w:pPr>
            <w:r>
              <w:rPr>
                <w:rFonts w:hint="eastAsia" w:ascii="微软雅黑" w:hAnsi="微软雅黑" w:eastAsia="微软雅黑" w:cs="微软雅黑"/>
                <w:color w:val="auto"/>
                <w:sz w:val="18"/>
                <w:szCs w:val="18"/>
                <w:highlight w:val="none"/>
              </w:rPr>
              <w:t>对于软件执行的各种问题、消息、确认信息、警告信息，软件要给出明显警告，且在执行该功能前再次确认，同时对于以上相关信息要易于理解；对软件具有的中文特性，如对话框、菜单、窗口、图标等界面全部中文显示；</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5</w:t>
            </w:r>
          </w:p>
        </w:tc>
        <w:tc>
          <w:tcPr>
            <w:tcW w:w="838"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视频处理器</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视频输入接口包括≥1路HDMI 2.0；≥1 路DVI；≥2 路；</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输入分辨率：最大1240*960@60Hz，支持分辨率任意设置；</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视频输出带载能力：230万像素；</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支持视频源任意切换，可根据显示屏分辨率对输入图像进行拼接、缩放；</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双USB2.0高速通讯接口，用于电脑调试和卡间级联；</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支持多发送器任意拼接级联，严格同步；</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支持亮度和色温调节；</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支持低亮高灰；</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支持HDCP；</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支持跨平台设置大屏参数；</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支持网口备份，当某一路网口无信号时，备份网口无缝切换；</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台</w:t>
            </w:r>
          </w:p>
        </w:tc>
        <w:tc>
          <w:tcPr>
            <w:tcW w:w="728" w:type="dxa"/>
            <w:vAlign w:val="center"/>
          </w:tcPr>
          <w:p>
            <w:pPr>
              <w:widowControl/>
              <w:jc w:val="distribute"/>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6</w:t>
            </w:r>
          </w:p>
        </w:tc>
        <w:tc>
          <w:tcPr>
            <w:tcW w:w="838"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LED接收卡</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集成HUB75，无需再配转接板，更方便，成本更低；</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减少接插连接件，减少故障点，故障率更低；</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支持常规芯片实现高刷新、高灰度、高亮度；</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全新灰度引擎，低灰度表现更佳；</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细节处理更完美，可消除单元板设计引起的某行偏暗、低灰偏红、鬼影等细节问题；</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支持14bit精度的色度、亮度一体化逐点校正；</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支持所有常规芯片、PWM芯片和灯饰芯片；</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支持静态屏、1/2~1/32扫之间的任意扫描类型；</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支持任意抽点，支持数据偏移，可轻松实现各种异型屏、球形屏、创意显示屏；</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单卡支持16组RGB信号输出；</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支持超大带载面积，单卡带载128*512，256*256；</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先进设计，优质元器件，全自动高低温老化测试，零故障出厂；</w:t>
            </w:r>
            <w:r>
              <w:rPr>
                <w:rFonts w:hint="eastAsia" w:ascii="微软雅黑" w:hAnsi="微软雅黑" w:eastAsia="微软雅黑" w:cs="微软雅黑"/>
                <w:color w:val="auto"/>
                <w:highlight w:val="none"/>
              </w:rPr>
              <w:br w:type="textWrapping"/>
            </w:r>
            <w:r>
              <w:rPr>
                <w:rFonts w:hint="eastAsia" w:ascii="微软雅黑" w:hAnsi="微软雅黑" w:eastAsia="微软雅黑" w:cs="微软雅黑"/>
                <w:color w:val="auto"/>
                <w:highlight w:val="none"/>
              </w:rPr>
              <w:t>支持DC 3.3V~6V超宽工作电压，有效减弱电压波动带来的影响；</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7</w:t>
            </w:r>
          </w:p>
        </w:tc>
        <w:tc>
          <w:tcPr>
            <w:tcW w:w="838"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单元备用板</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与显示屏单元板同批次</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8</w:t>
            </w:r>
          </w:p>
        </w:tc>
        <w:tc>
          <w:tcPr>
            <w:tcW w:w="838"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无线投屏</w:t>
            </w:r>
          </w:p>
        </w:tc>
        <w:tc>
          <w:tcPr>
            <w:tcW w:w="6789" w:type="dxa"/>
            <w:vAlign w:val="center"/>
          </w:tcPr>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1.USB无线传屏，支持windows和mac电脑，仅通过USB口，同时完成传输和供电，无线传屏至接收端。一键传屏，无需安装软件。支持对USB传屏器所插电脑的触摸反控。</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2.支持主流操作系统通过wifi的无线传屏，windows和安卓系统，通过运行应用程序进行镜像传屏；ios,mac通过自带airplay协议实现镜像传屏。</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3.接收端内置两个wifi模块，一个用于产生热点用于传屏，另外一个用于连接办公室网络，无需连接网线使得连接热点正在传屏的移动终端还能上网，投屏上网两不误。</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4.接收端内置蓝牙模块，安卓手机在镜像投屏时，可以上网播放在线视频或者在线音乐并能传屏传声音。</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5.具备3个USB口，1个HDMI输出口，1个RJ45网口，1个模拟音频输出口，1个TF卡槽.</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6.接收端具备联网自动升级功能，能通过网络及时更新内置程序，以及USB传屏器升级包，当把USB传屏器插入接收端usb口时自动升级USB传屏器。方便升级等售后服务。</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7.具备多种投屏模式，满足各种场合需求，抢占模式和独占模式可以随意切换，可以设置动态投屏码防止投屏事故。可设置竖屏模式，方便手机竖屏满屏传屏。</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8.内置批注功能，能对传屏画面进行实时批注，并保存本地，u盘或者手机二维码分享多种选择。</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9.具备管理员功能，提供管理员客户端软件，通过管理员客户端软件可以方便控制投屏端的上下屏操作</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10.支持集控部署和管理，支持公网集控服务器部署或者私有网络服务器部署，通过集控管理端，可以对指定设备进行设置或者管理，如，设置投屏参数，设置壁纸，推送安装指定应用等功能。</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11.自动重启功能:内置实时时钟模块，确保无互联网状态下，系统时间仍能正常运行，并能在凌晨无投屏状态时自动重启，确保设备365天7x24小时不掉电仍能有效运行。</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12.兼容miracast和widi功能，接收端运行内置特定程序后，可以支持安卓手机的miracast投屏和笔记本的widi投屏，无需安卓软件。</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13.支持手机扫码投屏功能，微信，支付宝扫一扫直接进入镜像投屏状态，无需手动连接wifi等其他操作步奏，方便快捷</w:t>
            </w:r>
          </w:p>
          <w:p>
            <w:pPr>
              <w:widowControl/>
              <w:jc w:val="left"/>
              <w:textAlignment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14.支持跨网段投屏，接收主机与安卓客户端，windows客户端可以处于不同网段，在客户端只需输入接收主机的投屏码即可投屏。投屏码支持动态变化。服务器可以部署在云端或客户内网自建。</w:t>
            </w:r>
          </w:p>
          <w:p>
            <w:pPr>
              <w:pStyle w:val="39"/>
              <w:rPr>
                <w:rFonts w:ascii="微软雅黑" w:hAnsi="微软雅黑" w:eastAsia="微软雅黑" w:cs="微软雅黑"/>
                <w:color w:val="auto"/>
                <w:highlight w:val="none"/>
                <w:lang w:eastAsia="en-US" w:bidi="en-US"/>
              </w:rPr>
            </w:pPr>
            <w:r>
              <w:rPr>
                <w:rFonts w:hint="eastAsia" w:ascii="微软雅黑" w:hAnsi="微软雅黑" w:eastAsia="微软雅黑" w:cs="微软雅黑"/>
                <w:color w:val="auto"/>
                <w:highlight w:val="none"/>
              </w:rPr>
              <w:t>15.接收主机支持HDMI 2.0 4k60hz输出</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9</w:t>
            </w:r>
          </w:p>
        </w:tc>
        <w:tc>
          <w:tcPr>
            <w:tcW w:w="838"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控制电源箱</w:t>
            </w:r>
          </w:p>
        </w:tc>
        <w:tc>
          <w:tcPr>
            <w:tcW w:w="6789" w:type="dxa"/>
            <w:vAlign w:val="center"/>
          </w:tcPr>
          <w:p>
            <w:pPr>
              <w:pStyle w:val="39"/>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15KW,远程电脑启动/关闭电源，定时启动/关闭电源；超载、短路、漏电保护、过流自动报警；30A主控制空气开关，带漏电保护功能，电流、电压显示，手动/自动/停止切换开头，30A交流互感开关，过载过压保护器，4路10A空气开关输出。电源避雷箱：额定电压:380V</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套</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10</w:t>
            </w:r>
          </w:p>
        </w:tc>
        <w:tc>
          <w:tcPr>
            <w:tcW w:w="838" w:type="dxa"/>
            <w:vAlign w:val="center"/>
          </w:tcPr>
          <w:p>
            <w:pPr>
              <w:jc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控制电脑</w:t>
            </w:r>
          </w:p>
        </w:tc>
        <w:tc>
          <w:tcPr>
            <w:tcW w:w="6789" w:type="dxa"/>
            <w:vAlign w:val="center"/>
          </w:tcPr>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zh-CN"/>
              </w:rPr>
              <w:t>商用台式计算机，机箱</w:t>
            </w:r>
            <w:r>
              <w:rPr>
                <w:rFonts w:hint="eastAsia" w:ascii="微软雅黑" w:hAnsi="微软雅黑" w:eastAsia="微软雅黑" w:cs="微软雅黑"/>
                <w:color w:val="auto"/>
                <w:sz w:val="18"/>
                <w:szCs w:val="18"/>
                <w:highlight w:val="none"/>
              </w:rPr>
              <w:t>≤14.8L</w:t>
            </w:r>
            <w:r>
              <w:rPr>
                <w:rFonts w:hint="eastAsia" w:ascii="微软雅黑" w:hAnsi="微软雅黑" w:eastAsia="微软雅黑" w:cs="微软雅黑"/>
                <w:color w:val="auto"/>
                <w:sz w:val="18"/>
                <w:szCs w:val="18"/>
                <w:highlight w:val="none"/>
                <w:lang w:val="zh-CN"/>
              </w:rPr>
              <w:t>升，内置音响；</w:t>
            </w:r>
          </w:p>
          <w:p>
            <w:pPr>
              <w:pStyle w:val="12"/>
              <w:rPr>
                <w:rFonts w:ascii="微软雅黑" w:hAnsi="微软雅黑" w:eastAsia="微软雅黑" w:cs="微软雅黑"/>
                <w:color w:val="auto"/>
                <w:sz w:val="18"/>
                <w:szCs w:val="18"/>
                <w:highlight w:val="none"/>
              </w:rPr>
            </w:pPr>
            <w:r>
              <w:rPr>
                <w:rFonts w:hint="eastAsia" w:hAnsi="宋体" w:cs="宋体"/>
                <w:color w:val="auto"/>
                <w:kern w:val="0"/>
                <w:sz w:val="18"/>
                <w:szCs w:val="18"/>
                <w:highlight w:val="none"/>
              </w:rPr>
              <w:t>▲</w:t>
            </w:r>
            <w:r>
              <w:rPr>
                <w:rFonts w:hint="eastAsia" w:ascii="微软雅黑" w:hAnsi="微软雅黑" w:eastAsia="微软雅黑" w:cs="微软雅黑"/>
                <w:color w:val="auto"/>
                <w:sz w:val="18"/>
                <w:szCs w:val="18"/>
                <w:highlight w:val="none"/>
                <w:lang w:val="zh-CN"/>
              </w:rPr>
              <w:t xml:space="preserve">主板：Intel </w:t>
            </w:r>
            <w:r>
              <w:rPr>
                <w:rFonts w:hint="eastAsia" w:ascii="微软雅黑" w:hAnsi="微软雅黑" w:eastAsia="微软雅黑" w:cs="微软雅黑"/>
                <w:color w:val="auto"/>
                <w:sz w:val="18"/>
                <w:szCs w:val="18"/>
                <w:highlight w:val="none"/>
              </w:rPr>
              <w:t>B</w:t>
            </w:r>
            <w:r>
              <w:rPr>
                <w:rFonts w:hint="eastAsia" w:ascii="微软雅黑" w:hAnsi="微软雅黑" w:eastAsia="微软雅黑" w:cs="微软雅黑"/>
                <w:color w:val="auto"/>
                <w:sz w:val="18"/>
                <w:szCs w:val="18"/>
                <w:highlight w:val="none"/>
                <w:lang w:val="zh-CN"/>
              </w:rPr>
              <w:t>系列</w:t>
            </w:r>
            <w:r>
              <w:rPr>
                <w:rFonts w:hint="eastAsia" w:ascii="微软雅黑" w:hAnsi="微软雅黑" w:eastAsia="微软雅黑" w:cs="微软雅黑"/>
                <w:color w:val="auto"/>
                <w:sz w:val="18"/>
                <w:szCs w:val="18"/>
                <w:highlight w:val="none"/>
              </w:rPr>
              <w:t>芯片组</w:t>
            </w:r>
          </w:p>
          <w:p>
            <w:pPr>
              <w:pStyle w:val="12"/>
              <w:rPr>
                <w:rFonts w:ascii="微软雅黑" w:hAnsi="微软雅黑" w:eastAsia="微软雅黑" w:cs="微软雅黑"/>
                <w:color w:val="auto"/>
                <w:sz w:val="18"/>
                <w:szCs w:val="18"/>
                <w:highlight w:val="none"/>
              </w:rPr>
            </w:pPr>
            <w:r>
              <w:rPr>
                <w:rFonts w:hint="eastAsia" w:hAnsi="宋体" w:cs="宋体"/>
                <w:color w:val="auto"/>
                <w:kern w:val="0"/>
                <w:sz w:val="18"/>
                <w:szCs w:val="18"/>
                <w:highlight w:val="none"/>
              </w:rPr>
              <w:t>▲</w:t>
            </w:r>
            <w:r>
              <w:rPr>
                <w:rFonts w:hint="eastAsia" w:ascii="微软雅黑" w:hAnsi="微软雅黑" w:eastAsia="微软雅黑" w:cs="微软雅黑"/>
                <w:color w:val="auto"/>
                <w:sz w:val="18"/>
                <w:szCs w:val="18"/>
                <w:highlight w:val="none"/>
                <w:lang w:val="zh-CN"/>
              </w:rPr>
              <w:t>CPU:  英特尔</w:t>
            </w:r>
            <w:r>
              <w:rPr>
                <w:rFonts w:hint="eastAsia" w:ascii="微软雅黑" w:hAnsi="微软雅黑" w:eastAsia="微软雅黑" w:cs="微软雅黑"/>
                <w:color w:val="auto"/>
                <w:sz w:val="18"/>
                <w:szCs w:val="18"/>
                <w:highlight w:val="none"/>
              </w:rPr>
              <w:t>I5-7500</w:t>
            </w:r>
          </w:p>
          <w:p>
            <w:pPr>
              <w:pStyle w:val="12"/>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lang w:val="zh-CN"/>
              </w:rPr>
              <w:t>内存：≥4G DDR4</w:t>
            </w:r>
          </w:p>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zh-CN"/>
              </w:rPr>
              <w:t xml:space="preserve">硬盘：≥1TB SATA </w:t>
            </w:r>
            <w:r>
              <w:rPr>
                <w:rFonts w:hint="eastAsia" w:ascii="微软雅黑" w:hAnsi="微软雅黑" w:eastAsia="微软雅黑" w:cs="微软雅黑"/>
                <w:color w:val="auto"/>
                <w:sz w:val="18"/>
                <w:szCs w:val="18"/>
                <w:highlight w:val="none"/>
              </w:rPr>
              <w:t xml:space="preserve"> </w:t>
            </w:r>
            <w:r>
              <w:rPr>
                <w:rFonts w:hint="eastAsia" w:ascii="微软雅黑" w:hAnsi="微软雅黑" w:eastAsia="微软雅黑" w:cs="微软雅黑"/>
                <w:color w:val="auto"/>
                <w:sz w:val="18"/>
                <w:szCs w:val="18"/>
                <w:highlight w:val="none"/>
                <w:lang w:val="zh-CN"/>
              </w:rPr>
              <w:t>硬盘，</w:t>
            </w:r>
            <w:r>
              <w:rPr>
                <w:rFonts w:hint="eastAsia" w:ascii="微软雅黑" w:hAnsi="微软雅黑" w:eastAsia="微软雅黑" w:cs="微软雅黑"/>
                <w:color w:val="auto"/>
                <w:sz w:val="18"/>
                <w:szCs w:val="18"/>
                <w:highlight w:val="none"/>
              </w:rPr>
              <w:t>支持3块(1个3.5寸和2个2.5寸)硬盘，提供3年硬盘不返回服务。</w:t>
            </w:r>
          </w:p>
          <w:p>
            <w:pPr>
              <w:pStyle w:val="12"/>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lang w:val="zh-CN"/>
              </w:rPr>
              <w:t>声卡：高清音频声卡</w:t>
            </w:r>
            <w:r>
              <w:rPr>
                <w:rFonts w:hint="eastAsia" w:ascii="微软雅黑" w:hAnsi="微软雅黑" w:eastAsia="微软雅黑" w:cs="微软雅黑"/>
                <w:color w:val="auto"/>
                <w:sz w:val="18"/>
                <w:szCs w:val="18"/>
                <w:highlight w:val="none"/>
              </w:rPr>
              <w:t xml:space="preserve"> </w:t>
            </w:r>
          </w:p>
          <w:p>
            <w:pPr>
              <w:pStyle w:val="12"/>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lang w:val="zh-CN"/>
              </w:rPr>
              <w:t>网卡：主板集成千兆以上网卡</w:t>
            </w:r>
          </w:p>
          <w:p>
            <w:pPr>
              <w:pStyle w:val="12"/>
              <w:rPr>
                <w:rFonts w:ascii="微软雅黑" w:hAnsi="微软雅黑" w:eastAsia="微软雅黑" w:cs="微软雅黑"/>
                <w:color w:val="auto"/>
                <w:sz w:val="18"/>
                <w:szCs w:val="18"/>
                <w:highlight w:val="none"/>
                <w:lang w:val="zh-CN"/>
              </w:rPr>
            </w:pPr>
            <w:r>
              <w:rPr>
                <w:rFonts w:hint="eastAsia" w:ascii="微软雅黑" w:hAnsi="微软雅黑" w:eastAsia="微软雅黑" w:cs="微软雅黑"/>
                <w:color w:val="auto"/>
                <w:sz w:val="18"/>
                <w:szCs w:val="18"/>
                <w:highlight w:val="none"/>
                <w:lang w:val="zh-CN"/>
              </w:rPr>
              <w:t xml:space="preserve">键盘鼠标：USB键盘鼠标同品牌 </w:t>
            </w:r>
          </w:p>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zh-CN"/>
              </w:rPr>
              <w:t>电源：</w:t>
            </w:r>
            <w:r>
              <w:rPr>
                <w:rFonts w:hint="eastAsia" w:ascii="微软雅黑" w:hAnsi="微软雅黑" w:eastAsia="微软雅黑" w:cs="微软雅黑"/>
                <w:color w:val="auto"/>
                <w:sz w:val="18"/>
                <w:szCs w:val="18"/>
                <w:highlight w:val="none"/>
              </w:rPr>
              <w:t>≥240W；</w:t>
            </w:r>
          </w:p>
          <w:p>
            <w:pPr>
              <w:pStyle w:val="12"/>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集成</w:t>
            </w:r>
            <w:r>
              <w:rPr>
                <w:rFonts w:hint="eastAsia" w:ascii="微软雅黑" w:hAnsi="微软雅黑" w:eastAsia="微软雅黑" w:cs="微软雅黑"/>
                <w:color w:val="auto"/>
                <w:sz w:val="18"/>
                <w:szCs w:val="18"/>
                <w:highlight w:val="none"/>
                <w:lang w:val="zh-CN"/>
              </w:rPr>
              <w:t>接口：不少于8 个 USB 端口：4 个USB 3.1 端口（2 个前置，2 个后置）和 4 个 USB 2.0 端口（2 个前置，2 个后置），1个HDMI,1个</w:t>
            </w:r>
            <w:r>
              <w:rPr>
                <w:rFonts w:hint="eastAsia" w:ascii="微软雅黑" w:hAnsi="微软雅黑" w:eastAsia="微软雅黑" w:cs="微软雅黑"/>
                <w:color w:val="auto"/>
                <w:sz w:val="18"/>
                <w:szCs w:val="18"/>
                <w:highlight w:val="none"/>
              </w:rPr>
              <w:t>DP，1个VGA</w:t>
            </w:r>
            <w:r>
              <w:rPr>
                <w:rFonts w:hint="eastAsia" w:ascii="微软雅黑" w:hAnsi="微软雅黑" w:eastAsia="微软雅黑" w:cs="微软雅黑"/>
                <w:color w:val="auto"/>
                <w:sz w:val="18"/>
                <w:szCs w:val="18"/>
                <w:highlight w:val="none"/>
                <w:lang w:val="zh-CN"/>
              </w:rPr>
              <w:t>；</w:t>
            </w:r>
            <w:r>
              <w:rPr>
                <w:rFonts w:hint="eastAsia" w:ascii="微软雅黑" w:hAnsi="微软雅黑" w:eastAsia="微软雅黑" w:cs="微软雅黑"/>
                <w:color w:val="auto"/>
                <w:sz w:val="18"/>
                <w:szCs w:val="18"/>
                <w:highlight w:val="none"/>
              </w:rPr>
              <w:t>1个M.2接口；1个全高 PCIe x16；</w:t>
            </w:r>
          </w:p>
          <w:p>
            <w:pPr>
              <w:pStyle w:val="12"/>
              <w:rPr>
                <w:rFonts w:ascii="微软雅黑" w:hAnsi="微软雅黑" w:eastAsia="微软雅黑" w:cs="微软雅黑"/>
                <w:color w:val="auto"/>
                <w:kern w:val="0"/>
                <w:sz w:val="18"/>
                <w:szCs w:val="18"/>
                <w:highlight w:val="none"/>
                <w:lang w:eastAsia="en-US" w:bidi="en-US"/>
              </w:rPr>
            </w:pPr>
            <w:r>
              <w:rPr>
                <w:rFonts w:hint="eastAsia" w:ascii="微软雅黑" w:hAnsi="微软雅黑" w:eastAsia="微软雅黑" w:cs="微软雅黑"/>
                <w:color w:val="auto"/>
                <w:sz w:val="18"/>
                <w:szCs w:val="18"/>
                <w:highlight w:val="none"/>
                <w:lang w:val="zh-CN"/>
              </w:rPr>
              <w:t>显示器：同品牌</w:t>
            </w:r>
            <w:r>
              <w:rPr>
                <w:rFonts w:hint="eastAsia" w:ascii="微软雅黑" w:hAnsi="微软雅黑" w:eastAsia="微软雅黑" w:cs="微软雅黑"/>
                <w:color w:val="auto"/>
                <w:sz w:val="18"/>
                <w:szCs w:val="18"/>
                <w:highlight w:val="none"/>
              </w:rPr>
              <w:t>19</w:t>
            </w:r>
            <w:r>
              <w:rPr>
                <w:rFonts w:hint="eastAsia" w:ascii="微软雅黑" w:hAnsi="微软雅黑" w:eastAsia="微软雅黑" w:cs="微软雅黑"/>
                <w:color w:val="auto"/>
                <w:sz w:val="18"/>
                <w:szCs w:val="18"/>
                <w:highlight w:val="none"/>
                <w:lang w:val="zh-CN"/>
              </w:rPr>
              <w:t>.5英寸商用显示器，支持VGA、DisplayPort 1.2，带高清DP数据线</w:t>
            </w:r>
          </w:p>
        </w:tc>
        <w:tc>
          <w:tcPr>
            <w:tcW w:w="686" w:type="dxa"/>
            <w:vAlign w:val="center"/>
          </w:tcPr>
          <w:p>
            <w:pPr>
              <w:pStyle w:val="39"/>
              <w:jc w:val="center"/>
              <w:rPr>
                <w:rFonts w:ascii="微软雅黑" w:hAnsi="微软雅黑" w:eastAsia="微软雅黑" w:cs="微软雅黑"/>
                <w:color w:val="auto"/>
                <w:highlight w:val="none"/>
                <w:lang w:bidi="en-US"/>
              </w:rPr>
            </w:pPr>
            <w:r>
              <w:rPr>
                <w:rFonts w:hint="eastAsia" w:ascii="微软雅黑" w:hAnsi="微软雅黑" w:eastAsia="微软雅黑" w:cs="微软雅黑"/>
                <w:color w:val="auto"/>
                <w:highlight w:val="none"/>
              </w:rPr>
              <w:t>台</w:t>
            </w:r>
          </w:p>
        </w:tc>
        <w:tc>
          <w:tcPr>
            <w:tcW w:w="728" w:type="dxa"/>
            <w:vAlign w:val="center"/>
          </w:tcPr>
          <w:p>
            <w:pPr>
              <w:widowControl/>
              <w:jc w:val="center"/>
              <w:textAlignment w:val="center"/>
              <w:rPr>
                <w:rFonts w:ascii="微软雅黑" w:hAnsi="微软雅黑" w:eastAsia="微软雅黑" w:cs="微软雅黑"/>
                <w:color w:val="auto"/>
                <w:sz w:val="18"/>
                <w:szCs w:val="18"/>
                <w:highlight w:val="none"/>
                <w:lang w:bidi="en-US"/>
              </w:rPr>
            </w:pPr>
            <w:r>
              <w:rPr>
                <w:rFonts w:hint="eastAsia" w:ascii="微软雅黑" w:hAnsi="微软雅黑" w:eastAsia="微软雅黑" w:cs="微软雅黑"/>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11</w:t>
            </w:r>
          </w:p>
        </w:tc>
        <w:tc>
          <w:tcPr>
            <w:tcW w:w="838"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创意讨论桌椅</w:t>
            </w:r>
          </w:p>
        </w:tc>
        <w:tc>
          <w:tcPr>
            <w:tcW w:w="6789" w:type="dxa"/>
            <w:vAlign w:val="center"/>
          </w:tcPr>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创意桌椅：</w:t>
            </w:r>
          </w:p>
          <w:p>
            <w:pPr>
              <w:widowControl/>
              <w:jc w:val="left"/>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1、规格1500*900*750mm；</w:t>
            </w:r>
          </w:p>
          <w:p>
            <w:pPr>
              <w:jc w:val="left"/>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2、基材：采用中密度板，板材厚度为20mm,达国家E1级环保标准， 含水率在10%；3、油漆采用 “五底三面”工艺处理，哑光聚脂漆，（PU）成份，为聚胺酯，可以第二次修补，耐压，硬度3.5H。白色仿皮漆。</w:t>
            </w:r>
          </w:p>
          <w:p>
            <w:pPr>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sz w:val="18"/>
                <w:szCs w:val="18"/>
                <w:highlight w:val="none"/>
              </w:rPr>
              <w:t>4、支架：采用优质加重型圆盘脚或方管稳定性好，台面四边采用倒斜边处理，</w:t>
            </w:r>
            <w:r>
              <w:rPr>
                <w:rFonts w:hint="eastAsia" w:ascii="微软雅黑" w:hAnsi="微软雅黑" w:eastAsia="微软雅黑" w:cs="微软雅黑"/>
                <w:color w:val="auto"/>
                <w:kern w:val="0"/>
                <w:sz w:val="18"/>
                <w:szCs w:val="18"/>
                <w:highlight w:val="none"/>
              </w:rPr>
              <w:t>采用氟碳喷涂工艺处理,美观大方，经久耐用。</w:t>
            </w:r>
          </w:p>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5、泡棉：座椅内部采用高密度一次成型阻燃泡绵，密度40度，表面涂有防止老化变形的保护膜。</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12</w:t>
            </w:r>
          </w:p>
        </w:tc>
        <w:tc>
          <w:tcPr>
            <w:tcW w:w="838"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双人沙发</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规格：1380mm*740mm*730mm                                          1、面料：采用西皮，纹路细致，色泽均匀，手感柔软、细腻、有韧性。                2、海棉：采用高密度阻燃裁切海棉，座垫密度大于45kg/m2㎡，并用 软中硬多层叠加，增加舒适度，回弹率≥40%。</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套</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13</w:t>
            </w:r>
          </w:p>
        </w:tc>
        <w:tc>
          <w:tcPr>
            <w:tcW w:w="838" w:type="dxa"/>
            <w:vAlign w:val="center"/>
          </w:tcPr>
          <w:p>
            <w:pPr>
              <w:pStyle w:val="39"/>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茶几</w:t>
            </w:r>
          </w:p>
        </w:tc>
        <w:tc>
          <w:tcPr>
            <w:tcW w:w="6789" w:type="dxa"/>
            <w:vAlign w:val="center"/>
          </w:tcPr>
          <w:p>
            <w:pPr>
              <w:pStyle w:val="39"/>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规格：1200mm*600mm*400mm 采用AAA级胡桃木木皮(厚度≥0.6mm)；平整度0.05mm，木皮双面光滑平直，颜 色、厚度均匀；木纹清晰、美观；经防虫防腐处理,具有很好的油漆与染料的保持能力及尺寸稳定性。</w:t>
            </w:r>
          </w:p>
        </w:tc>
        <w:tc>
          <w:tcPr>
            <w:tcW w:w="686"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个</w:t>
            </w:r>
          </w:p>
        </w:tc>
        <w:tc>
          <w:tcPr>
            <w:tcW w:w="728" w:type="dxa"/>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4</w:t>
            </w:r>
          </w:p>
        </w:tc>
      </w:tr>
    </w:tbl>
    <w:p>
      <w:pPr>
        <w:widowControl/>
        <w:jc w:val="left"/>
        <w:rPr>
          <w:rFonts w:hAnsi="宋体"/>
          <w:b/>
          <w:color w:val="auto"/>
          <w:sz w:val="36"/>
          <w:szCs w:val="36"/>
          <w:highlight w:val="none"/>
        </w:rPr>
      </w:pPr>
      <w:r>
        <w:rPr>
          <w:rFonts w:hAnsi="宋体"/>
          <w:b/>
          <w:color w:val="auto"/>
          <w:sz w:val="28"/>
          <w:szCs w:val="28"/>
          <w:highlight w:val="none"/>
        </w:rPr>
        <w:br w:type="page"/>
      </w: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（项目名称）</w:t>
      </w:r>
      <w:r>
        <w:rPr>
          <w:rFonts w:hint="eastAsia" w:ascii="宋体" w:hAnsi="宋体"/>
          <w:b/>
          <w:color w:val="auto"/>
          <w:sz w:val="24"/>
          <w:highlight w:val="none"/>
          <w:u w:val="single"/>
          <w:lang w:val="zh-CN"/>
        </w:rPr>
        <w:t xml:space="preserve">        </w:t>
      </w:r>
      <w:r>
        <w:rPr>
          <w:rFonts w:hint="eastAsia" w:ascii="宋体" w:hAnsi="宋体"/>
          <w:color w:val="auto"/>
          <w:sz w:val="24"/>
          <w:highlight w:val="none"/>
          <w:lang w:val="zh-CN"/>
        </w:rPr>
        <w:t>（项目编号）投标邀请，正式授权下述签字人</w:t>
      </w:r>
      <w:r>
        <w:rPr>
          <w:rFonts w:hint="eastAsia" w:ascii="宋体" w:hAnsi="宋体"/>
          <w:color w:val="auto"/>
          <w:sz w:val="24"/>
          <w:highlight w:val="none"/>
          <w:u w:val="single"/>
          <w:lang w:val="zh-CN"/>
        </w:rPr>
        <w:t xml:space="preserve">        </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 xml:space="preserve">代表投标人 </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2"/>
          <w:szCs w:val="22"/>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40" w:firstLineChars="200"/>
        <w:rPr>
          <w:rFonts w:ascii="宋体" w:hAnsi="宋体"/>
          <w:color w:val="auto"/>
          <w:sz w:val="24"/>
          <w:highlight w:val="none"/>
          <w:lang w:val="zh-CN"/>
        </w:rPr>
      </w:pPr>
      <w:r>
        <w:rPr>
          <w:rFonts w:ascii="宋体" w:hAnsi="宋体"/>
          <w:color w:val="auto"/>
          <w:sz w:val="22"/>
          <w:szCs w:val="22"/>
          <w:highlight w:val="none"/>
        </w:rPr>
        <w:t>2</w:t>
      </w:r>
      <w:r>
        <w:rPr>
          <w:rFonts w:hint="eastAsia" w:ascii="宋体" w:hAnsi="宋体"/>
          <w:color w:val="auto"/>
          <w:sz w:val="22"/>
          <w:szCs w:val="22"/>
          <w:highlight w:val="none"/>
        </w:rPr>
        <w:t>、</w:t>
      </w:r>
      <w:r>
        <w:rPr>
          <w:rFonts w:hint="eastAsia" w:ascii="宋体" w:hAnsi="宋体"/>
          <w:color w:val="auto"/>
          <w:sz w:val="22"/>
          <w:szCs w:val="22"/>
          <w:highlight w:val="none"/>
          <w:lang w:val="zh-CN"/>
        </w:rPr>
        <w:t>按招标要求，我们的投标总报价为人民币</w:t>
      </w:r>
      <w:r>
        <w:rPr>
          <w:rFonts w:hint="eastAsia" w:ascii="宋体" w:hAnsi="宋体"/>
          <w:color w:val="auto"/>
          <w:sz w:val="24"/>
          <w:highlight w:val="none"/>
          <w:lang w:val="zh-CN"/>
        </w:rPr>
        <w:t>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hint="eastAsia" w:ascii="宋体" w:hAnsi="宋体"/>
          <w:color w:val="auto"/>
          <w:sz w:val="24"/>
          <w:highlight w:val="none"/>
          <w:u w:val="single"/>
          <w:lang w:val="zh-CN"/>
        </w:rPr>
        <w:t xml:space="preserve">         </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r>
        <w:rPr>
          <w:rFonts w:hint="eastAsia"/>
          <w:b/>
          <w:color w:val="auto"/>
          <w:sz w:val="28"/>
          <w:szCs w:val="28"/>
          <w:highlight w:val="none"/>
        </w:rPr>
        <w:t>服务要求</w:t>
      </w:r>
    </w:p>
    <w:bookmarkEnd w:id="9"/>
    <w:bookmarkEnd w:id="10"/>
    <w:p>
      <w:pPr>
        <w:adjustRightInd w:val="0"/>
        <w:snapToGrid w:val="0"/>
        <w:spacing w:before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（一）投标人须提供优质的培训服务，制定相应的培训计划和培训方案，对系统应用人员进行系统的培训，帮助学校顺利实施该项目，使校方人员熟悉运用，提高业务能力和专业技术水平。</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（二）产品要求：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中标方应按采购文件规定的货物性能、技术要求、质量标准向采购方提供未经使用的全新产品。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采购方提供的货物在质量期内因货物本身的质量问题发生故障，招标方应负责免费更换。对达不到技术要求者，根据实际情况，经双方协商，可按以下办法处理：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（1）更换：由中标方承担所发生的全部费用。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（2）贬值处理：由双方合议定价。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（3）退货处理：中标方应退还采购方支付的合同款，同时应承担该货物的直接费用（运输、保险、检验、货款利息及银行手续费等）。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如在使用过程中发生质量问题，中标方在接到甲方通知后在2小时内到达采购方现场。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在质保期内，中标方应对货物出现的质量及安全问题负责处理解决并承担一切费用。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2.5上述的货物免费保修期为2年，因人为因素出现的故障不在免费保修范围内。超过保修期的机器设备，终生维修，维修时只收部件成本费。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（三）其他要求：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新设备的采购、安装调试、人员培训、后续维修服务等全部由中标人完成，投标人投标报价包括项目所有设备（材料）的采购、运输、施工、安装调试、人员培训至验收合格的一切费用。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（四）有关说明：</w:t>
      </w:r>
    </w:p>
    <w:p>
      <w:pPr>
        <w:tabs>
          <w:tab w:val="left" w:pos="945"/>
        </w:tabs>
        <w:adjustRightInd w:val="0"/>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1.投标总报价包括满足本项目要求的所有产品及其配件、包装、运杂、安装调试及售后服务等从项目中标起到项目正式交付以及质保期内所发生的一切费用。</w:t>
      </w:r>
    </w:p>
    <w:p>
      <w:pPr>
        <w:tabs>
          <w:tab w:val="left" w:pos="525"/>
          <w:tab w:val="left" w:pos="945"/>
        </w:tabs>
        <w:adjustRightInd w:val="0"/>
        <w:snapToGrid w:val="0"/>
        <w:spacing w:line="360" w:lineRule="auto"/>
        <w:ind w:left="525"/>
        <w:rPr>
          <w:rFonts w:ascii="宋体" w:hAnsi="宋体" w:cs="宋体"/>
          <w:color w:val="auto"/>
          <w:sz w:val="24"/>
          <w:highlight w:val="none"/>
        </w:rPr>
      </w:pPr>
      <w:r>
        <w:rPr>
          <w:rFonts w:hint="eastAsia" w:ascii="宋体" w:hAnsi="宋体" w:cs="宋体"/>
          <w:color w:val="auto"/>
          <w:sz w:val="24"/>
          <w:highlight w:val="none"/>
        </w:rPr>
        <w:t>2.完工期：供方于合同生效之日起7个工作日内至需方指定地点施工,并在自施工入场40天内完成设备运输（含上、下力）、安装调试等，所有费用由供方承担。安装调试完毕后需方用户负责试用并签收。</w:t>
      </w:r>
    </w:p>
    <w:p>
      <w:pPr>
        <w:rPr>
          <w:rFonts w:ascii="仿宋" w:hAnsi="仿宋" w:eastAsia="仿宋" w:cs="仿宋"/>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附件4：评标方法及评标标准</w:t>
      </w:r>
    </w:p>
    <w:p>
      <w:pPr>
        <w:pStyle w:val="6"/>
        <w:ind w:firstLine="420"/>
        <w:rPr>
          <w:color w:val="auto"/>
          <w:highlight w:val="none"/>
        </w:rPr>
      </w:pPr>
    </w:p>
    <w:tbl>
      <w:tblPr>
        <w:tblStyle w:val="22"/>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35"/>
        <w:gridCol w:w="1230"/>
        <w:gridCol w:w="6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68" w:type="dxa"/>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评审项</w:t>
            </w:r>
          </w:p>
        </w:tc>
        <w:tc>
          <w:tcPr>
            <w:tcW w:w="735" w:type="dxa"/>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分值</w:t>
            </w:r>
          </w:p>
        </w:tc>
        <w:tc>
          <w:tcPr>
            <w:tcW w:w="7629" w:type="dxa"/>
            <w:gridSpan w:val="2"/>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投标</w:t>
            </w:r>
          </w:p>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报价</w:t>
            </w:r>
          </w:p>
        </w:tc>
        <w:tc>
          <w:tcPr>
            <w:tcW w:w="735" w:type="dxa"/>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30分</w:t>
            </w:r>
          </w:p>
        </w:tc>
        <w:tc>
          <w:tcPr>
            <w:tcW w:w="7629" w:type="dxa"/>
            <w:gridSpan w:val="2"/>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采用低价优先法计算，即满足招标文件要求且投标价格最低的投标报价为评标基准价，其价格分为满分30。其他投标人的价格分统一按照下列公式计算：</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8" w:type="dxa"/>
            <w:vMerge w:val="restart"/>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技术</w:t>
            </w:r>
          </w:p>
        </w:tc>
        <w:tc>
          <w:tcPr>
            <w:tcW w:w="735" w:type="dxa"/>
            <w:vMerge w:val="restart"/>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28分</w:t>
            </w:r>
          </w:p>
        </w:tc>
        <w:tc>
          <w:tcPr>
            <w:tcW w:w="1230" w:type="dxa"/>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基础指标技术响应</w:t>
            </w:r>
          </w:p>
          <w:p>
            <w:pPr>
              <w:pStyle w:val="12"/>
              <w:spacing w:line="360" w:lineRule="exact"/>
              <w:rPr>
                <w:rFonts w:hAnsi="宋体" w:cs="宋体"/>
                <w:color w:val="auto"/>
                <w:kern w:val="0"/>
                <w:szCs w:val="21"/>
                <w:highlight w:val="none"/>
              </w:rPr>
            </w:pPr>
            <w:r>
              <w:rPr>
                <w:rFonts w:hint="eastAsia" w:hAnsi="宋体" w:cs="宋体"/>
                <w:color w:val="auto"/>
                <w:kern w:val="0"/>
                <w:szCs w:val="21"/>
                <w:highlight w:val="none"/>
              </w:rPr>
              <w:t>（9分）</w:t>
            </w:r>
          </w:p>
        </w:tc>
        <w:tc>
          <w:tcPr>
            <w:tcW w:w="6399" w:type="dxa"/>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设备技术参数全部满足招标要求的得满分9分；打★号指标为必须满足项，如有负偏离将作为无效报价；非打★号指标，有一项负偏离扣2分（打▲号指标为重要技术指标要求），扣完为止。严重负偏离影响设备性能的，本项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9" w:hRule="atLeast"/>
          <w:jc w:val="center"/>
        </w:trPr>
        <w:tc>
          <w:tcPr>
            <w:tcW w:w="868" w:type="dxa"/>
            <w:vMerge w:val="continue"/>
            <w:vAlign w:val="center"/>
          </w:tcPr>
          <w:p>
            <w:pPr>
              <w:pStyle w:val="12"/>
              <w:spacing w:line="360" w:lineRule="exact"/>
              <w:jc w:val="center"/>
              <w:rPr>
                <w:rFonts w:hAnsi="宋体" w:cs="宋体"/>
                <w:color w:val="auto"/>
                <w:kern w:val="0"/>
                <w:szCs w:val="21"/>
                <w:highlight w:val="none"/>
              </w:rPr>
            </w:pPr>
          </w:p>
        </w:tc>
        <w:tc>
          <w:tcPr>
            <w:tcW w:w="735" w:type="dxa"/>
            <w:vMerge w:val="continue"/>
            <w:vAlign w:val="center"/>
          </w:tcPr>
          <w:p>
            <w:pPr>
              <w:pStyle w:val="12"/>
              <w:spacing w:line="360" w:lineRule="exact"/>
              <w:jc w:val="center"/>
              <w:rPr>
                <w:rFonts w:hAnsi="宋体" w:cs="宋体"/>
                <w:color w:val="auto"/>
                <w:kern w:val="0"/>
                <w:szCs w:val="21"/>
                <w:highlight w:val="none"/>
              </w:rPr>
            </w:pPr>
          </w:p>
        </w:tc>
        <w:tc>
          <w:tcPr>
            <w:tcW w:w="1230" w:type="dxa"/>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重要指标</w:t>
            </w:r>
          </w:p>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（19分）</w:t>
            </w:r>
          </w:p>
          <w:p>
            <w:pPr>
              <w:pStyle w:val="12"/>
              <w:spacing w:line="360" w:lineRule="exact"/>
              <w:jc w:val="center"/>
              <w:rPr>
                <w:rFonts w:hAnsi="宋体" w:cs="宋体"/>
                <w:color w:val="auto"/>
                <w:kern w:val="0"/>
                <w:szCs w:val="21"/>
                <w:highlight w:val="none"/>
              </w:rPr>
            </w:pPr>
          </w:p>
        </w:tc>
        <w:tc>
          <w:tcPr>
            <w:tcW w:w="6399" w:type="dxa"/>
            <w:tcBorders>
              <w:bottom w:val="single" w:color="auto" w:sz="4" w:space="0"/>
            </w:tcBorders>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1、提供所投产品：①</w:t>
            </w:r>
            <w:r>
              <w:rPr>
                <w:rFonts w:hint="eastAsia" w:ascii="宋体" w:hAnsi="宋体" w:cs="宋体"/>
                <w:color w:val="auto"/>
                <w:szCs w:val="21"/>
                <w:highlight w:val="none"/>
                <w:lang w:val="zh-CN"/>
              </w:rPr>
              <w:t>云服务主机、</w:t>
            </w:r>
            <w:r>
              <w:rPr>
                <w:rFonts w:hint="eastAsia" w:ascii="宋体" w:hAnsi="宋体" w:cs="宋体"/>
                <w:color w:val="auto"/>
                <w:szCs w:val="21"/>
                <w:highlight w:val="none"/>
              </w:rPr>
              <w:t>②</w:t>
            </w:r>
            <w:r>
              <w:rPr>
                <w:rFonts w:hint="eastAsia" w:ascii="宋体" w:hAnsi="宋体" w:cs="宋体"/>
                <w:color w:val="auto"/>
                <w:szCs w:val="21"/>
                <w:highlight w:val="none"/>
                <w:lang w:val="zh-CN"/>
              </w:rPr>
              <w:t>教师云终端、</w:t>
            </w:r>
            <w:r>
              <w:rPr>
                <w:rFonts w:hint="eastAsia" w:ascii="宋体" w:hAnsi="宋体" w:cs="宋体"/>
                <w:color w:val="auto"/>
                <w:szCs w:val="21"/>
                <w:highlight w:val="none"/>
              </w:rPr>
              <w:t>③</w:t>
            </w:r>
            <w:r>
              <w:rPr>
                <w:rFonts w:hint="eastAsia" w:ascii="宋体" w:hAnsi="宋体" w:cs="宋体"/>
                <w:color w:val="auto"/>
                <w:szCs w:val="21"/>
                <w:highlight w:val="none"/>
                <w:lang w:val="zh-CN"/>
              </w:rPr>
              <w:t>学生云终端、</w:t>
            </w:r>
            <w:r>
              <w:rPr>
                <w:rFonts w:hint="eastAsia" w:ascii="宋体" w:hAnsi="宋体" w:cs="宋体"/>
                <w:color w:val="auto"/>
                <w:szCs w:val="21"/>
                <w:highlight w:val="none"/>
              </w:rPr>
              <w:t>④</w:t>
            </w:r>
            <w:r>
              <w:rPr>
                <w:rFonts w:hint="eastAsia" w:ascii="宋体" w:hAnsi="宋体" w:cs="宋体"/>
                <w:color w:val="auto"/>
                <w:szCs w:val="21"/>
                <w:highlight w:val="none"/>
                <w:lang w:val="zh-CN"/>
              </w:rPr>
              <w:t>云课堂软件授权、</w:t>
            </w:r>
            <w:r>
              <w:rPr>
                <w:rFonts w:hint="eastAsia" w:ascii="宋体" w:hAnsi="宋体" w:cs="宋体"/>
                <w:color w:val="auto"/>
                <w:szCs w:val="21"/>
                <w:highlight w:val="none"/>
              </w:rPr>
              <w:t>⑤</w:t>
            </w:r>
            <w:r>
              <w:rPr>
                <w:rFonts w:hint="eastAsia" w:ascii="宋体" w:hAnsi="宋体" w:cs="宋体"/>
                <w:color w:val="auto"/>
                <w:szCs w:val="21"/>
                <w:highlight w:val="none"/>
                <w:lang w:val="zh-CN"/>
              </w:rPr>
              <w:t>显示器、</w:t>
            </w:r>
            <w:r>
              <w:rPr>
                <w:rFonts w:hint="eastAsia" w:ascii="宋体" w:hAnsi="宋体" w:cs="宋体"/>
                <w:color w:val="auto"/>
                <w:szCs w:val="21"/>
                <w:highlight w:val="none"/>
              </w:rPr>
              <w:t>⑥</w:t>
            </w:r>
            <w:r>
              <w:rPr>
                <w:rFonts w:hint="eastAsia" w:ascii="宋体" w:hAnsi="宋体" w:cs="宋体"/>
                <w:color w:val="auto"/>
                <w:szCs w:val="21"/>
                <w:highlight w:val="none"/>
                <w:lang w:val="zh-CN"/>
              </w:rPr>
              <w:t>键盘鼠标、</w:t>
            </w:r>
            <w:r>
              <w:rPr>
                <w:rFonts w:hint="eastAsia" w:ascii="宋体" w:hAnsi="宋体" w:cs="宋体"/>
                <w:color w:val="auto"/>
                <w:szCs w:val="21"/>
                <w:highlight w:val="none"/>
              </w:rPr>
              <w:t>⑦</w:t>
            </w:r>
            <w:r>
              <w:rPr>
                <w:rFonts w:hint="eastAsia" w:ascii="宋体" w:hAnsi="宋体" w:cs="宋体"/>
                <w:color w:val="auto"/>
                <w:szCs w:val="21"/>
                <w:highlight w:val="none"/>
                <w:lang w:val="zh-CN"/>
              </w:rPr>
              <w:t>智慧黑板、</w:t>
            </w:r>
            <w:r>
              <w:rPr>
                <w:rFonts w:hint="eastAsia" w:ascii="宋体" w:hAnsi="宋体" w:cs="宋体"/>
                <w:color w:val="auto"/>
                <w:szCs w:val="21"/>
                <w:highlight w:val="none"/>
              </w:rPr>
              <w:t>⑧</w:t>
            </w:r>
            <w:r>
              <w:rPr>
                <w:rFonts w:hint="eastAsia" w:ascii="宋体" w:hAnsi="宋体" w:cs="宋体"/>
                <w:color w:val="auto"/>
                <w:szCs w:val="21"/>
                <w:highlight w:val="none"/>
                <w:lang w:val="zh-CN"/>
              </w:rPr>
              <w:t>智慧一体机共</w:t>
            </w:r>
            <w:r>
              <w:rPr>
                <w:rFonts w:hint="eastAsia" w:ascii="宋体" w:hAnsi="宋体" w:cs="宋体"/>
                <w:color w:val="auto"/>
                <w:szCs w:val="21"/>
                <w:highlight w:val="none"/>
              </w:rPr>
              <w:t>8项。（</w:t>
            </w:r>
            <w:r>
              <w:rPr>
                <w:rFonts w:hint="eastAsia" w:ascii="宋体" w:hAnsi="宋体" w:cs="宋体"/>
                <w:color w:val="auto"/>
                <w:szCs w:val="21"/>
                <w:highlight w:val="none"/>
                <w:lang w:val="zh-CN"/>
              </w:rPr>
              <w:t>是同一生产厂商品牌的得</w:t>
            </w:r>
            <w:r>
              <w:rPr>
                <w:rFonts w:hint="eastAsia" w:ascii="宋体" w:hAnsi="宋体" w:cs="宋体"/>
                <w:color w:val="auto"/>
                <w:szCs w:val="21"/>
                <w:highlight w:val="none"/>
              </w:rPr>
              <w:t>6分，否则不得分）</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2、提供所投产品：①</w:t>
            </w:r>
            <w:r>
              <w:rPr>
                <w:rFonts w:hint="eastAsia" w:ascii="宋体" w:hAnsi="宋体" w:cs="宋体"/>
                <w:color w:val="auto"/>
                <w:szCs w:val="21"/>
                <w:highlight w:val="none"/>
                <w:lang w:val="zh-CN"/>
              </w:rPr>
              <w:t>云服务主机、</w:t>
            </w:r>
            <w:r>
              <w:rPr>
                <w:rFonts w:hint="eastAsia" w:ascii="宋体" w:hAnsi="宋体" w:cs="宋体"/>
                <w:color w:val="auto"/>
                <w:szCs w:val="21"/>
                <w:highlight w:val="none"/>
              </w:rPr>
              <w:t>②</w:t>
            </w:r>
            <w:r>
              <w:rPr>
                <w:rFonts w:hint="eastAsia" w:ascii="宋体" w:hAnsi="宋体" w:cs="宋体"/>
                <w:color w:val="auto"/>
                <w:szCs w:val="21"/>
                <w:highlight w:val="none"/>
                <w:lang w:val="zh-CN"/>
              </w:rPr>
              <w:t>教师云终端、</w:t>
            </w:r>
            <w:r>
              <w:rPr>
                <w:rFonts w:hint="eastAsia" w:ascii="宋体" w:hAnsi="宋体" w:cs="宋体"/>
                <w:color w:val="auto"/>
                <w:szCs w:val="21"/>
                <w:highlight w:val="none"/>
              </w:rPr>
              <w:t>③</w:t>
            </w:r>
            <w:r>
              <w:rPr>
                <w:rFonts w:hint="eastAsia" w:ascii="宋体" w:hAnsi="宋体" w:cs="宋体"/>
                <w:color w:val="auto"/>
                <w:szCs w:val="21"/>
                <w:highlight w:val="none"/>
                <w:lang w:val="zh-CN"/>
              </w:rPr>
              <w:t>学生云终端、</w:t>
            </w:r>
            <w:r>
              <w:rPr>
                <w:rFonts w:hint="eastAsia" w:ascii="宋体" w:hAnsi="宋体" w:cs="宋体"/>
                <w:color w:val="auto"/>
                <w:szCs w:val="21"/>
                <w:highlight w:val="none"/>
              </w:rPr>
              <w:t>④</w:t>
            </w:r>
            <w:r>
              <w:rPr>
                <w:rFonts w:hint="eastAsia" w:ascii="宋体" w:hAnsi="宋体" w:cs="宋体"/>
                <w:color w:val="auto"/>
                <w:szCs w:val="21"/>
                <w:highlight w:val="none"/>
                <w:lang w:val="zh-CN"/>
              </w:rPr>
              <w:t>云课堂软件授权、</w:t>
            </w:r>
            <w:r>
              <w:rPr>
                <w:rFonts w:hint="eastAsia" w:ascii="宋体" w:hAnsi="宋体" w:cs="宋体"/>
                <w:color w:val="auto"/>
                <w:szCs w:val="21"/>
                <w:highlight w:val="none"/>
              </w:rPr>
              <w:t>⑤</w:t>
            </w:r>
            <w:r>
              <w:rPr>
                <w:rFonts w:hint="eastAsia" w:ascii="宋体" w:hAnsi="宋体" w:cs="宋体"/>
                <w:color w:val="auto"/>
                <w:szCs w:val="21"/>
                <w:highlight w:val="none"/>
                <w:lang w:val="zh-CN"/>
              </w:rPr>
              <w:t>显示器、</w:t>
            </w:r>
            <w:r>
              <w:rPr>
                <w:rFonts w:hint="eastAsia" w:ascii="宋体" w:hAnsi="宋体" w:cs="宋体"/>
                <w:color w:val="auto"/>
                <w:szCs w:val="21"/>
                <w:highlight w:val="none"/>
              </w:rPr>
              <w:t>⑥</w:t>
            </w:r>
            <w:r>
              <w:rPr>
                <w:rFonts w:hint="eastAsia" w:ascii="宋体" w:hAnsi="宋体" w:cs="宋体"/>
                <w:color w:val="auto"/>
                <w:szCs w:val="21"/>
                <w:highlight w:val="none"/>
                <w:lang w:val="zh-CN"/>
              </w:rPr>
              <w:t>键盘鼠标、</w:t>
            </w:r>
            <w:r>
              <w:rPr>
                <w:rFonts w:hint="eastAsia" w:ascii="宋体" w:hAnsi="宋体" w:cs="宋体"/>
                <w:color w:val="auto"/>
                <w:szCs w:val="21"/>
                <w:highlight w:val="none"/>
              </w:rPr>
              <w:t>⑦</w:t>
            </w:r>
            <w:r>
              <w:rPr>
                <w:rFonts w:hint="eastAsia" w:ascii="宋体" w:hAnsi="宋体" w:cs="宋体"/>
                <w:color w:val="auto"/>
                <w:szCs w:val="21"/>
                <w:highlight w:val="none"/>
                <w:lang w:val="zh-CN"/>
              </w:rPr>
              <w:t>智慧黑板、</w:t>
            </w:r>
            <w:r>
              <w:rPr>
                <w:rFonts w:hint="eastAsia" w:ascii="宋体" w:hAnsi="宋体" w:cs="宋体"/>
                <w:color w:val="auto"/>
                <w:szCs w:val="21"/>
                <w:highlight w:val="none"/>
              </w:rPr>
              <w:t>⑧</w:t>
            </w:r>
            <w:r>
              <w:rPr>
                <w:rFonts w:hint="eastAsia" w:ascii="宋体" w:hAnsi="宋体" w:cs="宋体"/>
                <w:color w:val="auto"/>
                <w:szCs w:val="21"/>
                <w:highlight w:val="none"/>
                <w:lang w:val="zh-CN"/>
              </w:rPr>
              <w:t>智慧一体机共</w:t>
            </w:r>
            <w:r>
              <w:rPr>
                <w:rFonts w:hint="eastAsia" w:ascii="宋体" w:hAnsi="宋体" w:cs="宋体"/>
                <w:color w:val="auto"/>
                <w:szCs w:val="21"/>
                <w:highlight w:val="none"/>
              </w:rPr>
              <w:t>8项，通过国家CNAS认可的权威检测机构的防辐射认证，且其辐射值小于标准限值8db的。（每提供一项材料得1分，共8分，</w:t>
            </w:r>
            <w:r>
              <w:rPr>
                <w:rFonts w:hint="eastAsia" w:ascii="宋体" w:hAnsi="宋体" w:cs="宋体"/>
                <w:color w:val="auto"/>
                <w:kern w:val="0"/>
                <w:szCs w:val="21"/>
                <w:highlight w:val="none"/>
              </w:rPr>
              <w:t>提供相关证明材料复印件加盖公章</w:t>
            </w:r>
            <w:r>
              <w:rPr>
                <w:rFonts w:hint="eastAsia" w:ascii="宋体" w:hAnsi="宋体" w:cs="宋体"/>
                <w:color w:val="auto"/>
                <w:szCs w:val="21"/>
                <w:highlight w:val="none"/>
              </w:rPr>
              <w:t>）</w:t>
            </w: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3、投标人所投LED全彩屏产品通过抗UV紫外线老化检测的。</w:t>
            </w:r>
            <w:r>
              <w:rPr>
                <w:rFonts w:hint="eastAsia" w:ascii="宋体" w:hAnsi="宋体" w:cs="宋体"/>
                <w:color w:val="auto"/>
                <w:kern w:val="0"/>
                <w:szCs w:val="21"/>
                <w:highlight w:val="none"/>
              </w:rPr>
              <w:t>（提供相关证明材料复印件加盖公章</w:t>
            </w:r>
            <w:r>
              <w:rPr>
                <w:rFonts w:hint="eastAsia" w:ascii="宋体" w:hAnsi="宋体" w:cs="宋体"/>
                <w:color w:val="auto"/>
                <w:szCs w:val="21"/>
                <w:highlight w:val="none"/>
              </w:rPr>
              <w:t>，满足得1分）</w:t>
            </w: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4、投标人所投LED全彩屏产品通过蓝光无风险危害检测的。</w:t>
            </w:r>
            <w:r>
              <w:rPr>
                <w:rFonts w:hint="eastAsia" w:ascii="宋体" w:hAnsi="宋体" w:cs="宋体"/>
                <w:color w:val="auto"/>
                <w:kern w:val="0"/>
                <w:szCs w:val="21"/>
                <w:highlight w:val="none"/>
              </w:rPr>
              <w:t>（提供相关证明材料复印件加盖公章</w:t>
            </w:r>
            <w:r>
              <w:rPr>
                <w:rFonts w:hint="eastAsia" w:ascii="宋体" w:hAnsi="宋体" w:cs="宋体"/>
                <w:color w:val="auto"/>
                <w:szCs w:val="21"/>
                <w:highlight w:val="none"/>
              </w:rPr>
              <w:t>，满足得1分）</w:t>
            </w: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5、投标人所投LED全彩屏同时通过GB/T9254-2008A级电源端子传导骚扰电压测试、GB/T9254-2008A级辐射骚扰测试、GB17625.1-2012级谐波电流测试、GB/T17618-2015级静电放电抗扰度测试的，（</w:t>
            </w:r>
            <w:r>
              <w:rPr>
                <w:rFonts w:hint="eastAsia" w:ascii="宋体" w:hAnsi="宋体" w:cs="宋体"/>
                <w:color w:val="auto"/>
                <w:kern w:val="0"/>
                <w:szCs w:val="21"/>
                <w:highlight w:val="none"/>
              </w:rPr>
              <w:t>提供相关证明材料复印件加盖公章</w:t>
            </w:r>
            <w:r>
              <w:rPr>
                <w:rFonts w:hint="eastAsia" w:ascii="宋体" w:hAnsi="宋体" w:cs="宋体"/>
                <w:color w:val="auto"/>
                <w:szCs w:val="21"/>
                <w:highlight w:val="none"/>
              </w:rPr>
              <w:t>，全部满足得2分，少一项不得分）</w:t>
            </w:r>
          </w:p>
          <w:p>
            <w:pPr>
              <w:rPr>
                <w:rFonts w:ascii="宋体" w:hAnsi="宋体" w:cs="宋体"/>
                <w:color w:val="auto"/>
                <w:kern w:val="0"/>
                <w:szCs w:val="21"/>
                <w:highlight w:val="none"/>
              </w:rPr>
            </w:pPr>
            <w:r>
              <w:rPr>
                <w:rFonts w:hint="eastAsia" w:ascii="宋体" w:hAnsi="宋体" w:cs="宋体"/>
                <w:color w:val="auto"/>
                <w:szCs w:val="21"/>
                <w:highlight w:val="none"/>
              </w:rPr>
              <w:t>6、为了保证工作场所的无噪音影响，LED显示屏必须通过噪声实验，≤20dBA(符合NR-10及以上标准级别）（提供具有CMA、CAL、CNAS认证的检测报告），得1分。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vMerge w:val="restart"/>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商务</w:t>
            </w:r>
          </w:p>
        </w:tc>
        <w:tc>
          <w:tcPr>
            <w:tcW w:w="735" w:type="dxa"/>
            <w:vMerge w:val="restart"/>
            <w:vAlign w:val="center"/>
          </w:tcPr>
          <w:p>
            <w:pPr>
              <w:pStyle w:val="12"/>
              <w:jc w:val="center"/>
              <w:rPr>
                <w:rFonts w:hAnsi="宋体" w:cs="宋体"/>
                <w:color w:val="auto"/>
                <w:kern w:val="0"/>
                <w:szCs w:val="21"/>
                <w:highlight w:val="none"/>
              </w:rPr>
            </w:pPr>
            <w:r>
              <w:rPr>
                <w:rFonts w:hint="eastAsia" w:hAnsi="宋体" w:cs="宋体"/>
                <w:color w:val="auto"/>
                <w:kern w:val="0"/>
                <w:szCs w:val="21"/>
                <w:highlight w:val="none"/>
              </w:rPr>
              <w:t>36分</w:t>
            </w:r>
          </w:p>
        </w:tc>
        <w:tc>
          <w:tcPr>
            <w:tcW w:w="1230" w:type="dxa"/>
            <w:vAlign w:val="center"/>
          </w:tcPr>
          <w:p>
            <w:pPr>
              <w:pStyle w:val="29"/>
              <w:spacing w:beforeLines="0" w:afterLines="0" w:line="360" w:lineRule="auto"/>
              <w:rPr>
                <w:rFonts w:ascii="宋体" w:hAnsi="宋体" w:cs="宋体"/>
                <w:color w:val="auto"/>
                <w:kern w:val="0"/>
                <w:highlight w:val="none"/>
                <w:lang w:val="en-US"/>
              </w:rPr>
            </w:pPr>
            <w:r>
              <w:rPr>
                <w:rFonts w:hint="eastAsia" w:ascii="宋体" w:hAnsi="宋体" w:cs="宋体"/>
                <w:color w:val="auto"/>
                <w:kern w:val="0"/>
                <w:highlight w:val="none"/>
                <w:lang w:val="en-US"/>
              </w:rPr>
              <w:t>生产企业资质及技术能力（19分）</w:t>
            </w:r>
          </w:p>
        </w:tc>
        <w:tc>
          <w:tcPr>
            <w:tcW w:w="6399" w:type="dxa"/>
            <w:vAlign w:val="center"/>
          </w:tcPr>
          <w:p>
            <w:pPr>
              <w:spacing w:line="300" w:lineRule="exact"/>
              <w:jc w:val="left"/>
              <w:rPr>
                <w:rFonts w:ascii="宋体" w:hAnsi="宋体" w:cs="宋体"/>
                <w:color w:val="auto"/>
                <w:szCs w:val="21"/>
                <w:highlight w:val="none"/>
              </w:rPr>
            </w:pPr>
            <w:r>
              <w:rPr>
                <w:rFonts w:hint="eastAsia"/>
                <w:color w:val="auto"/>
                <w:highlight w:val="none"/>
              </w:rPr>
              <w:t>1、提供所投产品：①</w:t>
            </w:r>
            <w:r>
              <w:rPr>
                <w:rFonts w:hint="eastAsia"/>
                <w:color w:val="auto"/>
                <w:highlight w:val="none"/>
                <w:lang w:val="zh-CN"/>
              </w:rPr>
              <w:t>云服务主机、</w:t>
            </w:r>
            <w:r>
              <w:rPr>
                <w:rFonts w:hint="eastAsia"/>
                <w:color w:val="auto"/>
                <w:highlight w:val="none"/>
              </w:rPr>
              <w:t>②</w:t>
            </w:r>
            <w:r>
              <w:rPr>
                <w:rFonts w:hint="eastAsia"/>
                <w:color w:val="auto"/>
                <w:highlight w:val="none"/>
                <w:lang w:val="zh-CN"/>
              </w:rPr>
              <w:t>教师云终端、</w:t>
            </w:r>
            <w:r>
              <w:rPr>
                <w:rFonts w:hint="eastAsia"/>
                <w:color w:val="auto"/>
                <w:highlight w:val="none"/>
              </w:rPr>
              <w:t>③</w:t>
            </w:r>
            <w:r>
              <w:rPr>
                <w:rFonts w:hint="eastAsia"/>
                <w:color w:val="auto"/>
                <w:highlight w:val="none"/>
                <w:lang w:val="zh-CN"/>
              </w:rPr>
              <w:t>学生云终端、</w:t>
            </w:r>
            <w:r>
              <w:rPr>
                <w:rFonts w:hint="eastAsia"/>
                <w:color w:val="auto"/>
                <w:highlight w:val="none"/>
              </w:rPr>
              <w:t>④</w:t>
            </w:r>
            <w:r>
              <w:rPr>
                <w:rFonts w:hint="eastAsia"/>
                <w:color w:val="auto"/>
                <w:highlight w:val="none"/>
                <w:lang w:val="zh-CN"/>
              </w:rPr>
              <w:t>云课堂软件授权、</w:t>
            </w:r>
            <w:r>
              <w:rPr>
                <w:rFonts w:hint="eastAsia"/>
                <w:color w:val="auto"/>
                <w:highlight w:val="none"/>
              </w:rPr>
              <w:t>⑤</w:t>
            </w:r>
            <w:r>
              <w:rPr>
                <w:rFonts w:hint="eastAsia"/>
                <w:color w:val="auto"/>
                <w:highlight w:val="none"/>
                <w:lang w:val="zh-CN"/>
              </w:rPr>
              <w:t>显示器、</w:t>
            </w:r>
            <w:r>
              <w:rPr>
                <w:rFonts w:hint="eastAsia"/>
                <w:color w:val="auto"/>
                <w:highlight w:val="none"/>
              </w:rPr>
              <w:t>⑥</w:t>
            </w:r>
            <w:r>
              <w:rPr>
                <w:rFonts w:hint="eastAsia"/>
                <w:color w:val="auto"/>
                <w:highlight w:val="none"/>
                <w:lang w:val="zh-CN"/>
              </w:rPr>
              <w:t>键盘鼠标、</w:t>
            </w:r>
            <w:r>
              <w:rPr>
                <w:rFonts w:hint="eastAsia"/>
                <w:color w:val="auto"/>
                <w:highlight w:val="none"/>
              </w:rPr>
              <w:t>⑦</w:t>
            </w:r>
            <w:r>
              <w:rPr>
                <w:rFonts w:hint="eastAsia"/>
                <w:color w:val="auto"/>
                <w:highlight w:val="none"/>
                <w:lang w:val="zh-CN"/>
              </w:rPr>
              <w:t>智慧黑板、</w:t>
            </w:r>
            <w:r>
              <w:rPr>
                <w:rFonts w:hint="eastAsia"/>
                <w:color w:val="auto"/>
                <w:highlight w:val="none"/>
              </w:rPr>
              <w:t>⑧</w:t>
            </w:r>
            <w:r>
              <w:rPr>
                <w:rFonts w:hint="eastAsia"/>
                <w:color w:val="auto"/>
                <w:highlight w:val="none"/>
                <w:lang w:val="zh-CN"/>
              </w:rPr>
              <w:t>智慧一体机共</w:t>
            </w:r>
            <w:r>
              <w:rPr>
                <w:rFonts w:hint="eastAsia"/>
                <w:color w:val="auto"/>
                <w:highlight w:val="none"/>
              </w:rPr>
              <w:t>8项，生产厂商具备国家认证创新性企业证书的。</w:t>
            </w:r>
            <w:r>
              <w:rPr>
                <w:rFonts w:hint="eastAsia" w:ascii="宋体" w:hAnsi="宋体" w:cs="宋体"/>
                <w:color w:val="auto"/>
                <w:szCs w:val="21"/>
                <w:highlight w:val="none"/>
              </w:rPr>
              <w:t>（每提供一项材料得1分，共8分，</w:t>
            </w:r>
            <w:r>
              <w:rPr>
                <w:rFonts w:hint="eastAsia" w:ascii="宋体" w:hAnsi="宋体" w:cs="宋体"/>
                <w:color w:val="auto"/>
                <w:kern w:val="0"/>
                <w:szCs w:val="21"/>
                <w:highlight w:val="none"/>
              </w:rPr>
              <w:t>提供相关证明材料复印件加盖公章</w:t>
            </w:r>
            <w:r>
              <w:rPr>
                <w:rFonts w:hint="eastAsia" w:ascii="宋体" w:hAnsi="宋体" w:cs="宋体"/>
                <w:color w:val="auto"/>
                <w:szCs w:val="21"/>
                <w:highlight w:val="none"/>
              </w:rPr>
              <w:t>）</w:t>
            </w:r>
          </w:p>
          <w:p>
            <w:pPr>
              <w:spacing w:line="300" w:lineRule="exact"/>
              <w:jc w:val="left"/>
              <w:rPr>
                <w:color w:val="auto"/>
                <w:highlight w:val="none"/>
              </w:rPr>
            </w:pPr>
            <w:r>
              <w:rPr>
                <w:rFonts w:hint="eastAsia"/>
                <w:color w:val="auto"/>
                <w:highlight w:val="none"/>
              </w:rPr>
              <w:t>2、提供所投产品：①</w:t>
            </w:r>
            <w:r>
              <w:rPr>
                <w:rFonts w:hint="eastAsia"/>
                <w:color w:val="auto"/>
                <w:highlight w:val="none"/>
                <w:lang w:val="zh-CN"/>
              </w:rPr>
              <w:t>云服务主机、</w:t>
            </w:r>
            <w:r>
              <w:rPr>
                <w:rFonts w:hint="eastAsia"/>
                <w:color w:val="auto"/>
                <w:highlight w:val="none"/>
              </w:rPr>
              <w:t>②</w:t>
            </w:r>
            <w:r>
              <w:rPr>
                <w:rFonts w:hint="eastAsia"/>
                <w:color w:val="auto"/>
                <w:highlight w:val="none"/>
                <w:lang w:val="zh-CN"/>
              </w:rPr>
              <w:t>教师云终端、</w:t>
            </w:r>
            <w:r>
              <w:rPr>
                <w:rFonts w:hint="eastAsia"/>
                <w:color w:val="auto"/>
                <w:highlight w:val="none"/>
              </w:rPr>
              <w:t>③</w:t>
            </w:r>
            <w:r>
              <w:rPr>
                <w:rFonts w:hint="eastAsia"/>
                <w:color w:val="auto"/>
                <w:highlight w:val="none"/>
                <w:lang w:val="zh-CN"/>
              </w:rPr>
              <w:t>学生云终端、</w:t>
            </w:r>
            <w:r>
              <w:rPr>
                <w:rFonts w:hint="eastAsia"/>
                <w:color w:val="auto"/>
                <w:highlight w:val="none"/>
              </w:rPr>
              <w:t>④</w:t>
            </w:r>
            <w:r>
              <w:rPr>
                <w:rFonts w:hint="eastAsia"/>
                <w:color w:val="auto"/>
                <w:highlight w:val="none"/>
                <w:lang w:val="zh-CN"/>
              </w:rPr>
              <w:t>云课堂软件授权、</w:t>
            </w:r>
            <w:r>
              <w:rPr>
                <w:rFonts w:hint="eastAsia"/>
                <w:color w:val="auto"/>
                <w:highlight w:val="none"/>
              </w:rPr>
              <w:t>⑤</w:t>
            </w:r>
            <w:r>
              <w:rPr>
                <w:rFonts w:hint="eastAsia"/>
                <w:color w:val="auto"/>
                <w:highlight w:val="none"/>
                <w:lang w:val="zh-CN"/>
              </w:rPr>
              <w:t>显示器、</w:t>
            </w:r>
            <w:r>
              <w:rPr>
                <w:rFonts w:hint="eastAsia"/>
                <w:color w:val="auto"/>
                <w:highlight w:val="none"/>
              </w:rPr>
              <w:t>⑥</w:t>
            </w:r>
            <w:r>
              <w:rPr>
                <w:rFonts w:hint="eastAsia"/>
                <w:color w:val="auto"/>
                <w:highlight w:val="none"/>
                <w:lang w:val="zh-CN"/>
              </w:rPr>
              <w:t>键盘鼠标、</w:t>
            </w:r>
            <w:r>
              <w:rPr>
                <w:rFonts w:hint="eastAsia"/>
                <w:color w:val="auto"/>
                <w:highlight w:val="none"/>
              </w:rPr>
              <w:t>⑦</w:t>
            </w:r>
            <w:r>
              <w:rPr>
                <w:rFonts w:hint="eastAsia"/>
                <w:color w:val="auto"/>
                <w:highlight w:val="none"/>
                <w:lang w:val="zh-CN"/>
              </w:rPr>
              <w:t>智慧黑板、</w:t>
            </w:r>
            <w:r>
              <w:rPr>
                <w:rFonts w:hint="eastAsia"/>
                <w:color w:val="auto"/>
                <w:highlight w:val="none"/>
              </w:rPr>
              <w:t>⑧</w:t>
            </w:r>
            <w:r>
              <w:rPr>
                <w:rFonts w:hint="eastAsia"/>
                <w:color w:val="auto"/>
                <w:highlight w:val="none"/>
                <w:lang w:val="zh-CN"/>
              </w:rPr>
              <w:t>智慧一体机共</w:t>
            </w:r>
            <w:r>
              <w:rPr>
                <w:rFonts w:hint="eastAsia"/>
                <w:color w:val="auto"/>
                <w:highlight w:val="none"/>
              </w:rPr>
              <w:t>8项，全部具有中国电子信息百强企业证书的。（提供2017-2019年度连续3年的证书的得3分；连续2年的得2分，具有1年得1分，其它的不得分）</w:t>
            </w:r>
          </w:p>
          <w:p>
            <w:pPr>
              <w:jc w:val="left"/>
              <w:rPr>
                <w:color w:val="auto"/>
                <w:highlight w:val="none"/>
              </w:rPr>
            </w:pPr>
            <w:r>
              <w:rPr>
                <w:rFonts w:hint="eastAsia"/>
                <w:color w:val="auto"/>
                <w:highlight w:val="none"/>
              </w:rPr>
              <w:t>3、提供所投产品：健康照明平板LED灯在1m的范围内前后左右的噪音≤8db。（提供具有CMA或CNAS认证的检测报告得1分，没有不得分）</w:t>
            </w:r>
          </w:p>
          <w:p>
            <w:pPr>
              <w:widowControl/>
              <w:jc w:val="left"/>
              <w:textAlignment w:val="center"/>
              <w:rPr>
                <w:color w:val="auto"/>
                <w:highlight w:val="none"/>
              </w:rPr>
            </w:pPr>
            <w:r>
              <w:rPr>
                <w:rFonts w:hint="eastAsia"/>
                <w:color w:val="auto"/>
                <w:highlight w:val="none"/>
              </w:rPr>
              <w:t>4、提供所投产品：健康照明平板LED灯光源无光生物危害，蓝光危害等级：无危险（0类），豁免级。（提供省级以上检测机构出具的无蓝光检测报告的得1分，没有不得分）</w:t>
            </w:r>
          </w:p>
          <w:p>
            <w:pPr>
              <w:rPr>
                <w:rFonts w:ascii="宋体" w:hAnsi="宋体" w:cs="宋体"/>
                <w:color w:val="auto"/>
                <w:szCs w:val="21"/>
                <w:highlight w:val="none"/>
              </w:rPr>
            </w:pPr>
            <w:r>
              <w:rPr>
                <w:rFonts w:hint="eastAsia" w:ascii="宋体" w:hAnsi="宋体" w:cs="宋体"/>
                <w:color w:val="auto"/>
                <w:szCs w:val="21"/>
                <w:highlight w:val="none"/>
              </w:rPr>
              <w:t>5、提供所投产品：赛事管理平台及项目实战训练平台软件</w:t>
            </w:r>
          </w:p>
          <w:p>
            <w:pPr>
              <w:rPr>
                <w:color w:val="auto"/>
                <w:highlight w:val="none"/>
              </w:rPr>
            </w:pPr>
            <w:r>
              <w:rPr>
                <w:rFonts w:hint="eastAsia"/>
                <w:color w:val="auto"/>
                <w:highlight w:val="none"/>
              </w:rPr>
              <w:t>（1）</w:t>
            </w:r>
            <w:r>
              <w:rPr>
                <w:rFonts w:hint="eastAsia" w:ascii="宋体" w:hAnsi="宋体" w:cs="宋体"/>
                <w:color w:val="auto"/>
                <w:szCs w:val="21"/>
                <w:highlight w:val="none"/>
              </w:rPr>
              <w:t>提供赛事管理平台及项目实战训练平台两项著作权证书得2分，提供一项著作权证书得1分，不提供不得分；</w:t>
            </w:r>
          </w:p>
          <w:p>
            <w:pPr>
              <w:rPr>
                <w:color w:val="auto"/>
                <w:highlight w:val="none"/>
              </w:rPr>
            </w:pPr>
            <w:r>
              <w:rPr>
                <w:rFonts w:hint="eastAsia"/>
                <w:color w:val="auto"/>
                <w:highlight w:val="none"/>
              </w:rPr>
              <w:t>（2）</w:t>
            </w:r>
            <w:r>
              <w:rPr>
                <w:rFonts w:hint="eastAsia" w:ascii="宋体" w:hAnsi="宋体" w:cs="宋体"/>
                <w:color w:val="auto"/>
                <w:szCs w:val="21"/>
                <w:highlight w:val="none"/>
              </w:rPr>
              <w:t>系统</w:t>
            </w:r>
            <w:r>
              <w:rPr>
                <w:rFonts w:hint="eastAsia"/>
                <w:color w:val="auto"/>
                <w:highlight w:val="none"/>
              </w:rPr>
              <w:t>对应</w:t>
            </w:r>
            <w:r>
              <w:rPr>
                <w:color w:val="auto"/>
                <w:highlight w:val="none"/>
              </w:rPr>
              <w:t>手机操作系统版本</w:t>
            </w:r>
            <w:r>
              <w:rPr>
                <w:rFonts w:hint="eastAsia"/>
                <w:color w:val="auto"/>
                <w:highlight w:val="none"/>
              </w:rPr>
              <w:t>应具备</w:t>
            </w:r>
            <w:r>
              <w:rPr>
                <w:color w:val="auto"/>
                <w:highlight w:val="none"/>
              </w:rPr>
              <w:t>相关</w:t>
            </w:r>
            <w:r>
              <w:rPr>
                <w:rFonts w:hint="eastAsia"/>
                <w:color w:val="auto"/>
                <w:highlight w:val="none"/>
              </w:rPr>
              <w:t>软件著作权，提供</w:t>
            </w:r>
            <w:r>
              <w:rPr>
                <w:color w:val="auto"/>
                <w:highlight w:val="none"/>
              </w:rPr>
              <w:t>2份</w:t>
            </w:r>
            <w:r>
              <w:rPr>
                <w:rFonts w:hint="eastAsia"/>
                <w:color w:val="auto"/>
                <w:highlight w:val="none"/>
              </w:rPr>
              <w:t>著作权证书得1分，</w:t>
            </w:r>
            <w:r>
              <w:rPr>
                <w:color w:val="auto"/>
                <w:highlight w:val="none"/>
              </w:rPr>
              <w:t>提供一份或</w:t>
            </w:r>
            <w:r>
              <w:rPr>
                <w:rFonts w:hint="eastAsia"/>
                <w:color w:val="auto"/>
                <w:highlight w:val="none"/>
              </w:rPr>
              <w:t xml:space="preserve">不提供不得分； </w:t>
            </w:r>
          </w:p>
          <w:p>
            <w:pPr>
              <w:rPr>
                <w:rFonts w:ascii="宋体" w:hAnsi="宋体" w:cs="宋体"/>
                <w:color w:val="auto"/>
                <w:szCs w:val="21"/>
                <w:highlight w:val="none"/>
                <w:lang w:val="zh-CN"/>
              </w:rPr>
            </w:pPr>
            <w:r>
              <w:rPr>
                <w:rFonts w:hint="eastAsia"/>
                <w:color w:val="auto"/>
                <w:highlight w:val="none"/>
              </w:rPr>
              <w:t>（3）</w:t>
            </w:r>
            <w:r>
              <w:rPr>
                <w:rFonts w:hint="eastAsia" w:ascii="宋体" w:hAnsi="宋体" w:cs="宋体"/>
                <w:color w:val="auto"/>
                <w:szCs w:val="21"/>
                <w:highlight w:val="none"/>
              </w:rPr>
              <w:t>作为省</w:t>
            </w:r>
            <w:r>
              <w:rPr>
                <w:rFonts w:hint="eastAsia" w:ascii="宋体" w:hAnsi="宋体" w:cs="宋体"/>
                <w:color w:val="auto"/>
                <w:szCs w:val="21"/>
                <w:highlight w:val="none"/>
                <w:lang w:val="zh-CN"/>
              </w:rPr>
              <w:t>级“</w:t>
            </w:r>
            <w:r>
              <w:rPr>
                <w:rFonts w:hint="eastAsia" w:ascii="宋体" w:hAnsi="宋体" w:cs="宋体"/>
                <w:color w:val="auto"/>
                <w:szCs w:val="21"/>
                <w:highlight w:val="none"/>
              </w:rPr>
              <w:t>互联网+</w:t>
            </w:r>
            <w:r>
              <w:rPr>
                <w:rFonts w:hint="eastAsia" w:ascii="宋体" w:hAnsi="宋体" w:cs="宋体"/>
                <w:color w:val="auto"/>
                <w:szCs w:val="21"/>
                <w:highlight w:val="none"/>
                <w:lang w:val="zh-CN"/>
              </w:rPr>
              <w:t>”</w:t>
            </w:r>
            <w:r>
              <w:rPr>
                <w:rFonts w:hint="eastAsia" w:ascii="宋体" w:hAnsi="宋体" w:cs="宋体"/>
                <w:color w:val="auto"/>
                <w:szCs w:val="21"/>
                <w:highlight w:val="none"/>
              </w:rPr>
              <w:t>大学生创新创业大赛</w:t>
            </w:r>
            <w:r>
              <w:rPr>
                <w:rFonts w:hint="eastAsia" w:ascii="宋体" w:hAnsi="宋体" w:cs="宋体"/>
                <w:color w:val="auto"/>
                <w:szCs w:val="21"/>
                <w:highlight w:val="none"/>
                <w:lang w:val="zh-CN"/>
              </w:rPr>
              <w:t>技术支持</w:t>
            </w:r>
            <w:r>
              <w:rPr>
                <w:rFonts w:hint="eastAsia" w:ascii="宋体" w:hAnsi="宋体" w:cs="宋体"/>
                <w:color w:val="auto"/>
                <w:szCs w:val="21"/>
                <w:highlight w:val="none"/>
              </w:rPr>
              <w:t>平台</w:t>
            </w:r>
            <w:r>
              <w:rPr>
                <w:rFonts w:hint="eastAsia" w:ascii="宋体" w:hAnsi="宋体" w:cs="宋体"/>
                <w:color w:val="auto"/>
                <w:szCs w:val="21"/>
                <w:highlight w:val="none"/>
                <w:lang w:val="zh-CN"/>
              </w:rPr>
              <w:t>，</w:t>
            </w:r>
            <w:r>
              <w:rPr>
                <w:rFonts w:hint="eastAsia" w:ascii="宋体" w:hAnsi="宋体" w:cs="宋体"/>
                <w:color w:val="auto"/>
                <w:szCs w:val="21"/>
                <w:highlight w:val="none"/>
              </w:rPr>
              <w:t>并有连续3年的省赛支持经验，提供相关省厅通知发文及现场照片，</w:t>
            </w:r>
            <w:r>
              <w:rPr>
                <w:rFonts w:hint="eastAsia"/>
                <w:color w:val="auto"/>
                <w:highlight w:val="none"/>
              </w:rPr>
              <w:t>并加盖公章，中标后提供加盖厂商公章原件备查；</w:t>
            </w:r>
            <w:r>
              <w:rPr>
                <w:color w:val="auto"/>
                <w:highlight w:val="none"/>
              </w:rPr>
              <w:t>提供4份省教育厅发文通知的得2</w:t>
            </w:r>
            <w:r>
              <w:rPr>
                <w:rFonts w:hint="eastAsia"/>
                <w:color w:val="auto"/>
                <w:highlight w:val="none"/>
              </w:rPr>
              <w:t>分，</w:t>
            </w:r>
            <w:r>
              <w:rPr>
                <w:color w:val="auto"/>
                <w:highlight w:val="none"/>
              </w:rPr>
              <w:t>提供3份文件得1分，少于3份或不提供</w:t>
            </w:r>
            <w:r>
              <w:rPr>
                <w:rFonts w:hint="eastAsia"/>
                <w:color w:val="auto"/>
                <w:highlight w:val="none"/>
              </w:rPr>
              <w:t>不得分；</w:t>
            </w:r>
          </w:p>
          <w:p>
            <w:pPr>
              <w:rPr>
                <w:color w:val="auto"/>
                <w:highlight w:val="none"/>
              </w:rPr>
            </w:pPr>
            <w:r>
              <w:rPr>
                <w:rFonts w:hint="eastAsia"/>
                <w:color w:val="auto"/>
                <w:highlight w:val="none"/>
              </w:rPr>
              <w:t>（4）</w:t>
            </w:r>
            <w:r>
              <w:rPr>
                <w:rFonts w:hint="eastAsia" w:ascii="宋体" w:hAnsi="宋体" w:cs="宋体"/>
                <w:color w:val="auto"/>
                <w:szCs w:val="21"/>
                <w:highlight w:val="none"/>
              </w:rPr>
              <w:t>制造商具有移动互联网应用程序备案号，提供企业资质证书复印件并加盖公章，提供移动互联网应用程序备案号的得1分，没有不得分。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868" w:type="dxa"/>
            <w:vMerge w:val="continue"/>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1</w:t>
            </w:r>
          </w:p>
        </w:tc>
        <w:tc>
          <w:tcPr>
            <w:tcW w:w="735" w:type="dxa"/>
            <w:vMerge w:val="continue"/>
            <w:vAlign w:val="center"/>
          </w:tcPr>
          <w:p>
            <w:pPr>
              <w:pStyle w:val="12"/>
              <w:jc w:val="center"/>
              <w:rPr>
                <w:rFonts w:hAnsi="宋体" w:cs="宋体"/>
                <w:color w:val="auto"/>
                <w:kern w:val="0"/>
                <w:szCs w:val="21"/>
                <w:highlight w:val="none"/>
              </w:rPr>
            </w:pPr>
          </w:p>
        </w:tc>
        <w:tc>
          <w:tcPr>
            <w:tcW w:w="1230" w:type="dxa"/>
            <w:vAlign w:val="center"/>
          </w:tcPr>
          <w:p>
            <w:pPr>
              <w:pStyle w:val="12"/>
              <w:rPr>
                <w:rFonts w:hAnsi="宋体" w:cs="宋体"/>
                <w:color w:val="auto"/>
                <w:kern w:val="0"/>
                <w:szCs w:val="21"/>
                <w:highlight w:val="none"/>
              </w:rPr>
            </w:pPr>
            <w:r>
              <w:rPr>
                <w:rFonts w:hint="eastAsia" w:hAnsi="宋体" w:cs="宋体"/>
                <w:color w:val="auto"/>
                <w:kern w:val="0"/>
                <w:szCs w:val="21"/>
                <w:highlight w:val="none"/>
              </w:rPr>
              <w:t>投标人资质（14分）</w:t>
            </w:r>
          </w:p>
        </w:tc>
        <w:tc>
          <w:tcPr>
            <w:tcW w:w="6399" w:type="dxa"/>
            <w:vAlign w:val="center"/>
          </w:tcPr>
          <w:p>
            <w:pPr>
              <w:ind w:left="210" w:hanging="210" w:hangingChars="100"/>
              <w:jc w:val="left"/>
              <w:rPr>
                <w:rFonts w:ascii="宋体" w:hAnsi="宋体" w:cs="宋体"/>
                <w:color w:val="auto"/>
                <w:szCs w:val="21"/>
                <w:highlight w:val="none"/>
              </w:rPr>
            </w:pPr>
            <w:r>
              <w:rPr>
                <w:rFonts w:hint="eastAsia" w:ascii="宋体" w:hAnsi="宋体" w:cs="宋体"/>
                <w:color w:val="auto"/>
                <w:szCs w:val="21"/>
                <w:highlight w:val="none"/>
              </w:rPr>
              <w:t>1、提供有效的ISO9001：2008质量管理体系认证、GB\T28001职业健康安全管理体系认证、ISO14001环境管理体系认证。（全部提供得2分，否则不得分）</w:t>
            </w:r>
          </w:p>
          <w:p>
            <w:pPr>
              <w:ind w:left="420" w:hanging="420" w:hangingChars="200"/>
              <w:rPr>
                <w:rFonts w:ascii="宋体" w:hAnsi="宋体" w:cs="宋体"/>
                <w:color w:val="auto"/>
                <w:szCs w:val="21"/>
                <w:highlight w:val="none"/>
              </w:rPr>
            </w:pPr>
            <w:r>
              <w:rPr>
                <w:rFonts w:hint="eastAsia" w:ascii="宋体" w:hAnsi="宋体" w:cs="宋体"/>
                <w:color w:val="auto"/>
                <w:szCs w:val="21"/>
                <w:highlight w:val="none"/>
              </w:rPr>
              <w:t>2、提供有效的教育装备类协会会员证书。（提供得1分，不提供不得分）</w:t>
            </w:r>
          </w:p>
          <w:p>
            <w:pPr>
              <w:widowControl/>
              <w:shd w:val="clear" w:color="auto" w:fill="FFFFFF"/>
              <w:ind w:left="210" w:hanging="210" w:hangingChars="100"/>
              <w:jc w:val="left"/>
              <w:rPr>
                <w:rFonts w:ascii="宋体" w:hAnsi="宋体" w:cs="宋体"/>
                <w:color w:val="auto"/>
                <w:szCs w:val="21"/>
                <w:highlight w:val="none"/>
              </w:rPr>
            </w:pPr>
            <w:r>
              <w:rPr>
                <w:rFonts w:hint="eastAsia" w:ascii="宋体" w:hAnsi="宋体" w:cs="宋体"/>
                <w:color w:val="auto"/>
                <w:szCs w:val="21"/>
                <w:highlight w:val="none"/>
              </w:rPr>
              <w:t>3、提供有效的</w:t>
            </w:r>
            <w:r>
              <w:rPr>
                <w:rFonts w:hint="eastAsia" w:ascii="宋体" w:hAnsi="宋体" w:cs="宋体"/>
                <w:color w:val="auto"/>
                <w:kern w:val="0"/>
                <w:szCs w:val="21"/>
                <w:highlight w:val="none"/>
              </w:rPr>
              <w:t>木材加工许可证证书</w:t>
            </w:r>
            <w:r>
              <w:rPr>
                <w:rFonts w:hint="eastAsia" w:ascii="宋体" w:hAnsi="宋体" w:cs="宋体"/>
                <w:color w:val="auto"/>
                <w:szCs w:val="21"/>
                <w:highlight w:val="none"/>
              </w:rPr>
              <w:t>。（提供得2分，不提供不得分）</w:t>
            </w:r>
          </w:p>
          <w:p>
            <w:pPr>
              <w:jc w:val="left"/>
              <w:rPr>
                <w:rFonts w:ascii="宋体" w:hAnsi="宋体" w:cs="宋体"/>
                <w:color w:val="auto"/>
                <w:szCs w:val="21"/>
                <w:highlight w:val="none"/>
              </w:rPr>
            </w:pPr>
            <w:r>
              <w:rPr>
                <w:rFonts w:hint="eastAsia" w:ascii="宋体" w:hAnsi="宋体" w:cs="宋体"/>
                <w:color w:val="auto"/>
                <w:szCs w:val="21"/>
                <w:highlight w:val="none"/>
              </w:rPr>
              <w:t>4、提供：①中国优秀绿色环保节能产品企业证书、②提供全国重合同守信用AAA级企业证书、③提供中国高新技术企业证书、④提供中国绿色环保产品证书、⑤提供国家权威检测、质量合格产品证书、⑥提供中国自主创新名优产品证书。（每提供一项材料得1分，共6分，</w:t>
            </w:r>
            <w:r>
              <w:rPr>
                <w:rFonts w:hint="eastAsia" w:ascii="宋体" w:hAnsi="宋体" w:cs="宋体"/>
                <w:color w:val="auto"/>
                <w:kern w:val="0"/>
                <w:szCs w:val="21"/>
                <w:highlight w:val="none"/>
              </w:rPr>
              <w:t>提供相关证明材料复印件加盖公章</w:t>
            </w:r>
            <w:r>
              <w:rPr>
                <w:rFonts w:hint="eastAsia" w:ascii="宋体" w:hAnsi="宋体" w:cs="宋体"/>
                <w:color w:val="auto"/>
                <w:szCs w:val="21"/>
                <w:highlight w:val="none"/>
              </w:rPr>
              <w:t>）</w:t>
            </w:r>
          </w:p>
          <w:p>
            <w:pPr>
              <w:jc w:val="left"/>
              <w:rPr>
                <w:rFonts w:ascii="宋体" w:hAnsi="宋体" w:cs="宋体"/>
                <w:color w:val="auto"/>
                <w:kern w:val="0"/>
                <w:szCs w:val="21"/>
                <w:highlight w:val="none"/>
              </w:rPr>
            </w:pPr>
            <w:r>
              <w:rPr>
                <w:rFonts w:hint="eastAsia" w:ascii="宋体" w:hAnsi="宋体" w:cs="宋体"/>
                <w:color w:val="auto"/>
                <w:szCs w:val="21"/>
                <w:highlight w:val="none"/>
              </w:rPr>
              <w:t>5、提供①电脑桌椅、②附柜、③文件柜、④会议桌、⑤讲台、⑥办公桌椅</w:t>
            </w:r>
            <w:r>
              <w:rPr>
                <w:rFonts w:hint="eastAsia" w:ascii="宋体" w:hAnsi="宋体" w:cs="宋体"/>
                <w:color w:val="auto"/>
                <w:kern w:val="0"/>
                <w:szCs w:val="21"/>
                <w:highlight w:val="none"/>
              </w:rPr>
              <w:t>共6项，市级及以上有关检测部门出具检测报告的得3分，少一项扣1分，扣完为止。</w:t>
            </w:r>
          </w:p>
          <w:p>
            <w:pPr>
              <w:widowControl/>
              <w:jc w:val="left"/>
              <w:rPr>
                <w:rFonts w:ascii="宋体" w:hAnsi="宋体" w:cs="宋体"/>
                <w:color w:val="auto"/>
                <w:kern w:val="0"/>
                <w:szCs w:val="21"/>
                <w:highlight w:val="none"/>
              </w:rPr>
            </w:pPr>
            <w:r>
              <w:rPr>
                <w:rFonts w:hint="eastAsia" w:ascii="宋体" w:hAnsi="宋体" w:cs="宋体"/>
                <w:color w:val="auto"/>
                <w:szCs w:val="21"/>
                <w:highlight w:val="none"/>
              </w:rPr>
              <w:t>（以上资质证书以投标文件中证书复印件加盖公章为评审依据）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8" w:type="dxa"/>
            <w:vMerge w:val="continue"/>
            <w:vAlign w:val="center"/>
          </w:tcPr>
          <w:p>
            <w:pPr>
              <w:pStyle w:val="12"/>
              <w:spacing w:line="360" w:lineRule="exact"/>
              <w:jc w:val="center"/>
              <w:rPr>
                <w:rFonts w:hAnsi="宋体" w:cs="宋体"/>
                <w:color w:val="auto"/>
                <w:kern w:val="0"/>
                <w:szCs w:val="21"/>
                <w:highlight w:val="none"/>
              </w:rPr>
            </w:pPr>
          </w:p>
        </w:tc>
        <w:tc>
          <w:tcPr>
            <w:tcW w:w="735" w:type="dxa"/>
            <w:vMerge w:val="continue"/>
            <w:vAlign w:val="center"/>
          </w:tcPr>
          <w:p>
            <w:pPr>
              <w:pStyle w:val="12"/>
              <w:rPr>
                <w:rFonts w:hAnsi="宋体" w:cs="宋体"/>
                <w:color w:val="auto"/>
                <w:kern w:val="0"/>
                <w:szCs w:val="21"/>
                <w:highlight w:val="none"/>
              </w:rPr>
            </w:pPr>
          </w:p>
        </w:tc>
        <w:tc>
          <w:tcPr>
            <w:tcW w:w="1230" w:type="dxa"/>
            <w:vAlign w:val="center"/>
          </w:tcPr>
          <w:p>
            <w:pPr>
              <w:pStyle w:val="12"/>
              <w:rPr>
                <w:rFonts w:hAnsi="宋体" w:cs="宋体"/>
                <w:color w:val="auto"/>
                <w:kern w:val="0"/>
                <w:szCs w:val="21"/>
                <w:highlight w:val="none"/>
              </w:rPr>
            </w:pPr>
            <w:r>
              <w:rPr>
                <w:rFonts w:hint="eastAsia" w:hAnsi="宋体" w:cs="宋体"/>
                <w:color w:val="auto"/>
                <w:kern w:val="0"/>
                <w:szCs w:val="21"/>
                <w:highlight w:val="none"/>
              </w:rPr>
              <w:t>投标人业绩（3分）</w:t>
            </w:r>
          </w:p>
        </w:tc>
        <w:tc>
          <w:tcPr>
            <w:tcW w:w="6399" w:type="dxa"/>
            <w:vAlign w:val="center"/>
          </w:tcPr>
          <w:p>
            <w:pPr>
              <w:rPr>
                <w:rFonts w:ascii="宋体" w:hAnsi="宋体" w:cs="宋体"/>
                <w:color w:val="auto"/>
                <w:kern w:val="0"/>
                <w:szCs w:val="21"/>
                <w:highlight w:val="none"/>
              </w:rPr>
            </w:pPr>
            <w:r>
              <w:rPr>
                <w:rFonts w:hint="eastAsia" w:ascii="宋体" w:hAnsi="宋体" w:cs="宋体"/>
                <w:color w:val="auto"/>
                <w:szCs w:val="21"/>
                <w:highlight w:val="none"/>
                <w:lang w:val="zh-CN"/>
              </w:rPr>
              <w:t>投标人近三年以来（招标公告发布之日向前追溯三年，以验收证明材料为准）完成政府采购</w:t>
            </w:r>
            <w:r>
              <w:rPr>
                <w:rFonts w:hint="eastAsia" w:ascii="宋体" w:hAnsi="宋体" w:cs="宋体"/>
                <w:color w:val="auto"/>
                <w:szCs w:val="21"/>
                <w:highlight w:val="none"/>
              </w:rPr>
              <w:t>供货业绩</w:t>
            </w:r>
            <w:r>
              <w:rPr>
                <w:rFonts w:hint="eastAsia" w:ascii="宋体" w:hAnsi="宋体" w:cs="宋体"/>
                <w:color w:val="auto"/>
                <w:szCs w:val="21"/>
                <w:highlight w:val="none"/>
                <w:lang w:val="zh-CN"/>
              </w:rPr>
              <w:t>；</w:t>
            </w:r>
            <w:r>
              <w:rPr>
                <w:rFonts w:hint="eastAsia" w:ascii="宋体" w:hAnsi="宋体" w:cs="宋体"/>
                <w:color w:val="auto"/>
                <w:szCs w:val="21"/>
                <w:highlight w:val="none"/>
              </w:rPr>
              <w:t>提供单项合同</w:t>
            </w:r>
            <w:r>
              <w:rPr>
                <w:rFonts w:hint="eastAsia" w:ascii="宋体" w:hAnsi="宋体" w:cs="宋体"/>
                <w:color w:val="auto"/>
                <w:szCs w:val="21"/>
                <w:highlight w:val="none"/>
                <w:lang w:val="zh-CN"/>
              </w:rPr>
              <w:t>每例得</w:t>
            </w:r>
            <w:r>
              <w:rPr>
                <w:rFonts w:hint="eastAsia" w:ascii="宋体" w:hAnsi="宋体" w:cs="宋体"/>
                <w:color w:val="auto"/>
                <w:szCs w:val="21"/>
                <w:highlight w:val="none"/>
              </w:rPr>
              <w:t>1</w:t>
            </w:r>
            <w:r>
              <w:rPr>
                <w:rFonts w:hint="eastAsia" w:ascii="宋体" w:hAnsi="宋体" w:cs="宋体"/>
                <w:color w:val="auto"/>
                <w:szCs w:val="21"/>
                <w:highlight w:val="none"/>
                <w:lang w:val="zh-CN"/>
              </w:rPr>
              <w:t>分，最多</w:t>
            </w:r>
            <w:r>
              <w:rPr>
                <w:rFonts w:hint="eastAsia" w:ascii="宋体" w:hAnsi="宋体" w:cs="宋体"/>
                <w:color w:val="auto"/>
                <w:szCs w:val="21"/>
                <w:highlight w:val="none"/>
              </w:rPr>
              <w:t>3分</w:t>
            </w:r>
            <w:r>
              <w:rPr>
                <w:rFonts w:hint="eastAsia" w:ascii="宋体" w:hAnsi="宋体" w:cs="宋体"/>
                <w:color w:val="auto"/>
                <w:szCs w:val="21"/>
                <w:highlight w:val="none"/>
                <w:lang w:val="zh-CN"/>
              </w:rPr>
              <w:t>。</w:t>
            </w:r>
            <w:r>
              <w:rPr>
                <w:rFonts w:hint="eastAsia" w:ascii="宋体" w:hAnsi="宋体" w:cs="宋体"/>
                <w:color w:val="auto"/>
                <w:szCs w:val="21"/>
                <w:highlight w:val="none"/>
              </w:rPr>
              <w:t>（投标文件中需同时附中标通知书和验收证明材料复印件做为评审依据，不得缺项。“政府采购”供货业绩，如中标通知书没有公共资源交易平台或招标投标行政监督管理部门印章，不能证明是政府采购业绩的，可提供公共资源交易平台网站或招标投标行政监督管理部门网站公布的评标结果公示或中标公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8" w:type="dxa"/>
            <w:vMerge w:val="restart"/>
            <w:vAlign w:val="center"/>
          </w:tcPr>
          <w:p>
            <w:pPr>
              <w:pStyle w:val="12"/>
              <w:spacing w:line="360" w:lineRule="exact"/>
              <w:jc w:val="center"/>
              <w:rPr>
                <w:rFonts w:hAnsi="宋体" w:cs="宋体"/>
                <w:color w:val="auto"/>
                <w:kern w:val="0"/>
                <w:szCs w:val="21"/>
                <w:highlight w:val="none"/>
              </w:rPr>
            </w:pPr>
            <w:r>
              <w:rPr>
                <w:rFonts w:hint="eastAsia" w:hAnsi="宋体" w:cs="宋体"/>
                <w:color w:val="auto"/>
                <w:kern w:val="0"/>
                <w:szCs w:val="21"/>
                <w:highlight w:val="none"/>
              </w:rPr>
              <w:t>服务</w:t>
            </w:r>
          </w:p>
        </w:tc>
        <w:tc>
          <w:tcPr>
            <w:tcW w:w="735" w:type="dxa"/>
            <w:vMerge w:val="restart"/>
            <w:vAlign w:val="center"/>
          </w:tcPr>
          <w:p>
            <w:pPr>
              <w:pStyle w:val="12"/>
              <w:jc w:val="center"/>
              <w:rPr>
                <w:rFonts w:hAnsi="宋体" w:cs="宋体"/>
                <w:color w:val="auto"/>
                <w:kern w:val="0"/>
                <w:szCs w:val="21"/>
                <w:highlight w:val="none"/>
              </w:rPr>
            </w:pPr>
            <w:r>
              <w:rPr>
                <w:rFonts w:hint="eastAsia" w:hAnsi="宋体" w:cs="宋体"/>
                <w:color w:val="auto"/>
                <w:kern w:val="0"/>
                <w:szCs w:val="21"/>
                <w:highlight w:val="none"/>
              </w:rPr>
              <w:t>4分</w:t>
            </w:r>
          </w:p>
        </w:tc>
        <w:tc>
          <w:tcPr>
            <w:tcW w:w="1230" w:type="dxa"/>
            <w:vAlign w:val="center"/>
          </w:tcPr>
          <w:p>
            <w:pPr>
              <w:pStyle w:val="12"/>
              <w:rPr>
                <w:rFonts w:hAnsi="宋体" w:cs="宋体"/>
                <w:color w:val="auto"/>
                <w:kern w:val="0"/>
                <w:szCs w:val="21"/>
                <w:highlight w:val="none"/>
              </w:rPr>
            </w:pPr>
            <w:r>
              <w:rPr>
                <w:rFonts w:hint="eastAsia" w:hAnsi="宋体" w:cs="宋体"/>
                <w:color w:val="auto"/>
                <w:kern w:val="0"/>
                <w:szCs w:val="21"/>
                <w:highlight w:val="none"/>
              </w:rPr>
              <w:t>项目实施方案</w:t>
            </w:r>
          </w:p>
          <w:p>
            <w:pPr>
              <w:pStyle w:val="12"/>
              <w:rPr>
                <w:rFonts w:hAnsi="宋体" w:cs="宋体"/>
                <w:color w:val="auto"/>
                <w:kern w:val="0"/>
                <w:szCs w:val="21"/>
                <w:highlight w:val="none"/>
              </w:rPr>
            </w:pPr>
            <w:r>
              <w:rPr>
                <w:rFonts w:hint="eastAsia" w:hAnsi="宋体" w:cs="宋体"/>
                <w:color w:val="auto"/>
                <w:kern w:val="0"/>
                <w:szCs w:val="21"/>
                <w:highlight w:val="none"/>
              </w:rPr>
              <w:t>（2分）</w:t>
            </w:r>
          </w:p>
        </w:tc>
        <w:tc>
          <w:tcPr>
            <w:tcW w:w="6399" w:type="dxa"/>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投标人须提供完整、详细、可行的工程施工方案及验收方案，根据各投标人的投标方案酌情打分。工程施工方案及验收方案应包括但不限于以下内容：施工说明、项目管理框架、施工组织部署、工程质量管理、工程进度管理、安全文明施工及成品保护措施、工程文档管理、主要施工技术方案、项目人员配置计划、进度计划（包括设备到货、安装、系统调试、培训等）、项目验收方案等。全部满足得2分，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8" w:type="dxa"/>
            <w:vMerge w:val="continue"/>
            <w:vAlign w:val="center"/>
          </w:tcPr>
          <w:p>
            <w:pPr>
              <w:pStyle w:val="12"/>
              <w:spacing w:line="360" w:lineRule="exact"/>
              <w:jc w:val="center"/>
              <w:rPr>
                <w:rFonts w:hAnsi="宋体" w:cs="宋体"/>
                <w:color w:val="auto"/>
                <w:kern w:val="0"/>
                <w:szCs w:val="21"/>
                <w:highlight w:val="none"/>
              </w:rPr>
            </w:pPr>
          </w:p>
        </w:tc>
        <w:tc>
          <w:tcPr>
            <w:tcW w:w="735" w:type="dxa"/>
            <w:vMerge w:val="continue"/>
            <w:vAlign w:val="center"/>
          </w:tcPr>
          <w:p>
            <w:pPr>
              <w:pStyle w:val="12"/>
              <w:rPr>
                <w:rFonts w:hAnsi="宋体" w:cs="宋体"/>
                <w:color w:val="auto"/>
                <w:kern w:val="0"/>
                <w:szCs w:val="21"/>
                <w:highlight w:val="none"/>
              </w:rPr>
            </w:pPr>
          </w:p>
        </w:tc>
        <w:tc>
          <w:tcPr>
            <w:tcW w:w="1230" w:type="dxa"/>
            <w:vAlign w:val="center"/>
          </w:tcPr>
          <w:p>
            <w:pPr>
              <w:pStyle w:val="12"/>
              <w:rPr>
                <w:rFonts w:hAnsi="宋体" w:cs="宋体"/>
                <w:color w:val="auto"/>
                <w:kern w:val="0"/>
                <w:szCs w:val="21"/>
                <w:highlight w:val="none"/>
              </w:rPr>
            </w:pPr>
            <w:r>
              <w:rPr>
                <w:rFonts w:hint="eastAsia" w:hAnsi="宋体" w:cs="宋体"/>
                <w:color w:val="auto"/>
                <w:kern w:val="0"/>
                <w:szCs w:val="21"/>
                <w:highlight w:val="none"/>
              </w:rPr>
              <w:t>售后服务（2分）</w:t>
            </w:r>
          </w:p>
        </w:tc>
        <w:tc>
          <w:tcPr>
            <w:tcW w:w="6399" w:type="dxa"/>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各投标人应提供详细的售后服务方案、服务体系、服务范围以及故障解决方案、响应时间、应急处理方案、专业技术人员保障、售后服务电话等。根据各投标人提供的资料，从全面性、可操作性等进行打分。全部满足得2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8" w:type="dxa"/>
            <w:vAlign w:val="center"/>
          </w:tcPr>
          <w:p>
            <w:pPr>
              <w:pStyle w:val="12"/>
              <w:spacing w:line="360" w:lineRule="exact"/>
              <w:jc w:val="center"/>
              <w:rPr>
                <w:rFonts w:hAnsi="宋体" w:cs="宋体"/>
                <w:color w:val="auto"/>
                <w:kern w:val="0"/>
                <w:szCs w:val="21"/>
                <w:highlight w:val="none"/>
              </w:rPr>
            </w:pPr>
            <w:r>
              <w:rPr>
                <w:rFonts w:hint="eastAsia" w:hAnsi="宋体" w:cs="宋体"/>
                <w:color w:val="auto"/>
                <w:szCs w:val="21"/>
                <w:highlight w:val="none"/>
              </w:rPr>
              <w:t>投标文件制作</w:t>
            </w:r>
          </w:p>
        </w:tc>
        <w:tc>
          <w:tcPr>
            <w:tcW w:w="735" w:type="dxa"/>
            <w:vAlign w:val="center"/>
          </w:tcPr>
          <w:p>
            <w:pPr>
              <w:pStyle w:val="12"/>
              <w:rPr>
                <w:rFonts w:hAnsi="宋体" w:cs="宋体"/>
                <w:color w:val="auto"/>
                <w:kern w:val="0"/>
                <w:szCs w:val="21"/>
                <w:highlight w:val="none"/>
              </w:rPr>
            </w:pPr>
            <w:r>
              <w:rPr>
                <w:rFonts w:hint="eastAsia" w:hAnsi="宋体" w:cs="宋体"/>
                <w:color w:val="auto"/>
                <w:kern w:val="0"/>
                <w:szCs w:val="21"/>
                <w:highlight w:val="none"/>
              </w:rPr>
              <w:t>2分</w:t>
            </w:r>
          </w:p>
        </w:tc>
        <w:tc>
          <w:tcPr>
            <w:tcW w:w="1230" w:type="dxa"/>
            <w:vAlign w:val="center"/>
          </w:tcPr>
          <w:p>
            <w:pPr>
              <w:pStyle w:val="12"/>
              <w:rPr>
                <w:rFonts w:hAnsi="宋体" w:cs="宋体"/>
                <w:color w:val="auto"/>
                <w:kern w:val="0"/>
                <w:szCs w:val="21"/>
                <w:highlight w:val="none"/>
              </w:rPr>
            </w:pPr>
            <w:r>
              <w:rPr>
                <w:rFonts w:hint="eastAsia" w:hAnsi="宋体" w:cs="宋体"/>
                <w:color w:val="auto"/>
                <w:kern w:val="0"/>
                <w:szCs w:val="21"/>
                <w:highlight w:val="none"/>
              </w:rPr>
              <w:t>投标文件便于评审（2分）</w:t>
            </w:r>
          </w:p>
        </w:tc>
        <w:tc>
          <w:tcPr>
            <w:tcW w:w="6399" w:type="dxa"/>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文件内容完备，格式规范，封装整齐，目录、页码齐全，目录与页码能准确对应，满足招标文件要求得</w:t>
            </w:r>
            <w:r>
              <w:rPr>
                <w:rFonts w:ascii="宋体" w:hAnsi="宋体" w:cs="宋体"/>
                <w:color w:val="auto"/>
                <w:kern w:val="0"/>
                <w:szCs w:val="21"/>
                <w:highlight w:val="none"/>
              </w:rPr>
              <w:t>2</w:t>
            </w:r>
            <w:r>
              <w:rPr>
                <w:rFonts w:hint="eastAsia" w:ascii="宋体" w:hAnsi="宋体" w:cs="宋体"/>
                <w:color w:val="auto"/>
                <w:kern w:val="0"/>
                <w:szCs w:val="21"/>
                <w:highlight w:val="none"/>
              </w:rPr>
              <w:t>分，否则不得分。未经胶封（如文件夹或订书机等）此项不得分。</w:t>
            </w:r>
          </w:p>
        </w:tc>
      </w:tr>
    </w:tbl>
    <w:p>
      <w:pPr>
        <w:rPr>
          <w:rFonts w:ascii="宋体" w:hAnsi="宋体" w:cs="宋体"/>
          <w:b/>
          <w:bCs/>
          <w:color w:val="auto"/>
          <w:kern w:val="0"/>
          <w:sz w:val="24"/>
          <w:highlight w:val="none"/>
        </w:rPr>
      </w:pPr>
      <w:r>
        <w:rPr>
          <w:rFonts w:hint="eastAsia" w:ascii="宋体" w:hAnsi="宋体" w:cs="宋体"/>
          <w:b/>
          <w:bCs/>
          <w:color w:val="auto"/>
          <w:kern w:val="0"/>
          <w:sz w:val="24"/>
          <w:highlight w:val="none"/>
        </w:rPr>
        <w:t>特别说明：</w:t>
      </w:r>
    </w:p>
    <w:p>
      <w:pPr>
        <w:ind w:firstLine="480" w:firstLineChars="200"/>
        <w:rPr>
          <w:rFonts w:ascii="宋体" w:hAnsi="宋体" w:cs="宋体"/>
          <w:color w:val="auto"/>
          <w:kern w:val="0"/>
          <w:sz w:val="24"/>
          <w:highlight w:val="none"/>
        </w:rPr>
      </w:pPr>
      <w:r>
        <w:rPr>
          <w:rFonts w:hint="eastAsia" w:ascii="宋体" w:hAnsi="宋体" w:cs="宋体"/>
          <w:color w:val="auto"/>
          <w:sz w:val="24"/>
          <w:highlight w:val="none"/>
        </w:rPr>
        <w:t>项目涉及硬件设施、办公家具、室内改造等多面化招标内容，招标人将在报名截止日期后组织投标人集中踏勘现场，在招标人通知的时间地点，投标人未前往踏勘的均被视为充分熟悉本招标项目所在地与履行合同有关的各种情况，投标人不再另行组织踏勘，其责任由投标人自负。</w:t>
      </w:r>
    </w:p>
    <w:p>
      <w:pPr>
        <w:adjustRightInd w:val="0"/>
        <w:snapToGrid w:val="0"/>
        <w:spacing w:line="360" w:lineRule="auto"/>
        <w:rPr>
          <w:color w:val="auto"/>
          <w:highlight w:val="none"/>
        </w:rPr>
      </w:pPr>
    </w:p>
    <w:sectPr>
      <w:headerReference r:id="rId3" w:type="default"/>
      <w:footerReference r:id="rId4" w:type="default"/>
      <w:pgSz w:w="11906" w:h="16838"/>
      <w:pgMar w:top="1191" w:right="1247" w:bottom="119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45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cs="宋体"/>
        <w:b/>
        <w:bCs/>
        <w:kern w:val="0"/>
        <w:sz w:val="15"/>
        <w:szCs w:val="15"/>
      </w:rPr>
    </w:pPr>
    <w:r>
      <w:rPr>
        <w:rFonts w:hint="eastAsia" w:ascii="宋体" w:hAnsi="宋体" w:cs="宋体"/>
        <w:b/>
        <w:bCs/>
        <w:kern w:val="0"/>
        <w:sz w:val="15"/>
        <w:szCs w:val="15"/>
      </w:rPr>
      <w:t>南京信息工程大学</w:t>
    </w:r>
    <w:r>
      <w:rPr>
        <w:rFonts w:hint="eastAsia" w:ascii="宋体" w:hAnsi="宋体" w:cs="宋体"/>
        <w:b/>
        <w:bCs/>
        <w:kern w:val="0"/>
        <w:sz w:val="15"/>
        <w:szCs w:val="15"/>
        <w:lang w:val="en-US" w:eastAsia="zh-CN"/>
      </w:rPr>
      <w:t>招标办2020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FCF42"/>
    <w:multiLevelType w:val="singleLevel"/>
    <w:tmpl w:val="854FCF42"/>
    <w:lvl w:ilvl="0" w:tentative="0">
      <w:start w:val="1"/>
      <w:numFmt w:val="decimal"/>
      <w:suff w:val="nothing"/>
      <w:lvlText w:val="%1、"/>
      <w:lvlJc w:val="left"/>
    </w:lvl>
  </w:abstractNum>
  <w:abstractNum w:abstractNumId="1">
    <w:nsid w:val="AEC04563"/>
    <w:multiLevelType w:val="singleLevel"/>
    <w:tmpl w:val="AEC04563"/>
    <w:lvl w:ilvl="0" w:tentative="0">
      <w:start w:val="1"/>
      <w:numFmt w:val="decimal"/>
      <w:suff w:val="nothing"/>
      <w:lvlText w:val="%1、"/>
      <w:lvlJc w:val="left"/>
    </w:lvl>
  </w:abstractNum>
  <w:abstractNum w:abstractNumId="2">
    <w:nsid w:val="B465E281"/>
    <w:multiLevelType w:val="singleLevel"/>
    <w:tmpl w:val="B465E281"/>
    <w:lvl w:ilvl="0" w:tentative="0">
      <w:start w:val="1"/>
      <w:numFmt w:val="decimal"/>
      <w:suff w:val="nothing"/>
      <w:lvlText w:val="%1、"/>
      <w:lvlJc w:val="left"/>
    </w:lvl>
  </w:abstractNum>
  <w:abstractNum w:abstractNumId="3">
    <w:nsid w:val="CD132A74"/>
    <w:multiLevelType w:val="singleLevel"/>
    <w:tmpl w:val="CD132A74"/>
    <w:lvl w:ilvl="0" w:tentative="0">
      <w:start w:val="6"/>
      <w:numFmt w:val="chineseCounting"/>
      <w:suff w:val="nothing"/>
      <w:lvlText w:val="%1、"/>
      <w:lvlJc w:val="left"/>
      <w:rPr>
        <w:rFonts w:hint="eastAsia"/>
        <w:b/>
      </w:rPr>
    </w:lvl>
  </w:abstractNum>
  <w:abstractNum w:abstractNumId="4">
    <w:nsid w:val="FEE4F5FA"/>
    <w:multiLevelType w:val="singleLevel"/>
    <w:tmpl w:val="FEE4F5FA"/>
    <w:lvl w:ilvl="0" w:tentative="0">
      <w:start w:val="1"/>
      <w:numFmt w:val="decimal"/>
      <w:suff w:val="nothing"/>
      <w:lvlText w:val="%1、"/>
      <w:lvlJc w:val="left"/>
    </w:lvl>
  </w:abstractNum>
  <w:abstractNum w:abstractNumId="5">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6">
    <w:nsid w:val="00000002"/>
    <w:multiLevelType w:val="singleLevel"/>
    <w:tmpl w:val="00000002"/>
    <w:lvl w:ilvl="0" w:tentative="0">
      <w:start w:val="1"/>
      <w:numFmt w:val="decimal"/>
      <w:lvlText w:val="%1."/>
      <w:lvlJc w:val="left"/>
      <w:pPr>
        <w:ind w:left="425" w:hanging="425"/>
      </w:pPr>
      <w:rPr>
        <w:rFonts w:hint="default"/>
      </w:rPr>
    </w:lvl>
  </w:abstractNum>
  <w:abstractNum w:abstractNumId="7">
    <w:nsid w:val="00000003"/>
    <w:multiLevelType w:val="singleLevel"/>
    <w:tmpl w:val="00000003"/>
    <w:lvl w:ilvl="0" w:tentative="0">
      <w:start w:val="1"/>
      <w:numFmt w:val="decimal"/>
      <w:suff w:val="nothing"/>
      <w:lvlText w:val="%1．"/>
      <w:lvlJc w:val="left"/>
      <w:pPr>
        <w:ind w:left="0" w:firstLine="400"/>
      </w:pPr>
      <w:rPr>
        <w:rFonts w:hint="default"/>
      </w:rPr>
    </w:lvl>
  </w:abstractNum>
  <w:abstractNum w:abstractNumId="8">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9">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10">
    <w:nsid w:val="00000006"/>
    <w:multiLevelType w:val="singleLevel"/>
    <w:tmpl w:val="00000006"/>
    <w:lvl w:ilvl="0" w:tentative="0">
      <w:start w:val="1"/>
      <w:numFmt w:val="decimal"/>
      <w:suff w:val="nothing"/>
      <w:lvlText w:val="%1．"/>
      <w:lvlJc w:val="left"/>
      <w:pPr>
        <w:ind w:left="0" w:firstLine="400"/>
      </w:pPr>
      <w:rPr>
        <w:rFonts w:hint="default"/>
      </w:rPr>
    </w:lvl>
  </w:abstractNum>
  <w:abstractNum w:abstractNumId="11">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12">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13">
    <w:nsid w:val="00000009"/>
    <w:multiLevelType w:val="singleLevel"/>
    <w:tmpl w:val="00000009"/>
    <w:lvl w:ilvl="0" w:tentative="0">
      <w:start w:val="1"/>
      <w:numFmt w:val="decimal"/>
      <w:suff w:val="nothing"/>
      <w:lvlText w:val="%1．"/>
      <w:lvlJc w:val="left"/>
      <w:pPr>
        <w:ind w:left="0" w:firstLine="400"/>
      </w:pPr>
      <w:rPr>
        <w:rFonts w:hint="default"/>
      </w:rPr>
    </w:lvl>
  </w:abstractNum>
  <w:abstractNum w:abstractNumId="14">
    <w:nsid w:val="0000000B"/>
    <w:multiLevelType w:val="singleLevel"/>
    <w:tmpl w:val="0000000B"/>
    <w:lvl w:ilvl="0" w:tentative="0">
      <w:start w:val="1"/>
      <w:numFmt w:val="chineseCounting"/>
      <w:suff w:val="nothing"/>
      <w:lvlText w:val="（%1）"/>
      <w:lvlJc w:val="left"/>
      <w:pPr>
        <w:ind w:left="0" w:firstLine="420"/>
      </w:pPr>
      <w:rPr>
        <w:rFonts w:hint="eastAsia"/>
      </w:rPr>
    </w:lvl>
  </w:abstractNum>
  <w:abstractNum w:abstractNumId="15">
    <w:nsid w:val="0000000C"/>
    <w:multiLevelType w:val="singleLevel"/>
    <w:tmpl w:val="0000000C"/>
    <w:lvl w:ilvl="0" w:tentative="0">
      <w:start w:val="1"/>
      <w:numFmt w:val="decimal"/>
      <w:suff w:val="nothing"/>
      <w:lvlText w:val="%1．"/>
      <w:lvlJc w:val="left"/>
      <w:pPr>
        <w:ind w:left="0" w:firstLine="400"/>
      </w:pPr>
      <w:rPr>
        <w:rFonts w:hint="default"/>
      </w:rPr>
    </w:lvl>
  </w:abstractNum>
  <w:abstractNum w:abstractNumId="16">
    <w:nsid w:val="0000000F"/>
    <w:multiLevelType w:val="singleLevel"/>
    <w:tmpl w:val="0000000F"/>
    <w:lvl w:ilvl="0" w:tentative="0">
      <w:start w:val="1"/>
      <w:numFmt w:val="decimal"/>
      <w:suff w:val="nothing"/>
      <w:lvlText w:val="%1．"/>
      <w:lvlJc w:val="left"/>
      <w:pPr>
        <w:ind w:left="0" w:firstLine="400"/>
      </w:pPr>
      <w:rPr>
        <w:rFonts w:hint="default"/>
      </w:rPr>
    </w:lvl>
  </w:abstractNum>
  <w:abstractNum w:abstractNumId="17">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8">
    <w:nsid w:val="00000012"/>
    <w:multiLevelType w:val="singleLevel"/>
    <w:tmpl w:val="00000012"/>
    <w:lvl w:ilvl="0" w:tentative="0">
      <w:start w:val="1"/>
      <w:numFmt w:val="decimal"/>
      <w:suff w:val="nothing"/>
      <w:lvlText w:val="%1．"/>
      <w:lvlJc w:val="left"/>
      <w:pPr>
        <w:ind w:left="0" w:firstLine="400"/>
      </w:pPr>
      <w:rPr>
        <w:rFonts w:hint="default"/>
      </w:rPr>
    </w:lvl>
  </w:abstractNum>
  <w:abstractNum w:abstractNumId="19">
    <w:nsid w:val="0820EE41"/>
    <w:multiLevelType w:val="singleLevel"/>
    <w:tmpl w:val="0820EE41"/>
    <w:lvl w:ilvl="0" w:tentative="0">
      <w:start w:val="1"/>
      <w:numFmt w:val="decimal"/>
      <w:suff w:val="nothing"/>
      <w:lvlText w:val="%1、"/>
      <w:lvlJc w:val="left"/>
    </w:lvl>
  </w:abstractNum>
  <w:abstractNum w:abstractNumId="20">
    <w:nsid w:val="21BCE921"/>
    <w:multiLevelType w:val="singleLevel"/>
    <w:tmpl w:val="21BCE921"/>
    <w:lvl w:ilvl="0" w:tentative="0">
      <w:start w:val="1"/>
      <w:numFmt w:val="decimal"/>
      <w:suff w:val="nothing"/>
      <w:lvlText w:val="%1、"/>
      <w:lvlJc w:val="left"/>
    </w:lvl>
  </w:abstractNum>
  <w:abstractNum w:abstractNumId="21">
    <w:nsid w:val="229F8A55"/>
    <w:multiLevelType w:val="singleLevel"/>
    <w:tmpl w:val="229F8A55"/>
    <w:lvl w:ilvl="0" w:tentative="0">
      <w:start w:val="1"/>
      <w:numFmt w:val="decimal"/>
      <w:suff w:val="nothing"/>
      <w:lvlText w:val="%1、"/>
      <w:lvlJc w:val="left"/>
    </w:lvl>
  </w:abstractNum>
  <w:abstractNum w:abstractNumId="22">
    <w:nsid w:val="2BDF8974"/>
    <w:multiLevelType w:val="singleLevel"/>
    <w:tmpl w:val="2BDF8974"/>
    <w:lvl w:ilvl="0" w:tentative="0">
      <w:start w:val="1"/>
      <w:numFmt w:val="chineseCounting"/>
      <w:suff w:val="nothing"/>
      <w:lvlText w:val="%1、"/>
      <w:lvlJc w:val="left"/>
      <w:rPr>
        <w:rFonts w:hint="eastAsia"/>
      </w:rPr>
    </w:lvl>
  </w:abstractNum>
  <w:abstractNum w:abstractNumId="23">
    <w:nsid w:val="4B376D3F"/>
    <w:multiLevelType w:val="singleLevel"/>
    <w:tmpl w:val="4B376D3F"/>
    <w:lvl w:ilvl="0" w:tentative="0">
      <w:start w:val="1"/>
      <w:numFmt w:val="decimal"/>
      <w:suff w:val="nothing"/>
      <w:lvlText w:val="%1、"/>
      <w:lvlJc w:val="left"/>
    </w:lvl>
  </w:abstractNum>
  <w:abstractNum w:abstractNumId="24">
    <w:nsid w:val="52541258"/>
    <w:multiLevelType w:val="singleLevel"/>
    <w:tmpl w:val="52541258"/>
    <w:lvl w:ilvl="0" w:tentative="0">
      <w:start w:val="1"/>
      <w:numFmt w:val="decimal"/>
      <w:suff w:val="nothing"/>
      <w:lvlText w:val="%1、"/>
      <w:lvlJc w:val="left"/>
      <w:pPr>
        <w:ind w:left="90" w:firstLine="0"/>
      </w:pPr>
    </w:lvl>
  </w:abstractNum>
  <w:abstractNum w:abstractNumId="25">
    <w:nsid w:val="5EED20A7"/>
    <w:multiLevelType w:val="singleLevel"/>
    <w:tmpl w:val="5EED20A7"/>
    <w:lvl w:ilvl="0" w:tentative="0">
      <w:start w:val="1"/>
      <w:numFmt w:val="decimal"/>
      <w:suff w:val="nothing"/>
      <w:lvlText w:val="%1、"/>
      <w:lvlJc w:val="left"/>
    </w:lvl>
  </w:abstractNum>
  <w:abstractNum w:abstractNumId="26">
    <w:nsid w:val="60081819"/>
    <w:multiLevelType w:val="singleLevel"/>
    <w:tmpl w:val="60081819"/>
    <w:lvl w:ilvl="0" w:tentative="0">
      <w:start w:val="1"/>
      <w:numFmt w:val="decimal"/>
      <w:suff w:val="nothing"/>
      <w:lvlText w:val="%1．"/>
      <w:lvlJc w:val="left"/>
      <w:pPr>
        <w:ind w:left="0" w:firstLine="400"/>
      </w:pPr>
      <w:rPr>
        <w:rFonts w:hint="default"/>
      </w:rPr>
    </w:lvl>
  </w:abstractNum>
  <w:num w:numId="1">
    <w:abstractNumId w:val="22"/>
  </w:num>
  <w:num w:numId="2">
    <w:abstractNumId w:val="1"/>
  </w:num>
  <w:num w:numId="3">
    <w:abstractNumId w:val="25"/>
  </w:num>
  <w:num w:numId="4">
    <w:abstractNumId w:val="19"/>
  </w:num>
  <w:num w:numId="5">
    <w:abstractNumId w:val="2"/>
  </w:num>
  <w:num w:numId="6">
    <w:abstractNumId w:val="21"/>
  </w:num>
  <w:num w:numId="7">
    <w:abstractNumId w:val="23"/>
  </w:num>
  <w:num w:numId="8">
    <w:abstractNumId w:val="20"/>
  </w:num>
  <w:num w:numId="9">
    <w:abstractNumId w:val="26"/>
  </w:num>
  <w:num w:numId="10">
    <w:abstractNumId w:val="12"/>
  </w:num>
  <w:num w:numId="11">
    <w:abstractNumId w:val="15"/>
  </w:num>
  <w:num w:numId="12">
    <w:abstractNumId w:val="13"/>
  </w:num>
  <w:num w:numId="13">
    <w:abstractNumId w:val="14"/>
  </w:num>
  <w:num w:numId="14">
    <w:abstractNumId w:val="16"/>
  </w:num>
  <w:num w:numId="15">
    <w:abstractNumId w:val="8"/>
  </w:num>
  <w:num w:numId="16">
    <w:abstractNumId w:val="11"/>
  </w:num>
  <w:num w:numId="17">
    <w:abstractNumId w:val="10"/>
  </w:num>
  <w:num w:numId="18">
    <w:abstractNumId w:val="18"/>
  </w:num>
  <w:num w:numId="19">
    <w:abstractNumId w:val="17"/>
  </w:num>
  <w:num w:numId="20">
    <w:abstractNumId w:val="9"/>
  </w:num>
  <w:num w:numId="21">
    <w:abstractNumId w:val="7"/>
  </w:num>
  <w:num w:numId="22">
    <w:abstractNumId w:val="5"/>
  </w:num>
  <w:num w:numId="23">
    <w:abstractNumId w:val="6"/>
  </w:num>
  <w:num w:numId="24">
    <w:abstractNumId w:val="4"/>
  </w:num>
  <w:num w:numId="25">
    <w:abstractNumId w:val="24"/>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91"/>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6130"/>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4F6F"/>
    <w:rsid w:val="000B5806"/>
    <w:rsid w:val="000B5F77"/>
    <w:rsid w:val="000B6607"/>
    <w:rsid w:val="000C0356"/>
    <w:rsid w:val="000C03E3"/>
    <w:rsid w:val="000C05BE"/>
    <w:rsid w:val="000C22C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07781"/>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3BF2"/>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A76A0"/>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92E"/>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1634"/>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7BD"/>
    <w:rsid w:val="00256A61"/>
    <w:rsid w:val="00263046"/>
    <w:rsid w:val="00263444"/>
    <w:rsid w:val="0026451A"/>
    <w:rsid w:val="00264F91"/>
    <w:rsid w:val="00271C38"/>
    <w:rsid w:val="00273B4E"/>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4546"/>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2CD"/>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A7D8F"/>
    <w:rsid w:val="003B0471"/>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3C3B"/>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37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5D02"/>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6F3F"/>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23D83"/>
    <w:rsid w:val="0053025C"/>
    <w:rsid w:val="00531000"/>
    <w:rsid w:val="00533F15"/>
    <w:rsid w:val="00537018"/>
    <w:rsid w:val="00540A3F"/>
    <w:rsid w:val="00541B97"/>
    <w:rsid w:val="00545F0F"/>
    <w:rsid w:val="00546198"/>
    <w:rsid w:val="00552143"/>
    <w:rsid w:val="00552355"/>
    <w:rsid w:val="005526FE"/>
    <w:rsid w:val="00552BE2"/>
    <w:rsid w:val="00552BF3"/>
    <w:rsid w:val="00552C82"/>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6CF3"/>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381"/>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4F79"/>
    <w:rsid w:val="006B5088"/>
    <w:rsid w:val="006B5A78"/>
    <w:rsid w:val="006B5C0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450"/>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6924"/>
    <w:rsid w:val="00717CEF"/>
    <w:rsid w:val="0072021A"/>
    <w:rsid w:val="00722284"/>
    <w:rsid w:val="0072296C"/>
    <w:rsid w:val="00722E81"/>
    <w:rsid w:val="00723FB7"/>
    <w:rsid w:val="00730ACA"/>
    <w:rsid w:val="00730C03"/>
    <w:rsid w:val="00732152"/>
    <w:rsid w:val="00733E6E"/>
    <w:rsid w:val="007344A9"/>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5726"/>
    <w:rsid w:val="007868B0"/>
    <w:rsid w:val="00786F12"/>
    <w:rsid w:val="0078751B"/>
    <w:rsid w:val="007902F5"/>
    <w:rsid w:val="00790968"/>
    <w:rsid w:val="00790CF3"/>
    <w:rsid w:val="00794717"/>
    <w:rsid w:val="00795A02"/>
    <w:rsid w:val="00795D68"/>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199"/>
    <w:rsid w:val="007D52A8"/>
    <w:rsid w:val="007D52CD"/>
    <w:rsid w:val="007D5551"/>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0591C"/>
    <w:rsid w:val="0081037F"/>
    <w:rsid w:val="008109D2"/>
    <w:rsid w:val="00810AED"/>
    <w:rsid w:val="008111F7"/>
    <w:rsid w:val="00813477"/>
    <w:rsid w:val="00814876"/>
    <w:rsid w:val="00814B12"/>
    <w:rsid w:val="008152E2"/>
    <w:rsid w:val="008169FD"/>
    <w:rsid w:val="00821CB7"/>
    <w:rsid w:val="00821FFD"/>
    <w:rsid w:val="008220BA"/>
    <w:rsid w:val="0082252B"/>
    <w:rsid w:val="00822CF0"/>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3BD"/>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18C7"/>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1DE5"/>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4A3A"/>
    <w:rsid w:val="00966797"/>
    <w:rsid w:val="00967F78"/>
    <w:rsid w:val="00970C17"/>
    <w:rsid w:val="0097160A"/>
    <w:rsid w:val="00972A26"/>
    <w:rsid w:val="00974379"/>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E7802"/>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52F8"/>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902"/>
    <w:rsid w:val="00B26C68"/>
    <w:rsid w:val="00B30171"/>
    <w:rsid w:val="00B302F5"/>
    <w:rsid w:val="00B30C99"/>
    <w:rsid w:val="00B33E5B"/>
    <w:rsid w:val="00B355AB"/>
    <w:rsid w:val="00B35792"/>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3111"/>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3B4"/>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675D7"/>
    <w:rsid w:val="00C67C09"/>
    <w:rsid w:val="00C7077B"/>
    <w:rsid w:val="00C729CD"/>
    <w:rsid w:val="00C73CBE"/>
    <w:rsid w:val="00C7631A"/>
    <w:rsid w:val="00C8251B"/>
    <w:rsid w:val="00C82AFE"/>
    <w:rsid w:val="00C8350E"/>
    <w:rsid w:val="00C86370"/>
    <w:rsid w:val="00C866C5"/>
    <w:rsid w:val="00C8703B"/>
    <w:rsid w:val="00C905CD"/>
    <w:rsid w:val="00C90997"/>
    <w:rsid w:val="00C92654"/>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88D"/>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1792F"/>
    <w:rsid w:val="00D216F7"/>
    <w:rsid w:val="00D21726"/>
    <w:rsid w:val="00D21DC1"/>
    <w:rsid w:val="00D22A42"/>
    <w:rsid w:val="00D22D88"/>
    <w:rsid w:val="00D243D3"/>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0A3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200E"/>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11AC"/>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18F"/>
    <w:rsid w:val="00EA384C"/>
    <w:rsid w:val="00EA3A97"/>
    <w:rsid w:val="00EA4049"/>
    <w:rsid w:val="00EA6C34"/>
    <w:rsid w:val="00EA78A8"/>
    <w:rsid w:val="00EA7D16"/>
    <w:rsid w:val="00EB0E3E"/>
    <w:rsid w:val="00EB1064"/>
    <w:rsid w:val="00EB12A4"/>
    <w:rsid w:val="00EB16BB"/>
    <w:rsid w:val="00EB1980"/>
    <w:rsid w:val="00EB2A53"/>
    <w:rsid w:val="00EB3AD6"/>
    <w:rsid w:val="00EB45C4"/>
    <w:rsid w:val="00EB51AA"/>
    <w:rsid w:val="00EB6291"/>
    <w:rsid w:val="00EB7344"/>
    <w:rsid w:val="00EB7898"/>
    <w:rsid w:val="00EB795C"/>
    <w:rsid w:val="00EC0921"/>
    <w:rsid w:val="00EC402D"/>
    <w:rsid w:val="00EC4EF1"/>
    <w:rsid w:val="00EC615E"/>
    <w:rsid w:val="00EC6BAE"/>
    <w:rsid w:val="00ED041C"/>
    <w:rsid w:val="00ED0447"/>
    <w:rsid w:val="00ED1D5E"/>
    <w:rsid w:val="00ED287D"/>
    <w:rsid w:val="00ED7113"/>
    <w:rsid w:val="00ED7B5A"/>
    <w:rsid w:val="00EE1004"/>
    <w:rsid w:val="00EE2E38"/>
    <w:rsid w:val="00EE45E5"/>
    <w:rsid w:val="00EE4733"/>
    <w:rsid w:val="00EE4C5E"/>
    <w:rsid w:val="00EE547A"/>
    <w:rsid w:val="00EE55EE"/>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254C"/>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1CF2"/>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3C13"/>
    <w:rsid w:val="00FE4EBA"/>
    <w:rsid w:val="00FE53A8"/>
    <w:rsid w:val="00FE55B9"/>
    <w:rsid w:val="00FE5B68"/>
    <w:rsid w:val="00FE5C60"/>
    <w:rsid w:val="00FF0C63"/>
    <w:rsid w:val="00FF0EC6"/>
    <w:rsid w:val="00FF1DAB"/>
    <w:rsid w:val="00FF394A"/>
    <w:rsid w:val="00FF3DF8"/>
    <w:rsid w:val="01D9221A"/>
    <w:rsid w:val="081366B8"/>
    <w:rsid w:val="0E3A1E92"/>
    <w:rsid w:val="11E5455D"/>
    <w:rsid w:val="126F24BE"/>
    <w:rsid w:val="12C7450F"/>
    <w:rsid w:val="14963070"/>
    <w:rsid w:val="1E921CD3"/>
    <w:rsid w:val="21AF17B1"/>
    <w:rsid w:val="23E863BF"/>
    <w:rsid w:val="2866367C"/>
    <w:rsid w:val="2BE02F9F"/>
    <w:rsid w:val="2CE81BAF"/>
    <w:rsid w:val="2F1A207A"/>
    <w:rsid w:val="30A40FFF"/>
    <w:rsid w:val="31300012"/>
    <w:rsid w:val="388127C0"/>
    <w:rsid w:val="38F33167"/>
    <w:rsid w:val="3C963D43"/>
    <w:rsid w:val="3D0969C1"/>
    <w:rsid w:val="3ECB25C3"/>
    <w:rsid w:val="3F463310"/>
    <w:rsid w:val="42B350AA"/>
    <w:rsid w:val="42DB2A2F"/>
    <w:rsid w:val="47AA0DA6"/>
    <w:rsid w:val="480F38B7"/>
    <w:rsid w:val="4B321E6E"/>
    <w:rsid w:val="506A1849"/>
    <w:rsid w:val="55432304"/>
    <w:rsid w:val="56F01811"/>
    <w:rsid w:val="58267AB9"/>
    <w:rsid w:val="625B7D54"/>
    <w:rsid w:val="663E2BAF"/>
    <w:rsid w:val="6BC1702A"/>
    <w:rsid w:val="6C18576D"/>
    <w:rsid w:val="6D134E32"/>
    <w:rsid w:val="6FAB5603"/>
    <w:rsid w:val="72EE38C6"/>
    <w:rsid w:val="75014198"/>
    <w:rsid w:val="75BE6EB5"/>
    <w:rsid w:val="767D647C"/>
    <w:rsid w:val="783F069B"/>
    <w:rsid w:val="790C20C5"/>
    <w:rsid w:val="7BAE1380"/>
    <w:rsid w:val="7DEA646E"/>
    <w:rsid w:val="7EEF6C2A"/>
    <w:rsid w:val="7F074C20"/>
    <w:rsid w:val="7F9C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60" w:after="60" w:line="360" w:lineRule="auto"/>
      <w:jc w:val="center"/>
      <w:outlineLvl w:val="1"/>
    </w:pPr>
    <w:rPr>
      <w:rFonts w:ascii="宋体" w:hAnsi="宋体"/>
      <w:b/>
      <w:bCs/>
      <w:sz w:val="28"/>
      <w:szCs w:val="32"/>
      <w:lang w:val="zh-CN"/>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5">
    <w:name w:val="index 5"/>
    <w:basedOn w:val="1"/>
    <w:next w:val="1"/>
    <w:qFormat/>
    <w:locked/>
    <w:uiPriority w:val="0"/>
    <w:pPr>
      <w:ind w:left="1680"/>
    </w:pPr>
  </w:style>
  <w:style w:type="paragraph" w:styleId="6">
    <w:name w:val="toa heading"/>
    <w:basedOn w:val="1"/>
    <w:next w:val="1"/>
    <w:qFormat/>
    <w:locked/>
    <w:uiPriority w:val="0"/>
    <w:pPr>
      <w:spacing w:before="120"/>
      <w:ind w:firstLine="1572" w:firstLineChars="200"/>
    </w:pPr>
    <w:rPr>
      <w:rFonts w:ascii="Arial" w:hAnsi="Arial"/>
    </w:rPr>
  </w:style>
  <w:style w:type="paragraph" w:styleId="7">
    <w:name w:val="annotation text"/>
    <w:basedOn w:val="1"/>
    <w:link w:val="50"/>
    <w:qFormat/>
    <w:uiPriority w:val="99"/>
    <w:pPr>
      <w:jc w:val="left"/>
    </w:pPr>
    <w:rPr>
      <w:sz w:val="24"/>
      <w:szCs w:val="20"/>
    </w:rPr>
  </w:style>
  <w:style w:type="paragraph" w:styleId="8">
    <w:name w:val="Body Text"/>
    <w:basedOn w:val="1"/>
    <w:link w:val="56"/>
    <w:unhideWhenUsed/>
    <w:qFormat/>
    <w:locked/>
    <w:uiPriority w:val="99"/>
    <w:pPr>
      <w:spacing w:after="120"/>
    </w:pPr>
  </w:style>
  <w:style w:type="paragraph" w:styleId="9">
    <w:name w:val="Body Text Indent"/>
    <w:basedOn w:val="1"/>
    <w:next w:val="10"/>
    <w:link w:val="47"/>
    <w:qFormat/>
    <w:uiPriority w:val="99"/>
    <w:pPr>
      <w:ind w:firstLine="575" w:firstLineChars="274"/>
    </w:pPr>
    <w:rPr>
      <w:rFonts w:ascii="等线" w:eastAsia="等线"/>
      <w:sz w:val="22"/>
      <w:szCs w:val="20"/>
    </w:rPr>
  </w:style>
  <w:style w:type="paragraph" w:styleId="10">
    <w:name w:val="envelope return"/>
    <w:basedOn w:val="1"/>
    <w:qFormat/>
    <w:locked/>
    <w:uiPriority w:val="0"/>
    <w:pPr>
      <w:snapToGrid w:val="0"/>
    </w:pPr>
    <w:rPr>
      <w:rFonts w:ascii="Arial" w:hAnsi="Arial"/>
    </w:rPr>
  </w:style>
  <w:style w:type="paragraph" w:styleId="11">
    <w:name w:val="index 4"/>
    <w:basedOn w:val="1"/>
    <w:next w:val="1"/>
    <w:qFormat/>
    <w:uiPriority w:val="99"/>
    <w:pPr>
      <w:ind w:left="600" w:leftChars="600"/>
    </w:pPr>
    <w:rPr>
      <w:rFonts w:ascii="Verdana" w:hAnsi="Verdana"/>
    </w:rPr>
  </w:style>
  <w:style w:type="paragraph" w:styleId="12">
    <w:name w:val="Plain Text"/>
    <w:basedOn w:val="1"/>
    <w:link w:val="54"/>
    <w:qFormat/>
    <w:uiPriority w:val="0"/>
    <w:rPr>
      <w:rFonts w:ascii="宋体" w:hAnsi="Courier New"/>
      <w:szCs w:val="20"/>
    </w:rPr>
  </w:style>
  <w:style w:type="paragraph" w:styleId="13">
    <w:name w:val="toc 8"/>
    <w:basedOn w:val="1"/>
    <w:next w:val="1"/>
    <w:qFormat/>
    <w:uiPriority w:val="0"/>
    <w:pPr>
      <w:ind w:left="2940"/>
    </w:pPr>
  </w:style>
  <w:style w:type="paragraph" w:styleId="14">
    <w:name w:val="Date"/>
    <w:basedOn w:val="1"/>
    <w:next w:val="1"/>
    <w:link w:val="53"/>
    <w:qFormat/>
    <w:uiPriority w:val="99"/>
    <w:pPr>
      <w:ind w:left="100" w:leftChars="2500"/>
    </w:pPr>
    <w:rPr>
      <w:sz w:val="24"/>
      <w:szCs w:val="20"/>
    </w:rPr>
  </w:style>
  <w:style w:type="paragraph" w:styleId="15">
    <w:name w:val="Body Text Indent 2"/>
    <w:basedOn w:val="1"/>
    <w:qFormat/>
    <w:locked/>
    <w:uiPriority w:val="0"/>
    <w:pPr>
      <w:spacing w:after="120" w:line="480" w:lineRule="auto"/>
      <w:ind w:left="420" w:leftChars="200"/>
    </w:pPr>
  </w:style>
  <w:style w:type="paragraph" w:styleId="16">
    <w:name w:val="Balloon Text"/>
    <w:basedOn w:val="1"/>
    <w:link w:val="57"/>
    <w:semiHidden/>
    <w:qFormat/>
    <w:uiPriority w:val="99"/>
    <w:rPr>
      <w:kern w:val="0"/>
      <w:sz w:val="2"/>
      <w:szCs w:val="20"/>
    </w:rPr>
  </w:style>
  <w:style w:type="paragraph" w:styleId="17">
    <w:name w:val="footer"/>
    <w:basedOn w:val="1"/>
    <w:link w:val="44"/>
    <w:qFormat/>
    <w:uiPriority w:val="99"/>
    <w:pPr>
      <w:tabs>
        <w:tab w:val="center" w:pos="4153"/>
        <w:tab w:val="right" w:pos="8306"/>
      </w:tabs>
      <w:snapToGrid w:val="0"/>
      <w:jc w:val="left"/>
    </w:pPr>
    <w:rPr>
      <w:kern w:val="0"/>
      <w:sz w:val="18"/>
      <w:szCs w:val="18"/>
    </w:rPr>
  </w:style>
  <w:style w:type="paragraph" w:styleId="18">
    <w:name w:val="header"/>
    <w:basedOn w:val="1"/>
    <w:link w:val="52"/>
    <w:qFormat/>
    <w:uiPriority w:val="99"/>
    <w:pPr>
      <w:pBdr>
        <w:bottom w:val="single" w:color="auto" w:sz="6" w:space="1"/>
      </w:pBdr>
      <w:tabs>
        <w:tab w:val="center" w:pos="4153"/>
        <w:tab w:val="right" w:pos="8306"/>
      </w:tabs>
      <w:snapToGrid w:val="0"/>
      <w:jc w:val="center"/>
    </w:pPr>
    <w:rPr>
      <w:sz w:val="18"/>
      <w:szCs w:val="20"/>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7"/>
    <w:next w:val="7"/>
    <w:link w:val="59"/>
    <w:qFormat/>
    <w:uiPriority w:val="99"/>
    <w:rPr>
      <w:b/>
    </w:rPr>
  </w:style>
  <w:style w:type="paragraph" w:styleId="21">
    <w:name w:val="Body Text First Indent 2"/>
    <w:basedOn w:val="9"/>
    <w:qFormat/>
    <w:locked/>
    <w:uiPriority w:val="0"/>
    <w:pPr>
      <w:ind w:firstLine="420" w:firstLineChars="200"/>
    </w:p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locked/>
    <w:uiPriority w:val="0"/>
  </w:style>
  <w:style w:type="character" w:styleId="26">
    <w:name w:val="Hyperlink"/>
    <w:qFormat/>
    <w:uiPriority w:val="99"/>
    <w:rPr>
      <w:rFonts w:cs="Times New Roman"/>
      <w:color w:val="0563C1"/>
      <w:u w:val="single"/>
    </w:rPr>
  </w:style>
  <w:style w:type="character" w:styleId="27">
    <w:name w:val="annotation reference"/>
    <w:qFormat/>
    <w:uiPriority w:val="99"/>
    <w:rPr>
      <w:rFonts w:cs="Times New Roman"/>
      <w:sz w:val="21"/>
    </w:rPr>
  </w:style>
  <w:style w:type="paragraph" w:customStyle="1" w:styleId="28">
    <w:name w:val="p18"/>
    <w:qFormat/>
    <w:uiPriority w:val="0"/>
    <w:pPr>
      <w:jc w:val="both"/>
    </w:pPr>
    <w:rPr>
      <w:rFonts w:ascii="Calibri" w:hAnsi="Calibri" w:eastAsia="宋体" w:cs="宋体"/>
      <w:sz w:val="21"/>
      <w:szCs w:val="21"/>
      <w:lang w:val="en-US" w:eastAsia="zh-CN" w:bidi="ar-SA"/>
    </w:rPr>
  </w:style>
  <w:style w:type="paragraph" w:customStyle="1" w:styleId="29">
    <w:name w:val="表格样式"/>
    <w:basedOn w:val="1"/>
    <w:qFormat/>
    <w:uiPriority w:val="0"/>
    <w:pPr>
      <w:spacing w:beforeLines="30" w:afterLines="30"/>
      <w:jc w:val="left"/>
    </w:pPr>
    <w:rPr>
      <w:szCs w:val="21"/>
      <w:lang w:val="zh-CN"/>
    </w:rPr>
  </w:style>
  <w:style w:type="paragraph" w:customStyle="1" w:styleId="30">
    <w:name w:val="Char"/>
    <w:basedOn w:val="1"/>
    <w:qFormat/>
    <w:uiPriority w:val="99"/>
    <w:pPr>
      <w:tabs>
        <w:tab w:val="left" w:pos="360"/>
      </w:tabs>
    </w:pPr>
    <w:rPr>
      <w:sz w:val="24"/>
    </w:rPr>
  </w:style>
  <w:style w:type="paragraph" w:customStyle="1" w:styleId="3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paragraph" w:customStyle="1" w:styleId="32">
    <w:name w:val="正文文字 9"/>
    <w:basedOn w:val="1"/>
    <w:next w:val="1"/>
    <w:qFormat/>
    <w:uiPriority w:val="0"/>
    <w:pPr>
      <w:ind w:left="240"/>
    </w:pPr>
    <w:rPr>
      <w:sz w:val="16"/>
    </w:rPr>
  </w:style>
  <w:style w:type="paragraph" w:customStyle="1" w:styleId="33">
    <w:name w:val="列出段落2"/>
    <w:basedOn w:val="1"/>
    <w:qFormat/>
    <w:uiPriority w:val="99"/>
    <w:pPr>
      <w:ind w:firstLine="420" w:firstLineChars="200"/>
    </w:pPr>
    <w:rPr>
      <w:rFonts w:ascii="Calibri" w:hAnsi="Calibri"/>
      <w:szCs w:val="22"/>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lang w:val="en-US" w:eastAsia="zh-CN" w:bidi="ar-SA"/>
    </w:rPr>
  </w:style>
  <w:style w:type="paragraph" w:customStyle="1" w:styleId="35">
    <w:name w:val="彩色列表 - 着色 11"/>
    <w:basedOn w:val="1"/>
    <w:qFormat/>
    <w:uiPriority w:val="34"/>
    <w:pPr>
      <w:ind w:firstLine="420" w:firstLineChars="200"/>
    </w:pPr>
  </w:style>
  <w:style w:type="paragraph" w:customStyle="1" w:styleId="36">
    <w:name w:val="正文文字2"/>
    <w:next w:val="32"/>
    <w:qFormat/>
    <w:uiPriority w:val="0"/>
    <w:pPr>
      <w:widowControl w:val="0"/>
      <w:adjustRightInd w:val="0"/>
      <w:spacing w:after="60" w:line="360" w:lineRule="atLeast"/>
      <w:ind w:left="30" w:leftChars="30" w:right="30" w:rightChars="30"/>
      <w:jc w:val="center"/>
    </w:pPr>
    <w:rPr>
      <w:rFonts w:ascii="Arial" w:hAnsi="Arial" w:eastAsia="黑体" w:cs="Times New Roman"/>
      <w:sz w:val="21"/>
      <w:lang w:val="en-US" w:eastAsia="zh-CN" w:bidi="ar-SA"/>
    </w:rPr>
  </w:style>
  <w:style w:type="paragraph" w:customStyle="1" w:styleId="37">
    <w:name w:val="正文1"/>
    <w:basedOn w:val="1"/>
    <w:qFormat/>
    <w:uiPriority w:val="0"/>
    <w:pPr>
      <w:widowControl/>
      <w:spacing w:after="200" w:line="300" w:lineRule="atLeast"/>
      <w:jc w:val="left"/>
    </w:pPr>
    <w:rPr>
      <w:rFonts w:ascii="Calibri" w:hAnsi="Calibri" w:cs="宋体"/>
      <w:kern w:val="0"/>
      <w:sz w:val="22"/>
      <w:szCs w:val="22"/>
    </w:rPr>
  </w:style>
  <w:style w:type="paragraph" w:styleId="38">
    <w:name w:val="List Paragraph"/>
    <w:basedOn w:val="1"/>
    <w:next w:val="5"/>
    <w:link w:val="49"/>
    <w:qFormat/>
    <w:uiPriority w:val="0"/>
    <w:pPr>
      <w:widowControl/>
      <w:ind w:firstLine="420" w:firstLineChars="200"/>
      <w:jc w:val="left"/>
    </w:pPr>
    <w:rPr>
      <w:kern w:val="0"/>
      <w:sz w:val="20"/>
      <w:szCs w:val="20"/>
    </w:rPr>
  </w:style>
  <w:style w:type="paragraph" w:customStyle="1" w:styleId="39">
    <w:name w:val="p0"/>
    <w:basedOn w:val="1"/>
    <w:next w:val="13"/>
    <w:qFormat/>
    <w:uiPriority w:val="99"/>
    <w:pPr>
      <w:widowControl/>
      <w:jc w:val="left"/>
    </w:pPr>
    <w:rPr>
      <w:rFonts w:ascii="宋体" w:hAnsi="宋体" w:cs="宋体"/>
      <w:kern w:val="0"/>
      <w:sz w:val="18"/>
      <w:szCs w:val="18"/>
    </w:rPr>
  </w:style>
  <w:style w:type="paragraph" w:customStyle="1" w:styleId="40">
    <w:name w:val="正文 New New New New"/>
    <w:qFormat/>
    <w:uiPriority w:val="99"/>
    <w:pPr>
      <w:widowControl w:val="0"/>
      <w:jc w:val="both"/>
    </w:pPr>
    <w:rPr>
      <w:rFonts w:ascii="Times New Roman" w:hAnsi="Times New Roman" w:eastAsia="宋体" w:cs="Arial Unicode MS"/>
      <w:color w:val="000000"/>
      <w:lang w:val="en-US" w:eastAsia="zh-CN" w:bidi="ar-SA"/>
    </w:rPr>
  </w:style>
  <w:style w:type="character" w:customStyle="1" w:styleId="41">
    <w:name w:val="font11"/>
    <w:basedOn w:val="24"/>
    <w:qFormat/>
    <w:uiPriority w:val="0"/>
    <w:rPr>
      <w:rFonts w:hint="eastAsia" w:ascii="宋体" w:hAnsi="宋体" w:eastAsia="宋体" w:cs="宋体"/>
      <w:color w:val="000000"/>
      <w:sz w:val="18"/>
      <w:szCs w:val="18"/>
      <w:u w:val="none"/>
    </w:rPr>
  </w:style>
  <w:style w:type="character" w:customStyle="1" w:styleId="42">
    <w:name w:val="font31"/>
    <w:basedOn w:val="24"/>
    <w:qFormat/>
    <w:uiPriority w:val="0"/>
    <w:rPr>
      <w:rFonts w:hint="eastAsia" w:ascii="微软雅黑" w:hAnsi="微软雅黑" w:eastAsia="微软雅黑" w:cs="微软雅黑"/>
      <w:color w:val="000000"/>
      <w:sz w:val="16"/>
      <w:szCs w:val="16"/>
      <w:u w:val="none"/>
    </w:rPr>
  </w:style>
  <w:style w:type="character" w:customStyle="1" w:styleId="43">
    <w:name w:val="font212"/>
    <w:basedOn w:val="24"/>
    <w:qFormat/>
    <w:uiPriority w:val="0"/>
    <w:rPr>
      <w:rFonts w:hint="eastAsia" w:ascii="宋体" w:hAnsi="宋体" w:eastAsia="宋体" w:cs="宋体"/>
      <w:color w:val="000000"/>
      <w:sz w:val="18"/>
      <w:szCs w:val="18"/>
      <w:u w:val="none"/>
    </w:rPr>
  </w:style>
  <w:style w:type="character" w:customStyle="1" w:styleId="44">
    <w:name w:val="页脚 Char"/>
    <w:link w:val="17"/>
    <w:semiHidden/>
    <w:qFormat/>
    <w:locked/>
    <w:uiPriority w:val="99"/>
    <w:rPr>
      <w:rFonts w:cs="Times New Roman"/>
      <w:sz w:val="18"/>
      <w:szCs w:val="18"/>
    </w:rPr>
  </w:style>
  <w:style w:type="character" w:customStyle="1" w:styleId="45">
    <w:name w:val="ca-01"/>
    <w:qFormat/>
    <w:uiPriority w:val="0"/>
    <w:rPr>
      <w:rFonts w:ascii="宋体" w:hAnsi="宋体"/>
      <w:bCs/>
      <w:kern w:val="52"/>
      <w:sz w:val="24"/>
      <w:szCs w:val="21"/>
    </w:rPr>
  </w:style>
  <w:style w:type="character" w:customStyle="1" w:styleId="46">
    <w:name w:val="标题 1 Char"/>
    <w:link w:val="3"/>
    <w:qFormat/>
    <w:locked/>
    <w:uiPriority w:val="99"/>
    <w:rPr>
      <w:rFonts w:cs="Times New Roman"/>
      <w:b/>
      <w:kern w:val="44"/>
      <w:sz w:val="44"/>
    </w:rPr>
  </w:style>
  <w:style w:type="character" w:customStyle="1" w:styleId="47">
    <w:name w:val="正文文本缩进 Char"/>
    <w:link w:val="9"/>
    <w:qFormat/>
    <w:locked/>
    <w:uiPriority w:val="99"/>
    <w:rPr>
      <w:rFonts w:ascii="等线" w:eastAsia="等线" w:cs="Times New Roman"/>
      <w:kern w:val="2"/>
      <w:sz w:val="22"/>
    </w:rPr>
  </w:style>
  <w:style w:type="character" w:customStyle="1" w:styleId="48">
    <w:name w:val="font01"/>
    <w:basedOn w:val="24"/>
    <w:qFormat/>
    <w:uiPriority w:val="0"/>
    <w:rPr>
      <w:rFonts w:hint="eastAsia" w:ascii="宋体" w:hAnsi="宋体" w:eastAsia="宋体" w:cs="宋体"/>
      <w:color w:val="FF0000"/>
      <w:sz w:val="18"/>
      <w:szCs w:val="18"/>
      <w:u w:val="none"/>
    </w:rPr>
  </w:style>
  <w:style w:type="character" w:customStyle="1" w:styleId="49">
    <w:name w:val="列出段落 Char"/>
    <w:link w:val="38"/>
    <w:qFormat/>
    <w:locked/>
    <w:uiPriority w:val="0"/>
  </w:style>
  <w:style w:type="character" w:customStyle="1" w:styleId="50">
    <w:name w:val="批注文字 Char"/>
    <w:link w:val="7"/>
    <w:qFormat/>
    <w:locked/>
    <w:uiPriority w:val="99"/>
    <w:rPr>
      <w:rFonts w:cs="Times New Roman"/>
      <w:kern w:val="2"/>
      <w:sz w:val="24"/>
    </w:rPr>
  </w:style>
  <w:style w:type="character" w:customStyle="1" w:styleId="51">
    <w:name w:val="标题 2 Char Char Char"/>
    <w:qFormat/>
    <w:uiPriority w:val="99"/>
    <w:rPr>
      <w:rFonts w:ascii="Arial" w:hAnsi="Arial" w:eastAsia="黑体"/>
      <w:b/>
      <w:kern w:val="2"/>
      <w:sz w:val="32"/>
      <w:lang w:val="en-US" w:eastAsia="zh-CN"/>
    </w:rPr>
  </w:style>
  <w:style w:type="character" w:customStyle="1" w:styleId="52">
    <w:name w:val="页眉 Char"/>
    <w:link w:val="18"/>
    <w:qFormat/>
    <w:locked/>
    <w:uiPriority w:val="99"/>
    <w:rPr>
      <w:rFonts w:cs="Times New Roman"/>
      <w:kern w:val="2"/>
      <w:sz w:val="18"/>
    </w:rPr>
  </w:style>
  <w:style w:type="character" w:customStyle="1" w:styleId="53">
    <w:name w:val="日期 Char"/>
    <w:link w:val="14"/>
    <w:qFormat/>
    <w:locked/>
    <w:uiPriority w:val="99"/>
    <w:rPr>
      <w:rFonts w:cs="Times New Roman"/>
      <w:kern w:val="2"/>
      <w:sz w:val="24"/>
    </w:rPr>
  </w:style>
  <w:style w:type="character" w:customStyle="1" w:styleId="54">
    <w:name w:val="纯文本 Char"/>
    <w:link w:val="12"/>
    <w:qFormat/>
    <w:locked/>
    <w:uiPriority w:val="0"/>
    <w:rPr>
      <w:rFonts w:ascii="宋体" w:hAnsi="Courier New" w:cs="Times New Roman"/>
      <w:kern w:val="2"/>
      <w:sz w:val="21"/>
    </w:rPr>
  </w:style>
  <w:style w:type="character" w:customStyle="1" w:styleId="55">
    <w:name w:val="font231"/>
    <w:basedOn w:val="24"/>
    <w:qFormat/>
    <w:uiPriority w:val="0"/>
    <w:rPr>
      <w:rFonts w:hint="eastAsia" w:ascii="宋体" w:hAnsi="宋体" w:eastAsia="宋体" w:cs="宋体"/>
      <w:b/>
      <w:color w:val="FF0000"/>
      <w:sz w:val="18"/>
      <w:szCs w:val="18"/>
      <w:u w:val="none"/>
    </w:rPr>
  </w:style>
  <w:style w:type="character" w:customStyle="1" w:styleId="56">
    <w:name w:val="正文文本 Char"/>
    <w:link w:val="8"/>
    <w:qFormat/>
    <w:uiPriority w:val="99"/>
    <w:rPr>
      <w:kern w:val="2"/>
      <w:sz w:val="21"/>
      <w:szCs w:val="24"/>
    </w:rPr>
  </w:style>
  <w:style w:type="character" w:customStyle="1" w:styleId="57">
    <w:name w:val="批注框文本 Char"/>
    <w:link w:val="16"/>
    <w:semiHidden/>
    <w:qFormat/>
    <w:locked/>
    <w:uiPriority w:val="99"/>
    <w:rPr>
      <w:rFonts w:cs="Times New Roman"/>
      <w:sz w:val="2"/>
    </w:rPr>
  </w:style>
  <w:style w:type="character" w:customStyle="1" w:styleId="58">
    <w:name w:val="font141"/>
    <w:qFormat/>
    <w:uiPriority w:val="0"/>
    <w:rPr>
      <w:rFonts w:ascii="宋体" w:eastAsia="宋体" w:cs="宋体"/>
      <w:color w:val="000000"/>
      <w:sz w:val="18"/>
      <w:szCs w:val="18"/>
      <w:u w:val="none"/>
    </w:rPr>
  </w:style>
  <w:style w:type="character" w:customStyle="1" w:styleId="59">
    <w:name w:val="批注主题 Char"/>
    <w:link w:val="20"/>
    <w:qFormat/>
    <w:locked/>
    <w:uiPriority w:val="99"/>
    <w:rPr>
      <w:rFonts w:cs="Times New Roman"/>
      <w:b/>
      <w:kern w:val="2"/>
      <w:sz w:val="24"/>
    </w:rPr>
  </w:style>
  <w:style w:type="character" w:styleId="60">
    <w:name w:val="Placeholder Text"/>
    <w:semiHidden/>
    <w:qFormat/>
    <w:uiPriority w:val="99"/>
    <w:rPr>
      <w:rFonts w:cs="Times New Roman"/>
      <w:color w:val="808080"/>
    </w:rPr>
  </w:style>
  <w:style w:type="table" w:customStyle="1" w:styleId="61">
    <w:name w:val="网格型1"/>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2">
    <w:name w:val="网格型11"/>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7079</Words>
  <Characters>40354</Characters>
  <Lines>336</Lines>
  <Paragraphs>94</Paragraphs>
  <TotalTime>21</TotalTime>
  <ScaleCrop>false</ScaleCrop>
  <LinksUpToDate>false</LinksUpToDate>
  <CharactersWithSpaces>47339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2020-08-13T08:01:00Z</dcterms:created>
  <dc:creator>微软用户</dc:creator>
  <cp:lastModifiedBy>nxdlu</cp:lastModifiedBy>
  <cp:lastPrinted>2020-08-12T05:45:00Z</cp:lastPrinted>
  <dcterms:modified xsi:type="dcterms:W3CDTF">2020-08-17T09:15:28Z</dcterms:modified>
  <dc:title>淮海工学院A8-10号楼学生宿舍家具招标书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