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宋体"/>
          <w:b/>
          <w:sz w:val="44"/>
          <w:szCs w:val="44"/>
        </w:rPr>
      </w:pPr>
      <w:bookmarkStart w:id="0" w:name="OLE_LINK1"/>
      <w:bookmarkStart w:id="1" w:name="OLE_LINK2"/>
      <w:r>
        <w:rPr>
          <w:b/>
          <w:sz w:val="44"/>
          <w:szCs w:val="44"/>
        </w:rPr>
        <w:t>南京信息工程大</w:t>
      </w:r>
      <w:r>
        <w:rPr>
          <w:rFonts w:eastAsia="宋体"/>
          <w:b/>
          <w:sz w:val="44"/>
          <w:szCs w:val="44"/>
        </w:rPr>
        <w:t>学</w:t>
      </w:r>
      <w:bookmarkEnd w:id="0"/>
      <w:bookmarkEnd w:id="1"/>
      <w:r>
        <w:rPr>
          <w:rFonts w:hint="eastAsia" w:eastAsia="宋体"/>
          <w:b/>
          <w:sz w:val="44"/>
          <w:szCs w:val="44"/>
          <w:lang w:val="en-US" w:eastAsia="zh-CN"/>
        </w:rPr>
        <w:t>大气物理学院</w:t>
      </w:r>
      <w:r>
        <w:rPr>
          <w:rFonts w:hint="eastAsia" w:eastAsia="宋体"/>
          <w:b/>
          <w:sz w:val="44"/>
          <w:szCs w:val="44"/>
        </w:rPr>
        <w:t>服务器存储设备采购</w:t>
      </w:r>
      <w:r>
        <w:rPr>
          <w:rFonts w:hint="eastAsia" w:eastAsia="宋体"/>
          <w:b/>
          <w:sz w:val="44"/>
          <w:szCs w:val="44"/>
          <w:lang w:val="en-US" w:eastAsia="zh-CN"/>
        </w:rPr>
        <w:t>项目</w:t>
      </w:r>
      <w:r>
        <w:rPr>
          <w:rFonts w:eastAsia="宋体"/>
          <w:b/>
          <w:sz w:val="44"/>
          <w:szCs w:val="44"/>
        </w:rPr>
        <w:t>招标文件</w:t>
      </w:r>
    </w:p>
    <w:p>
      <w:pPr>
        <w:jc w:val="center"/>
        <w:rPr>
          <w:rFonts w:eastAsia="宋体"/>
          <w:b/>
          <w:sz w:val="44"/>
          <w:szCs w:val="44"/>
        </w:rPr>
      </w:pPr>
    </w:p>
    <w:p>
      <w:pPr>
        <w:adjustRightInd w:val="0"/>
        <w:snapToGrid w:val="0"/>
        <w:spacing w:line="360" w:lineRule="auto"/>
        <w:jc w:val="center"/>
        <w:rPr>
          <w:rFonts w:ascii="宋体" w:cs="仿宋"/>
          <w:sz w:val="28"/>
          <w:szCs w:val="28"/>
        </w:rPr>
      </w:pPr>
      <w:r>
        <w:rPr>
          <w:rFonts w:hint="eastAsia" w:ascii="宋体" w:hAnsi="宋体" w:cs="仿宋"/>
          <w:sz w:val="28"/>
          <w:szCs w:val="28"/>
        </w:rPr>
        <w:t>（招标编号：</w:t>
      </w:r>
      <w:r>
        <w:rPr>
          <w:rFonts w:ascii="宋体" w:hAnsi="宋体" w:cs="仿宋"/>
          <w:sz w:val="28"/>
          <w:szCs w:val="28"/>
          <w:u w:val="single"/>
        </w:rPr>
        <w:t>SBC20</w:t>
      </w:r>
      <w:r>
        <w:rPr>
          <w:rFonts w:hint="eastAsia" w:ascii="宋体" w:hAnsi="宋体" w:cs="仿宋"/>
          <w:sz w:val="28"/>
          <w:szCs w:val="28"/>
          <w:u w:val="single"/>
        </w:rPr>
        <w:t>200</w:t>
      </w:r>
      <w:r>
        <w:rPr>
          <w:rFonts w:hint="eastAsia" w:ascii="宋体" w:hAnsi="宋体" w:cs="仿宋"/>
          <w:sz w:val="28"/>
          <w:szCs w:val="28"/>
          <w:u w:val="single"/>
          <w:lang w:val="en-US" w:eastAsia="zh-CN"/>
        </w:rPr>
        <w:t>12</w:t>
      </w:r>
      <w:r>
        <w:rPr>
          <w:rFonts w:hint="eastAsia" w:ascii="宋体" w:hAnsi="宋体" w:cs="仿宋"/>
          <w:sz w:val="28"/>
          <w:szCs w:val="28"/>
        </w:rPr>
        <w:t>）</w:t>
      </w:r>
    </w:p>
    <w:p>
      <w:pPr>
        <w:adjustRightInd w:val="0"/>
        <w:snapToGrid w:val="0"/>
        <w:spacing w:line="360" w:lineRule="auto"/>
        <w:jc w:val="center"/>
        <w:rPr>
          <w:rFonts w:ascii="宋体" w:cs="仿宋"/>
          <w:sz w:val="28"/>
          <w:szCs w:val="28"/>
        </w:rPr>
      </w:pPr>
      <w:r>
        <w:rPr>
          <w:rFonts w:ascii="宋体" w:hAnsi="宋体" w:cs="仿宋"/>
          <w:sz w:val="28"/>
          <w:szCs w:val="28"/>
        </w:rPr>
        <w:t>(</w:t>
      </w:r>
      <w:r>
        <w:rPr>
          <w:rFonts w:ascii="宋体" w:hAnsi="宋体" w:cs="仿宋"/>
          <w:sz w:val="28"/>
          <w:szCs w:val="28"/>
          <w:u w:val="single"/>
        </w:rPr>
        <w:t>20</w:t>
      </w:r>
      <w:r>
        <w:rPr>
          <w:rFonts w:hint="eastAsia" w:ascii="宋体" w:hAnsi="宋体" w:cs="仿宋"/>
          <w:sz w:val="28"/>
          <w:szCs w:val="28"/>
          <w:u w:val="single"/>
        </w:rPr>
        <w:t>20年04月</w:t>
      </w:r>
      <w:r>
        <w:rPr>
          <w:rFonts w:hint="eastAsia" w:ascii="宋体" w:hAnsi="宋体" w:cs="仿宋"/>
          <w:sz w:val="28"/>
          <w:szCs w:val="28"/>
          <w:u w:val="single"/>
          <w:lang w:val="en-US" w:eastAsia="zh-CN"/>
        </w:rPr>
        <w:t>30</w:t>
      </w:r>
      <w:r>
        <w:rPr>
          <w:rFonts w:hint="eastAsia" w:ascii="宋体" w:hAnsi="宋体" w:cs="仿宋"/>
          <w:sz w:val="28"/>
          <w:szCs w:val="28"/>
          <w:u w:val="single"/>
        </w:rPr>
        <w:t>日</w:t>
      </w:r>
      <w:r>
        <w:rPr>
          <w:rFonts w:hint="eastAsia" w:ascii="宋体" w:hAnsi="宋体" w:cs="仿宋"/>
          <w:sz w:val="28"/>
          <w:szCs w:val="28"/>
          <w:u w:val="single"/>
          <w:lang w:val="en-US" w:eastAsia="zh-CN"/>
        </w:rPr>
        <w:t>11</w:t>
      </w:r>
      <w:r>
        <w:rPr>
          <w:rFonts w:hint="eastAsia" w:ascii="宋体" w:hAnsi="宋体" w:cs="仿宋"/>
          <w:sz w:val="28"/>
          <w:szCs w:val="28"/>
          <w:u w:val="single"/>
        </w:rPr>
        <w:t>：</w:t>
      </w:r>
      <w:r>
        <w:rPr>
          <w:rFonts w:ascii="宋体" w:cs="仿宋"/>
          <w:sz w:val="28"/>
          <w:szCs w:val="28"/>
          <w:u w:val="single"/>
        </w:rPr>
        <w:t>00</w:t>
      </w:r>
      <w:r>
        <w:rPr>
          <w:rFonts w:hint="eastAsia" w:ascii="宋体" w:hAnsi="宋体" w:cs="仿宋"/>
          <w:sz w:val="28"/>
          <w:szCs w:val="28"/>
          <w:u w:val="single"/>
        </w:rPr>
        <w:t>定标发标版</w:t>
      </w:r>
      <w:r>
        <w:rPr>
          <w:rFonts w:ascii="宋体" w:hAnsi="宋体" w:cs="仿宋"/>
          <w:sz w:val="28"/>
          <w:szCs w:val="28"/>
        </w:rPr>
        <w:t>)</w:t>
      </w:r>
      <w:bookmarkStart w:id="11" w:name="_GoBack"/>
      <w:bookmarkEnd w:id="11"/>
    </w:p>
    <w:p>
      <w:pPr>
        <w:jc w:val="center"/>
        <w:rPr>
          <w:b/>
          <w:sz w:val="28"/>
          <w:szCs w:val="28"/>
        </w:rPr>
      </w:pPr>
    </w:p>
    <w:p>
      <w:pPr>
        <w:spacing w:line="360" w:lineRule="auto"/>
        <w:ind w:firstLine="560" w:firstLineChars="200"/>
        <w:rPr>
          <w:rFonts w:ascii="宋体" w:hAnsi="宋体"/>
          <w:sz w:val="28"/>
          <w:szCs w:val="28"/>
        </w:rPr>
      </w:pPr>
      <w:r>
        <w:rPr>
          <w:rFonts w:ascii="宋体" w:hAnsi="宋体"/>
          <w:sz w:val="28"/>
          <w:szCs w:val="28"/>
        </w:rPr>
        <w:t>为满足学校相关</w:t>
      </w:r>
      <w:r>
        <w:rPr>
          <w:rFonts w:hint="eastAsia" w:ascii="宋体" w:hAnsi="宋体"/>
          <w:sz w:val="28"/>
          <w:szCs w:val="28"/>
        </w:rPr>
        <w:t>教学</w:t>
      </w:r>
      <w:r>
        <w:rPr>
          <w:rFonts w:ascii="宋体" w:hAnsi="宋体"/>
          <w:sz w:val="28"/>
          <w:szCs w:val="28"/>
        </w:rPr>
        <w:t>科研工作需要，受校实验室与设备管理处委托，就</w:t>
      </w:r>
      <w:r>
        <w:rPr>
          <w:rFonts w:hint="eastAsia" w:ascii="宋体" w:hAnsi="宋体"/>
          <w:sz w:val="28"/>
          <w:szCs w:val="28"/>
          <w:lang w:val="en-US" w:eastAsia="zh-CN"/>
        </w:rPr>
        <w:t>大气物理学院</w:t>
      </w:r>
      <w:r>
        <w:rPr>
          <w:rFonts w:hint="eastAsia" w:ascii="宋体" w:hAnsi="宋体" w:cs="宋体"/>
          <w:kern w:val="0"/>
          <w:sz w:val="28"/>
          <w:szCs w:val="28"/>
        </w:rPr>
        <w:t>服务器存储设备采购项目</w:t>
      </w:r>
      <w:r>
        <w:rPr>
          <w:rFonts w:ascii="宋体" w:hAnsi="宋体"/>
          <w:sz w:val="28"/>
          <w:szCs w:val="28"/>
        </w:rPr>
        <w:t>进行公开招标，欢迎符合条件的供应商报名投标，现将有关情况说明如下：</w:t>
      </w:r>
    </w:p>
    <w:p>
      <w:pPr>
        <w:spacing w:line="360" w:lineRule="auto"/>
        <w:ind w:firstLine="480" w:firstLineChars="200"/>
        <w:rPr>
          <w:sz w:val="24"/>
        </w:rPr>
      </w:pPr>
    </w:p>
    <w:p>
      <w:pPr>
        <w:pStyle w:val="31"/>
        <w:spacing w:line="360" w:lineRule="auto"/>
        <w:ind w:firstLine="0" w:firstLineChars="0"/>
        <w:jc w:val="center"/>
        <w:rPr>
          <w:rFonts w:hint="eastAsia" w:ascii="宋体" w:hAnsi="宋体" w:eastAsia="宋体" w:cs="仿宋"/>
          <w:b/>
          <w:bCs/>
          <w:kern w:val="2"/>
          <w:sz w:val="28"/>
          <w:szCs w:val="28"/>
          <w:lang w:val="en-US" w:eastAsia="zh-CN" w:bidi="ar-SA"/>
        </w:rPr>
      </w:pPr>
      <w:r>
        <w:rPr>
          <w:rFonts w:hint="eastAsia" w:ascii="宋体" w:hAnsi="宋体" w:eastAsia="宋体" w:cs="仿宋"/>
          <w:b/>
          <w:bCs/>
          <w:kern w:val="2"/>
          <w:sz w:val="28"/>
          <w:szCs w:val="28"/>
          <w:lang w:val="en-US" w:eastAsia="zh-CN" w:bidi="ar-SA"/>
        </w:rPr>
        <w:t>一、招标项目名称及简要说明</w:t>
      </w:r>
    </w:p>
    <w:p>
      <w:pPr>
        <w:pStyle w:val="31"/>
        <w:spacing w:line="360" w:lineRule="auto"/>
        <w:ind w:firstLine="560"/>
        <w:rPr>
          <w:rFonts w:ascii="宋体" w:hAnsi="宋体"/>
          <w:kern w:val="2"/>
          <w:sz w:val="28"/>
          <w:szCs w:val="28"/>
        </w:rPr>
      </w:pPr>
      <w:r>
        <w:rPr>
          <w:rFonts w:ascii="宋体" w:hAnsi="宋体"/>
          <w:kern w:val="2"/>
          <w:sz w:val="28"/>
          <w:szCs w:val="28"/>
        </w:rPr>
        <w:t>1. 项目名称：南京信息工程大学</w:t>
      </w:r>
      <w:r>
        <w:rPr>
          <w:rFonts w:hint="eastAsia" w:ascii="宋体" w:hAnsi="宋体"/>
          <w:kern w:val="2"/>
          <w:sz w:val="28"/>
          <w:szCs w:val="28"/>
          <w:lang w:val="en-US" w:eastAsia="zh-CN"/>
        </w:rPr>
        <w:t>大气物理学院</w:t>
      </w:r>
      <w:r>
        <w:rPr>
          <w:rFonts w:hint="eastAsia" w:ascii="宋体" w:hAnsi="宋体" w:cs="宋体"/>
          <w:kern w:val="0"/>
          <w:sz w:val="28"/>
          <w:szCs w:val="28"/>
        </w:rPr>
        <w:t>服务器存储设备采购项目</w:t>
      </w:r>
      <w:r>
        <w:rPr>
          <w:rFonts w:ascii="宋体" w:hAnsi="宋体"/>
          <w:kern w:val="2"/>
          <w:sz w:val="28"/>
          <w:szCs w:val="28"/>
        </w:rPr>
        <w:t>。</w:t>
      </w:r>
    </w:p>
    <w:p>
      <w:pPr>
        <w:spacing w:line="360" w:lineRule="auto"/>
        <w:ind w:firstLine="560" w:firstLineChars="200"/>
        <w:rPr>
          <w:rFonts w:ascii="宋体" w:hAnsi="宋体"/>
          <w:sz w:val="28"/>
          <w:szCs w:val="28"/>
        </w:rPr>
      </w:pPr>
      <w:r>
        <w:rPr>
          <w:rFonts w:ascii="宋体" w:hAnsi="宋体"/>
          <w:sz w:val="28"/>
          <w:szCs w:val="28"/>
        </w:rPr>
        <w:t>2. 项目简要说明：本次招标购置的设备主要用于学校</w:t>
      </w:r>
      <w:r>
        <w:rPr>
          <w:rFonts w:hint="eastAsia" w:ascii="宋体" w:hAnsi="宋体"/>
          <w:sz w:val="28"/>
          <w:szCs w:val="28"/>
        </w:rPr>
        <w:t>大气物理</w:t>
      </w:r>
      <w:r>
        <w:rPr>
          <w:rFonts w:hint="eastAsia" w:ascii="宋体" w:hAnsi="宋体" w:cs="宋体"/>
          <w:sz w:val="28"/>
          <w:szCs w:val="28"/>
        </w:rPr>
        <w:t>学院</w:t>
      </w:r>
      <w:r>
        <w:rPr>
          <w:rFonts w:hint="eastAsia" w:ascii="宋体" w:hAnsi="宋体"/>
          <w:sz w:val="28"/>
          <w:szCs w:val="28"/>
        </w:rPr>
        <w:t>相关实验</w:t>
      </w:r>
      <w:r>
        <w:rPr>
          <w:rFonts w:ascii="宋体" w:hAnsi="宋体"/>
          <w:sz w:val="28"/>
          <w:szCs w:val="28"/>
        </w:rPr>
        <w:t>研究。主要采购内容有：</w:t>
      </w:r>
      <w:r>
        <w:rPr>
          <w:rFonts w:hint="eastAsia" w:ascii="宋体" w:hAnsi="宋体"/>
          <w:sz w:val="28"/>
          <w:szCs w:val="28"/>
        </w:rPr>
        <w:t>服务器</w:t>
      </w:r>
      <w:r>
        <w:rPr>
          <w:rFonts w:ascii="宋体" w:hAnsi="宋体"/>
          <w:sz w:val="28"/>
          <w:szCs w:val="28"/>
        </w:rPr>
        <w:t>、存储、配件</w:t>
      </w:r>
      <w:r>
        <w:rPr>
          <w:rFonts w:hint="eastAsia" w:ascii="宋体" w:hAnsi="宋体"/>
          <w:sz w:val="28"/>
          <w:szCs w:val="28"/>
        </w:rPr>
        <w:t>。</w:t>
      </w:r>
    </w:p>
    <w:p>
      <w:pPr>
        <w:spacing w:line="360" w:lineRule="auto"/>
        <w:ind w:firstLine="570"/>
        <w:jc w:val="left"/>
        <w:rPr>
          <w:rFonts w:ascii="宋体"/>
          <w:sz w:val="28"/>
          <w:szCs w:val="28"/>
        </w:rPr>
      </w:pPr>
      <w:r>
        <w:rPr>
          <w:rFonts w:ascii="宋体" w:hAnsi="宋体"/>
          <w:sz w:val="28"/>
          <w:szCs w:val="28"/>
        </w:rPr>
        <w:t>3</w:t>
      </w:r>
      <w:bookmarkStart w:id="2" w:name="_Hlk9865971"/>
      <w:r>
        <w:rPr>
          <w:rFonts w:hint="eastAsia" w:ascii="宋体" w:hAnsi="宋体"/>
          <w:sz w:val="28"/>
          <w:szCs w:val="28"/>
        </w:rPr>
        <w:t>.本次招标采取公开招标方式，不承诺最低价（最高价）中标。招标公告和中标公示信息均在</w:t>
      </w:r>
      <w:r>
        <w:fldChar w:fldCharType="begin"/>
      </w:r>
      <w:r>
        <w:instrText xml:space="preserve"> HYPERLINK "https://bulletin.nuist.edu.cn/779/list.htm" </w:instrText>
      </w:r>
      <w:r>
        <w:fldChar w:fldCharType="separate"/>
      </w:r>
      <w:r>
        <w:rPr>
          <w:rStyle w:val="18"/>
          <w:b/>
          <w:color w:val="auto"/>
          <w:sz w:val="24"/>
        </w:rPr>
        <w:t>https://bulletin.nuist.edu.cn/779/lis</w:t>
      </w:r>
      <w:r>
        <w:rPr>
          <w:rStyle w:val="18"/>
          <w:color w:val="auto"/>
          <w:sz w:val="24"/>
        </w:rPr>
        <w:t>t.htm</w:t>
      </w:r>
      <w:r>
        <w:rPr>
          <w:rStyle w:val="18"/>
          <w:color w:val="auto"/>
          <w:sz w:val="24"/>
        </w:rPr>
        <w:fldChar w:fldCharType="end"/>
      </w:r>
      <w:r>
        <w:rPr>
          <w:rFonts w:hint="eastAsia" w:ascii="宋体" w:hAnsi="宋体"/>
          <w:sz w:val="28"/>
          <w:szCs w:val="28"/>
        </w:rPr>
        <w:t>和</w:t>
      </w:r>
      <w:r>
        <w:fldChar w:fldCharType="begin"/>
      </w:r>
      <w:r>
        <w:instrText xml:space="preserve"> HYPERLINK "http://zbc.nuist.edu.cn" </w:instrText>
      </w:r>
      <w:r>
        <w:fldChar w:fldCharType="separate"/>
      </w:r>
      <w:r>
        <w:rPr>
          <w:rFonts w:ascii="宋体" w:hAnsi="宋体"/>
          <w:b/>
          <w:sz w:val="24"/>
          <w:szCs w:val="28"/>
        </w:rPr>
        <w:t>zbc.nuist.edu.cn</w:t>
      </w:r>
      <w:r>
        <w:rPr>
          <w:rFonts w:ascii="宋体" w:hAnsi="宋体"/>
          <w:b/>
          <w:sz w:val="24"/>
          <w:szCs w:val="28"/>
        </w:rP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rPr>
      </w:pPr>
      <w:r>
        <w:rPr>
          <w:rFonts w:ascii="宋体" w:hAnsi="宋体"/>
          <w:sz w:val="28"/>
          <w:szCs w:val="28"/>
        </w:rPr>
        <w:t>4</w:t>
      </w:r>
      <w:bookmarkStart w:id="3" w:name="_Hlk9866054"/>
      <w:r>
        <w:rPr>
          <w:rFonts w:hint="eastAsia" w:ascii="宋体" w:hAnsi="宋体"/>
          <w:sz w:val="28"/>
          <w:szCs w:val="28"/>
        </w:rPr>
        <w:t>.招标文件由我校采购人、项目归口管理部门和财务处联合起草；经学校相关职能部门会审通过形成正式招标文件。同时</w:t>
      </w:r>
      <w:r>
        <w:rPr>
          <w:rFonts w:hint="eastAsia" w:ascii="宋体" w:hAnsi="宋体" w:cs="宋体"/>
          <w:sz w:val="28"/>
          <w:szCs w:val="28"/>
        </w:rPr>
        <w:t>打印</w:t>
      </w:r>
      <w:r>
        <w:rPr>
          <w:rFonts w:ascii="宋体" w:hAnsi="宋体" w:cs="宋体"/>
          <w:sz w:val="28"/>
          <w:szCs w:val="28"/>
        </w:rPr>
        <w:t>3</w:t>
      </w:r>
      <w:r>
        <w:rPr>
          <w:rFonts w:hint="eastAsia" w:ascii="宋体" w:hAnsi="宋体" w:cs="宋体"/>
          <w:sz w:val="28"/>
          <w:szCs w:val="28"/>
        </w:rPr>
        <w:t>份纸质的正式招标文件，由财务处负责人和招标科工作人员同时签字并加盖财务处骑缝章后，分别交财务处、项目归口管理部门（或采购人）、审计处各</w:t>
      </w:r>
      <w:r>
        <w:rPr>
          <w:rFonts w:ascii="宋体" w:hAnsi="宋体" w:cs="宋体"/>
          <w:sz w:val="28"/>
          <w:szCs w:val="28"/>
        </w:rPr>
        <w:t>1</w:t>
      </w:r>
      <w:r>
        <w:rPr>
          <w:rFonts w:hint="eastAsia" w:ascii="宋体" w:hAnsi="宋体" w:cs="宋体"/>
          <w:sz w:val="28"/>
          <w:szCs w:val="28"/>
        </w:rPr>
        <w:t>份，作为相关部门存档、合同签订、项目竣工验收和决（结）算审计，以及处理纠纷等的依据。</w:t>
      </w:r>
    </w:p>
    <w:bookmarkEnd w:id="3"/>
    <w:p>
      <w:pPr>
        <w:spacing w:line="360" w:lineRule="auto"/>
        <w:ind w:firstLine="570"/>
        <w:jc w:val="left"/>
        <w:rPr>
          <w:rFonts w:ascii="宋体" w:hAnsi="宋体"/>
          <w:sz w:val="28"/>
          <w:szCs w:val="28"/>
        </w:rPr>
      </w:pPr>
      <w:r>
        <w:rPr>
          <w:rFonts w:ascii="宋体" w:hAnsi="宋体"/>
          <w:sz w:val="28"/>
          <w:szCs w:val="28"/>
        </w:rPr>
        <w:t>5.</w:t>
      </w:r>
      <w:r>
        <w:rPr>
          <w:rFonts w:hint="eastAsia" w:ascii="宋体" w:hAnsi="宋体"/>
          <w:sz w:val="28"/>
          <w:szCs w:val="28"/>
        </w:rPr>
        <w:t>正式的答疑回复文件也按上述方式处理留存。</w:t>
      </w:r>
    </w:p>
    <w:p>
      <w:pPr>
        <w:pStyle w:val="39"/>
        <w:adjustRightInd w:val="0"/>
        <w:snapToGrid w:val="0"/>
        <w:spacing w:before="0" w:beforeAutospacing="0" w:after="0" w:afterAutospacing="0" w:line="360" w:lineRule="auto"/>
        <w:ind w:firstLine="560" w:firstLineChars="200"/>
        <w:rPr>
          <w:rFonts w:cs="Times New Roman"/>
          <w:color w:val="auto"/>
          <w:kern w:val="2"/>
          <w:sz w:val="28"/>
          <w:szCs w:val="28"/>
        </w:rPr>
      </w:pPr>
      <w:r>
        <w:rPr>
          <w:rFonts w:cs="Times New Roman"/>
          <w:color w:val="auto"/>
          <w:kern w:val="2"/>
          <w:sz w:val="28"/>
          <w:szCs w:val="28"/>
        </w:rPr>
        <w:t>6.</w:t>
      </w:r>
      <w:r>
        <w:rPr>
          <w:rFonts w:hint="eastAsia" w:cs="Times New Roman"/>
          <w:color w:val="auto"/>
          <w:kern w:val="2"/>
          <w:sz w:val="28"/>
          <w:szCs w:val="28"/>
        </w:rPr>
        <w:t>投标有效期：自开标之日起90天内投标有效。</w:t>
      </w:r>
    </w:p>
    <w:p>
      <w:pPr>
        <w:pStyle w:val="39"/>
        <w:adjustRightInd w:val="0"/>
        <w:snapToGrid w:val="0"/>
        <w:spacing w:before="0" w:beforeAutospacing="0" w:after="0" w:afterAutospacing="0" w:line="360" w:lineRule="auto"/>
        <w:ind w:firstLine="560" w:firstLineChars="200"/>
        <w:rPr>
          <w:rFonts w:cs="Times New Roman"/>
          <w:color w:val="auto"/>
          <w:sz w:val="28"/>
          <w:szCs w:val="28"/>
        </w:rPr>
      </w:pPr>
      <w:r>
        <w:rPr>
          <w:rFonts w:hint="eastAsia" w:cs="Times New Roman"/>
          <w:color w:val="auto"/>
          <w:kern w:val="2"/>
          <w:sz w:val="28"/>
          <w:szCs w:val="28"/>
        </w:rPr>
        <w:t>7.</w:t>
      </w:r>
      <w:r>
        <w:rPr>
          <w:rFonts w:hint="eastAsia" w:cs="Times New Roman"/>
          <w:color w:val="auto"/>
          <w:sz w:val="28"/>
          <w:szCs w:val="28"/>
        </w:rPr>
        <w:t>招标过程接受学校纪委办监督检查。</w:t>
      </w:r>
    </w:p>
    <w:p>
      <w:pPr>
        <w:adjustRightInd w:val="0"/>
        <w:snapToGrid w:val="0"/>
        <w:spacing w:beforeLines="100" w:afterLines="100" w:line="360" w:lineRule="auto"/>
        <w:jc w:val="center"/>
        <w:rPr>
          <w:rFonts w:ascii="宋体" w:cs="仿宋"/>
          <w:b/>
          <w:bCs/>
          <w:sz w:val="28"/>
          <w:szCs w:val="28"/>
        </w:rPr>
      </w:pPr>
      <w:r>
        <w:rPr>
          <w:rFonts w:hint="eastAsia" w:ascii="宋体" w:hAnsi="宋体" w:cs="仿宋"/>
          <w:b/>
          <w:bCs/>
          <w:sz w:val="28"/>
          <w:szCs w:val="28"/>
        </w:rPr>
        <w:t>二、对投标人及投标报价的要求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kern w:val="0"/>
          <w:sz w:val="28"/>
          <w:szCs w:val="28"/>
        </w:rPr>
      </w:pPr>
      <w:r>
        <w:rPr>
          <w:rFonts w:hint="eastAsia" w:ascii="宋体" w:hAnsi="宋体" w:cs="Arial"/>
          <w:sz w:val="28"/>
          <w:szCs w:val="28"/>
        </w:rPr>
        <w:t>（一）参加政府采购的供应商应当具备政府采购法</w:t>
      </w:r>
      <w:r>
        <w:rPr>
          <w:rFonts w:ascii="宋体" w:hAnsi="宋体" w:cs="Arial"/>
          <w:sz w:val="28"/>
          <w:szCs w:val="28"/>
        </w:rPr>
        <w:t>第二十二条</w:t>
      </w:r>
      <w:r>
        <w:rPr>
          <w:rFonts w:hint="eastAsia" w:ascii="宋体" w:hAnsi="宋体" w:cs="Arial"/>
          <w:sz w:val="28"/>
          <w:szCs w:val="28"/>
        </w:rPr>
        <w:t>第一款</w:t>
      </w:r>
      <w:r>
        <w:rPr>
          <w:rFonts w:ascii="宋体" w:hAnsi="宋体" w:cs="Arial"/>
          <w:sz w:val="28"/>
          <w:szCs w:val="28"/>
        </w:rPr>
        <w:t>规定</w:t>
      </w:r>
      <w:r>
        <w:rPr>
          <w:rFonts w:hint="eastAsia" w:ascii="宋体" w:hAnsi="宋体" w:cs="Arial"/>
          <w:sz w:val="28"/>
          <w:szCs w:val="28"/>
        </w:rPr>
        <w:t>的条件，并依照政府采购法实施条例第十七条规定提供下列材料：</w:t>
      </w:r>
    </w:p>
    <w:p>
      <w:pPr>
        <w:adjustRightInd w:val="0"/>
        <w:snapToGrid w:val="0"/>
        <w:spacing w:line="360" w:lineRule="auto"/>
        <w:ind w:firstLine="560" w:firstLineChars="200"/>
        <w:rPr>
          <w:rFonts w:ascii="宋体" w:hAnsi="宋体"/>
          <w:sz w:val="28"/>
          <w:szCs w:val="28"/>
        </w:rPr>
      </w:pPr>
      <w:r>
        <w:rPr>
          <w:rFonts w:hint="eastAsia" w:ascii="宋体" w:hAnsi="宋体" w:cs="Arial"/>
          <w:sz w:val="28"/>
          <w:szCs w:val="28"/>
        </w:rPr>
        <w:t>1.具有独立承担民事责任的能力</w:t>
      </w:r>
      <w:r>
        <w:rPr>
          <w:rFonts w:hint="eastAsia" w:ascii="宋体" w:hAnsi="宋体"/>
          <w:sz w:val="28"/>
          <w:szCs w:val="28"/>
        </w:rPr>
        <w:t>：须为独立法人企业，需提供企业法人营业执照；</w:t>
      </w:r>
    </w:p>
    <w:p>
      <w:pPr>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2.具有良好的商业信誉和健全的财务会计制度</w:t>
      </w:r>
      <w:r>
        <w:rPr>
          <w:rFonts w:hint="eastAsia" w:ascii="宋体" w:hAnsi="宋体"/>
          <w:sz w:val="28"/>
          <w:szCs w:val="28"/>
        </w:rPr>
        <w:t>：需提供参加本次投标活动前近六个月内（2019年9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4.有依法缴纳税收和社会保障资金的良好记录</w:t>
      </w:r>
      <w:r>
        <w:rPr>
          <w:rFonts w:hint="eastAsia" w:ascii="宋体" w:hAnsi="宋体"/>
          <w:sz w:val="28"/>
          <w:szCs w:val="28"/>
        </w:rPr>
        <w:t>：提供参加本次投标活动前近六个月内（2019年9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5.参加政府采购活动前三年内，在经营活动中没有违法记录</w:t>
      </w:r>
      <w:r>
        <w:rPr>
          <w:rFonts w:hint="eastAsia" w:ascii="宋体" w:hAnsi="宋体"/>
          <w:sz w:val="28"/>
          <w:szCs w:val="28"/>
        </w:rPr>
        <w:t>：需提供参加本次投标活动前3年内在经营活动中没有重大违法记录的书面声明；</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6.法律、行政法规规定的其他条件：无。</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（二）投标人不得存在下列情形之一</w:t>
      </w:r>
      <w:r>
        <w:rPr>
          <w:rFonts w:hint="eastAsia" w:ascii="宋体" w:hAnsi="宋体"/>
          <w:sz w:val="28"/>
          <w:szCs w:val="28"/>
        </w:rPr>
        <w:t>（</w:t>
      </w:r>
      <w:r>
        <w:rPr>
          <w:rFonts w:hint="eastAsia" w:ascii="宋体" w:hAnsi="宋体"/>
          <w:b/>
          <w:sz w:val="28"/>
          <w:szCs w:val="28"/>
        </w:rPr>
        <w:t>提供加盖投标人公章的承诺书）</w:t>
      </w:r>
      <w:r>
        <w:rPr>
          <w:rFonts w:hint="eastAsia" w:ascii="宋体" w:hAnsi="宋体" w:cs="宋体"/>
          <w:kern w:val="0"/>
          <w:sz w:val="28"/>
          <w:szCs w:val="28"/>
        </w:rPr>
        <w:t>：</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（1）为招标人不具有独立法人资格的附属机构（单位）；</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（2）与招标人存在利害关系可能影响招标公正性的；</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（3）单位负责人为同一人或者存在控股、管理关系的不同单位；</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（三）</w:t>
      </w:r>
      <w:r>
        <w:rPr>
          <w:rFonts w:hint="eastAsia" w:ascii="宋体" w:hAnsi="宋体" w:cs="宋体"/>
          <w:bCs/>
          <w:kern w:val="0"/>
          <w:sz w:val="28"/>
          <w:szCs w:val="28"/>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sz w:val="28"/>
          <w:szCs w:val="28"/>
        </w:rPr>
        <w:t>供应商被“信用中国”网站（www.creditchina.gov.cn）、“中国政府采购网”(www.ccgp.gov.cn)列入失信被执行人、重大税收违法案件当事人名单、政府采购严重违法失信行为记录名单</w:t>
      </w:r>
      <w:r>
        <w:rPr>
          <w:rFonts w:hint="eastAsia" w:ascii="宋体" w:hAnsi="宋体" w:cs="宋体"/>
          <w:b/>
          <w:sz w:val="28"/>
          <w:szCs w:val="28"/>
        </w:rPr>
        <w:t>（提供本项目报名截止日后的网站截图并加盖单位公章）</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w:t>
      </w:r>
      <w:r>
        <w:rPr>
          <w:rFonts w:ascii="宋体" w:hAnsi="宋体" w:cs="宋体"/>
          <w:sz w:val="28"/>
          <w:szCs w:val="28"/>
        </w:rPr>
        <w:t>2</w:t>
      </w:r>
      <w:r>
        <w:rPr>
          <w:rFonts w:hint="eastAsia" w:ascii="宋体" w:hAnsi="宋体" w:cs="宋体"/>
          <w:sz w:val="28"/>
          <w:szCs w:val="28"/>
        </w:rPr>
        <w:t>、附件</w:t>
      </w:r>
      <w:r>
        <w:rPr>
          <w:rFonts w:ascii="宋体" w:hAnsi="宋体" w:cs="宋体"/>
          <w:sz w:val="28"/>
          <w:szCs w:val="28"/>
        </w:rPr>
        <w:t>3</w:t>
      </w:r>
      <w:r>
        <w:rPr>
          <w:rFonts w:hint="eastAsia" w:ascii="宋体" w:hAnsi="宋体" w:cs="宋体"/>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Pr>
          <w:rFonts w:hint="eastAsia" w:ascii="宋体" w:hAnsi="宋体" w:cs="宋体"/>
          <w:sz w:val="28"/>
          <w:szCs w:val="28"/>
          <w:lang w:val="en-US" w:eastAsia="zh-CN"/>
        </w:rPr>
        <w:t>3</w:t>
      </w:r>
      <w:r>
        <w:rPr>
          <w:rFonts w:ascii="宋体" w:hAnsi="宋体" w:cs="宋体"/>
          <w:sz w:val="28"/>
          <w:szCs w:val="28"/>
        </w:rPr>
        <w:t>0</w:t>
      </w:r>
      <w:r>
        <w:rPr>
          <w:rFonts w:hint="eastAsia" w:ascii="宋体" w:hAnsi="宋体" w:cs="宋体"/>
          <w:sz w:val="28"/>
          <w:szCs w:val="28"/>
        </w:rPr>
        <w:t>天内完成设备运输（含上、下力）、安装调试等，所有费用由供方承担，安装调试完毕后需方用户负责试用并签收。</w:t>
      </w:r>
    </w:p>
    <w:p>
      <w:pPr>
        <w:pStyle w:val="39"/>
        <w:adjustRightInd w:val="0"/>
        <w:snapToGrid w:val="0"/>
        <w:spacing w:before="0" w:beforeAutospacing="0" w:after="0" w:afterAutospacing="0" w:line="360" w:lineRule="auto"/>
        <w:ind w:firstLine="560" w:firstLineChars="200"/>
        <w:rPr>
          <w:color w:val="auto"/>
          <w:kern w:val="2"/>
          <w:sz w:val="28"/>
          <w:szCs w:val="28"/>
        </w:rPr>
      </w:pPr>
      <w:r>
        <w:rPr>
          <w:rFonts w:hint="eastAsia"/>
          <w:color w:val="auto"/>
          <w:kern w:val="2"/>
          <w:sz w:val="28"/>
          <w:szCs w:val="28"/>
        </w:rPr>
        <w:t>六、本项目预算价为</w:t>
      </w:r>
      <w:r>
        <w:rPr>
          <w:color w:val="auto"/>
          <w:kern w:val="2"/>
          <w:sz w:val="28"/>
          <w:szCs w:val="28"/>
        </w:rPr>
        <w:t>30</w:t>
      </w:r>
      <w:r>
        <w:rPr>
          <w:rFonts w:hint="eastAsia"/>
          <w:color w:val="auto"/>
          <w:kern w:val="2"/>
          <w:sz w:val="28"/>
          <w:szCs w:val="28"/>
        </w:rPr>
        <w:t>万元，本项目只接受人民币报价。</w:t>
      </w:r>
    </w:p>
    <w:p>
      <w:pPr>
        <w:spacing w:line="360" w:lineRule="auto"/>
        <w:ind w:firstLine="548" w:firstLineChars="196"/>
        <w:rPr>
          <w:rFonts w:ascii="宋体" w:cs="宋体"/>
          <w:sz w:val="28"/>
          <w:szCs w:val="28"/>
        </w:rPr>
      </w:pPr>
      <w:r>
        <w:rPr>
          <w:rFonts w:hint="eastAsia" w:ascii="宋体" w:hAnsi="宋体" w:cs="宋体"/>
          <w:sz w:val="28"/>
          <w:szCs w:val="28"/>
        </w:rPr>
        <w:t>七、进口货物的外贸代理公司由投标人（中标人）自行选择，代理费由投标人与所选外贸公司协商确定并含在报价中。我校协助办理入关、免税等相关证明材料手续。</w:t>
      </w:r>
    </w:p>
    <w:p>
      <w:pPr>
        <w:spacing w:beforeLines="100" w:afterLines="100" w:line="360" w:lineRule="auto"/>
        <w:ind w:firstLine="548" w:firstLineChars="196"/>
        <w:jc w:val="center"/>
        <w:rPr>
          <w:rFonts w:ascii="黑体" w:hAnsi="黑体" w:eastAsia="黑体" w:cs="宋体"/>
          <w:sz w:val="28"/>
          <w:szCs w:val="28"/>
        </w:rPr>
      </w:pPr>
      <w:bookmarkStart w:id="4" w:name="_Hlk9866140"/>
      <w:r>
        <w:rPr>
          <w:rFonts w:hint="eastAsia" w:ascii="黑体" w:hAnsi="黑体" w:eastAsia="黑体" w:cs="宋体"/>
          <w:sz w:val="28"/>
          <w:szCs w:val="28"/>
        </w:rPr>
        <w:t>三、对投标文件的要求</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投标人根据我校招标公告向我校财务处招标科提出报名后，从我处取得正式招标文件（纸质或电子版），并按招标文件的要求认真编制投标文件。</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投标文件一正四副，正、副本均须列出目录，内容不得有插行、涂抹、粘贴等，并打印装订成册。</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投标文件应包含以下内容（所有材料必须加盖投标单位公章）：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）投标价格明细表（附件</w:t>
      </w:r>
      <w:r>
        <w:rPr>
          <w:rFonts w:ascii="宋体" w:hAnsi="宋体" w:cs="宋体"/>
          <w:sz w:val="28"/>
          <w:szCs w:val="28"/>
        </w:rPr>
        <w:t>3</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）产品技术和商务指标偏差表；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）产品服务方案；</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）产品销售授权书或代理证书（如系代理公司的）；</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lang w:val="en-US" w:eastAsia="zh-CN"/>
        </w:rPr>
        <w:t xml:space="preserve"> </w:t>
      </w:r>
      <w:r>
        <w:rPr>
          <w:rFonts w:hint="eastAsia" w:ascii="宋体" w:hAnsi="宋体" w:cs="宋体"/>
          <w:sz w:val="28"/>
          <w:szCs w:val="28"/>
        </w:rPr>
        <w:t>产品质量、工期、安全、管理及售后服务承诺书；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11</w:t>
      </w:r>
      <w:r>
        <w:rPr>
          <w:rFonts w:hint="eastAsia" w:ascii="宋体" w:hAnsi="宋体" w:cs="宋体"/>
          <w:sz w:val="28"/>
          <w:szCs w:val="28"/>
        </w:rPr>
        <w:t>）产品质量检测报告、质保、认证等证书；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12</w:t>
      </w:r>
      <w:r>
        <w:rPr>
          <w:rFonts w:hint="eastAsia" w:ascii="宋体" w:hAnsi="宋体" w:cs="宋体"/>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13</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14</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15</w:t>
      </w:r>
      <w:r>
        <w:rPr>
          <w:rFonts w:hint="eastAsia" w:ascii="宋体" w:hAnsi="宋体" w:cs="宋体"/>
          <w:sz w:val="28"/>
          <w:szCs w:val="28"/>
        </w:rPr>
        <w:t>）</w:t>
      </w:r>
      <w:r>
        <w:rPr>
          <w:rFonts w:hint="eastAsia"/>
          <w:sz w:val="28"/>
          <w:szCs w:val="28"/>
        </w:rPr>
        <w:t>投标人必须投本标书所有标段的设备，不允许分标段投标；标书中服务器标段必须满足所有参数要求，其余标段标</w:t>
      </w:r>
      <w:r>
        <w:rPr>
          <w:rFonts w:hint="eastAsia" w:ascii="宋体" w:hAnsi="宋体" w:cs="Arial"/>
          <w:kern w:val="0"/>
          <w:sz w:val="18"/>
          <w:szCs w:val="18"/>
        </w:rPr>
        <w:t>★</w:t>
      </w:r>
      <w:r>
        <w:rPr>
          <w:rFonts w:hint="eastAsia"/>
          <w:sz w:val="28"/>
          <w:szCs w:val="28"/>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投标人在投标文件中应承诺对如下内容已完全理解，如不承诺，视为认可：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bookmarkEnd w:id="4"/>
    <w:p>
      <w:pPr>
        <w:spacing w:beforeLines="100" w:afterLines="100" w:line="360" w:lineRule="auto"/>
        <w:ind w:firstLine="548" w:firstLineChars="196"/>
        <w:jc w:val="center"/>
        <w:rPr>
          <w:rFonts w:ascii="黑体" w:hAnsi="黑体" w:eastAsia="黑体" w:cs="宋体"/>
          <w:sz w:val="28"/>
          <w:szCs w:val="28"/>
        </w:rPr>
      </w:pPr>
      <w:bookmarkStart w:id="5" w:name="_Hlk9866206"/>
      <w:r>
        <w:rPr>
          <w:rFonts w:hint="eastAsia" w:ascii="黑体" w:hAnsi="黑体" w:eastAsia="黑体" w:cs="宋体"/>
          <w:sz w:val="28"/>
          <w:szCs w:val="28"/>
        </w:rPr>
        <w:t>四、开标程序</w:t>
      </w:r>
    </w:p>
    <w:bookmarkEnd w:id="5"/>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w:t>
      </w:r>
      <w:r>
        <w:rPr>
          <w:rFonts w:ascii="宋体" w:hAnsi="宋体" w:cs="宋体"/>
          <w:sz w:val="28"/>
          <w:szCs w:val="28"/>
        </w:rPr>
        <w:t>5</w:t>
      </w:r>
      <w:r>
        <w:rPr>
          <w:rFonts w:hint="eastAsia" w:ascii="宋体" w:hAnsi="宋体" w:cs="宋体"/>
          <w:sz w:val="28"/>
          <w:szCs w:val="28"/>
        </w:rPr>
        <w:t>）</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财务处工作人员在投标人的见证下唱标。投标人或投标人代表在唱标结果上签名确认。如投标人均未参加唱标，则由财务处工作人员和评标专家组组长、采购人代表共同签名确认。重要项目另请纪委办代表签字。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rPr>
      </w:pPr>
      <w:r>
        <w:rPr>
          <w:rFonts w:hint="eastAsia" w:ascii="宋体" w:hAnsi="宋体" w:cs="宋体"/>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财务处根据评标专家组综合排序，在学校网站和财务处招标科网站对拟中标单位进行公示。公示结束，无异议，确定中标单位。</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有</w:t>
      </w:r>
      <w:r>
        <w:rPr>
          <w:rFonts w:ascii="宋体" w:hAnsi="宋体" w:cs="宋体"/>
          <w:sz w:val="28"/>
          <w:szCs w:val="28"/>
        </w:rPr>
        <w:t>1</w:t>
      </w:r>
      <w:r>
        <w:rPr>
          <w:rFonts w:hint="eastAsia" w:ascii="宋体" w:hAnsi="宋体" w:cs="宋体"/>
          <w:sz w:val="28"/>
          <w:szCs w:val="28"/>
        </w:rPr>
        <w:t>个核心指标或有</w:t>
      </w:r>
      <w:r>
        <w:rPr>
          <w:rFonts w:ascii="宋体" w:hAnsi="宋体" w:cs="宋体"/>
          <w:sz w:val="28"/>
          <w:szCs w:val="28"/>
        </w:rPr>
        <w:t>5</w:t>
      </w:r>
      <w:r>
        <w:rPr>
          <w:rFonts w:hint="eastAsia" w:ascii="宋体" w:hAnsi="宋体" w:cs="宋体"/>
          <w:sz w:val="28"/>
          <w:szCs w:val="28"/>
        </w:rPr>
        <w:t>个及以上非核心指标未能满足的；</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技术指标响应内容未按照招标文件附件</w:t>
      </w:r>
      <w:r>
        <w:rPr>
          <w:rFonts w:ascii="宋体" w:hAnsi="宋体" w:cs="宋体"/>
          <w:sz w:val="28"/>
          <w:szCs w:val="28"/>
        </w:rPr>
        <w:t>1</w:t>
      </w:r>
      <w:r>
        <w:rPr>
          <w:rFonts w:hint="eastAsia" w:ascii="宋体" w:hAnsi="宋体" w:cs="宋体"/>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hint="eastAsia" w:ascii="宋体" w:hAnsi="宋体" w:cs="宋体"/>
          <w:sz w:val="28"/>
          <w:szCs w:val="28"/>
        </w:rPr>
        <w:t>中的章节、句段的；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hAnsi="宋体" w:cs="宋体"/>
          <w:b/>
          <w:sz w:val="28"/>
          <w:szCs w:val="28"/>
        </w:rPr>
      </w:pPr>
      <w:r>
        <w:rPr>
          <w:rFonts w:ascii="宋体" w:hAnsi="宋体" w:cs="宋体"/>
          <w:sz w:val="28"/>
          <w:szCs w:val="28"/>
        </w:rPr>
        <w:t>9.</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eastAsia" w:ascii="宋体" w:hAnsi="宋体" w:cs="宋体"/>
          <w:b/>
          <w:sz w:val="28"/>
          <w:szCs w:val="28"/>
        </w:rPr>
        <w:t>“</w:t>
      </w:r>
      <w:r>
        <w:rPr>
          <w:rFonts w:ascii="宋体" w:hAnsi="宋体" w:cs="宋体"/>
          <w:b/>
          <w:sz w:val="28"/>
          <w:szCs w:val="28"/>
        </w:rPr>
        <w:t>SBC20200</w:t>
      </w:r>
      <w:r>
        <w:rPr>
          <w:rFonts w:hint="eastAsia" w:ascii="宋体" w:hAnsi="宋体" w:cs="宋体"/>
          <w:b/>
          <w:sz w:val="28"/>
          <w:szCs w:val="28"/>
          <w:lang w:val="en-US" w:eastAsia="zh-CN"/>
        </w:rPr>
        <w:t>12</w:t>
      </w:r>
      <w:r>
        <w:rPr>
          <w:rFonts w:hint="eastAsia" w:ascii="宋体" w:hAnsi="宋体" w:cs="宋体"/>
          <w:b/>
          <w:sz w:val="28"/>
          <w:szCs w:val="28"/>
        </w:rPr>
        <w:t>资料费”</w:t>
      </w:r>
      <w:r>
        <w:rPr>
          <w:rFonts w:hint="eastAsia" w:ascii="宋体" w:hAnsi="宋体" w:cs="宋体"/>
          <w:sz w:val="28"/>
          <w:szCs w:val="28"/>
        </w:rPr>
        <w:t>字样的；</w:t>
      </w:r>
    </w:p>
    <w:p>
      <w:pPr>
        <w:spacing w:line="360" w:lineRule="auto"/>
        <w:ind w:firstLine="548" w:firstLineChars="196"/>
        <w:rPr>
          <w:rFonts w:ascii="宋体" w:cs="宋体"/>
          <w:sz w:val="28"/>
          <w:szCs w:val="28"/>
        </w:rPr>
      </w:pPr>
      <w:r>
        <w:rPr>
          <w:rFonts w:ascii="宋体" w:hAnsi="宋体" w:cs="宋体"/>
          <w:sz w:val="28"/>
          <w:szCs w:val="28"/>
        </w:rPr>
        <w:t>10.</w:t>
      </w:r>
      <w:r>
        <w:rPr>
          <w:rFonts w:hint="eastAsia" w:ascii="宋体" w:hAnsi="宋体" w:cs="宋体"/>
          <w:sz w:val="28"/>
          <w:szCs w:val="28"/>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本着“质量第一、价格合理、服务优异、保障有力”的原则，由采购人、项目归口管理部门和财务处从报价得分、技术得分、服务、业绩、信誉得分五个方面提出评标办法（见附件</w:t>
      </w:r>
      <w:r>
        <w:rPr>
          <w:rFonts w:ascii="宋体" w:hAnsi="宋体" w:cs="宋体"/>
          <w:sz w:val="28"/>
          <w:szCs w:val="28"/>
        </w:rPr>
        <w:t>5</w:t>
      </w:r>
      <w:r>
        <w:rPr>
          <w:rFonts w:hint="eastAsia" w:ascii="宋体" w:hAnsi="宋体" w:cs="宋体"/>
          <w:sz w:val="28"/>
          <w:szCs w:val="28"/>
        </w:rPr>
        <w:t>）。</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w:t>
      </w:r>
      <w:r>
        <w:rPr>
          <w:rFonts w:ascii="宋体" w:hAnsi="宋体" w:cs="宋体"/>
          <w:sz w:val="28"/>
          <w:szCs w:val="28"/>
        </w:rPr>
        <w:t>5</w:t>
      </w:r>
      <w:r>
        <w:rPr>
          <w:rFonts w:hint="eastAsia" w:ascii="宋体" w:hAnsi="宋体" w:cs="宋体"/>
          <w:sz w:val="28"/>
          <w:szCs w:val="28"/>
        </w:rPr>
        <w:t>个工作日内，中标单位须及时缴纳</w:t>
      </w:r>
      <w:r>
        <w:rPr>
          <w:rFonts w:ascii="宋体" w:hAnsi="宋体" w:cs="宋体"/>
          <w:sz w:val="28"/>
          <w:szCs w:val="28"/>
        </w:rPr>
        <w:t>5000</w:t>
      </w:r>
      <w:r>
        <w:rPr>
          <w:rFonts w:hint="eastAsia" w:ascii="宋体" w:hAnsi="宋体" w:cs="宋体"/>
          <w:sz w:val="28"/>
          <w:szCs w:val="28"/>
        </w:rPr>
        <w:t>元履约保证金并前来我处领取的《中标通知书》（一式二份）。</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pPr>
        <w:spacing w:line="360" w:lineRule="auto"/>
        <w:ind w:firstLine="548" w:firstLineChars="196"/>
        <w:rPr>
          <w:rFonts w:ascii="宋体" w:hAnsi="宋体" w:cs="宋体"/>
          <w:sz w:val="28"/>
          <w:szCs w:val="28"/>
        </w:rPr>
      </w:pPr>
      <w:r>
        <w:rPr>
          <w:rFonts w:ascii="宋体" w:hAnsi="宋体" w:cs="宋体"/>
          <w:sz w:val="28"/>
          <w:szCs w:val="28"/>
        </w:rPr>
        <w:t>2.</w:t>
      </w:r>
      <w:r>
        <w:rPr>
          <w:rFonts w:hint="eastAsia" w:ascii="宋体" w:hAnsi="宋体" w:cs="宋体"/>
          <w:sz w:val="28"/>
          <w:szCs w:val="28"/>
        </w:rPr>
        <w:t>服务地点：南京信息工程大学校内。</w:t>
      </w:r>
    </w:p>
    <w:p>
      <w:pPr>
        <w:spacing w:line="360" w:lineRule="auto"/>
        <w:ind w:firstLine="548" w:firstLineChars="196"/>
        <w:rPr>
          <w:rFonts w:ascii="宋体" w:hAnsi="宋体" w:cs="宋体"/>
          <w:sz w:val="28"/>
          <w:szCs w:val="28"/>
        </w:rPr>
      </w:pPr>
      <w:r>
        <w:rPr>
          <w:rFonts w:ascii="宋体" w:hAnsi="宋体" w:cs="宋体"/>
          <w:sz w:val="28"/>
          <w:szCs w:val="28"/>
        </w:rPr>
        <w:t>3.</w:t>
      </w:r>
      <w:r>
        <w:rPr>
          <w:rFonts w:hint="eastAsia" w:ascii="宋体" w:hAnsi="宋体" w:cs="宋体"/>
          <w:sz w:val="28"/>
          <w:szCs w:val="28"/>
        </w:rPr>
        <w:t>付款方式：</w:t>
      </w:r>
    </w:p>
    <w:p>
      <w:pPr>
        <w:spacing w:line="360" w:lineRule="auto"/>
        <w:ind w:firstLine="548" w:firstLineChars="196"/>
        <w:rPr>
          <w:rFonts w:ascii="宋体" w:hAnsi="宋体" w:cs="宋体"/>
          <w:sz w:val="28"/>
          <w:szCs w:val="28"/>
        </w:rPr>
      </w:pPr>
      <w:r>
        <w:rPr>
          <w:rFonts w:hint="eastAsia" w:ascii="宋体" w:hAnsi="宋体" w:cs="宋体"/>
          <w:sz w:val="28"/>
          <w:szCs w:val="28"/>
        </w:rPr>
        <w:t>针对国内供应货物，中标单位所供设备（或软件、服务）进场安装调试或服务工作完毕，经验收、检测合格后，提供全额税务发票，凭最终签字和盖章的验收合格报告，支付至合同价的95%，余5%作质保金，质保期满后并经有关单位确认无质量问题后，一次性支付完毕。具体内容以最终签署的合同约定为准。</w:t>
      </w:r>
    </w:p>
    <w:p>
      <w:pPr>
        <w:spacing w:line="360" w:lineRule="auto"/>
        <w:ind w:firstLine="548" w:firstLineChars="196"/>
        <w:rPr>
          <w:rFonts w:ascii="宋体" w:hAnsi="宋体" w:cs="宋体"/>
          <w:sz w:val="28"/>
          <w:szCs w:val="28"/>
        </w:rPr>
      </w:pPr>
      <w:r>
        <w:rPr>
          <w:rFonts w:hint="eastAsia" w:ascii="宋体" w:hAnsi="宋体" w:cs="宋体"/>
          <w:sz w:val="28"/>
          <w:szCs w:val="28"/>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）我处不接收现金或支付宝等方式交费。各投标人务必通过单位银行基本账户提前将资料费汇至我校以下账号：户名：南京信息工程大学；账号：</w:t>
      </w:r>
      <w:r>
        <w:rPr>
          <w:rFonts w:ascii="宋体" w:hAnsi="宋体" w:cs="宋体"/>
          <w:sz w:val="28"/>
          <w:szCs w:val="28"/>
        </w:rPr>
        <w:t>10115401040000228</w:t>
      </w:r>
      <w:r>
        <w:rPr>
          <w:rFonts w:hint="eastAsia" w:ascii="宋体" w:hAnsi="宋体" w:cs="宋体"/>
          <w:sz w:val="28"/>
          <w:szCs w:val="28"/>
        </w:rPr>
        <w:t>；开户银行：中国农业银行南京盘城支行。请各投标人务必在转账留言栏备注填写</w:t>
      </w:r>
      <w:r>
        <w:rPr>
          <w:rFonts w:hint="eastAsia" w:ascii="宋体" w:hAnsi="宋体" w:cs="宋体"/>
          <w:b/>
          <w:sz w:val="28"/>
          <w:szCs w:val="28"/>
        </w:rPr>
        <w:t>“</w:t>
      </w:r>
      <w:r>
        <w:rPr>
          <w:rFonts w:ascii="宋体" w:hAnsi="宋体" w:cs="宋体"/>
          <w:b/>
          <w:sz w:val="28"/>
          <w:szCs w:val="28"/>
        </w:rPr>
        <w:t>SBC20200</w:t>
      </w:r>
      <w:r>
        <w:rPr>
          <w:rFonts w:hint="eastAsia" w:ascii="宋体" w:hAnsi="宋体" w:cs="宋体"/>
          <w:b/>
          <w:sz w:val="28"/>
          <w:szCs w:val="28"/>
          <w:lang w:val="en-US" w:eastAsia="zh-CN"/>
        </w:rPr>
        <w:t>12</w:t>
      </w:r>
      <w:r>
        <w:rPr>
          <w:rFonts w:hint="eastAsia" w:ascii="宋体" w:hAnsi="宋体" w:cs="宋体"/>
          <w:b/>
          <w:sz w:val="28"/>
          <w:szCs w:val="28"/>
        </w:rPr>
        <w:t>资料费”</w:t>
      </w:r>
      <w:r>
        <w:rPr>
          <w:rFonts w:hint="eastAsia" w:ascii="宋体" w:hAnsi="宋体" w:cs="宋体"/>
          <w:sz w:val="28"/>
          <w:szCs w:val="28"/>
        </w:rPr>
        <w:t>字样，并尽量将投标单位的纳税识别号一并备注在转账留言栏中，若备注不下，请将单位名称和纳税识别号发至</w:t>
      </w:r>
      <w:r>
        <w:rPr>
          <w:rFonts w:ascii="宋体" w:hAnsi="宋体" w:cs="宋体"/>
          <w:sz w:val="28"/>
          <w:szCs w:val="28"/>
        </w:rPr>
        <w:t>2483567991@qq.com</w:t>
      </w:r>
      <w:r>
        <w:rPr>
          <w:rFonts w:hint="eastAsia" w:ascii="宋体" w:hAnsi="宋体" w:cs="宋体"/>
          <w:sz w:val="28"/>
          <w:szCs w:val="28"/>
        </w:rPr>
        <w:t>，以便打印发票和对账。转账回单复印件务必放入《投标文件》中（无此证明，一律作为无效标处理）。</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）招标科定期到财务处财务科对账（时间约半个月），打印出正式发票后，投标人可到招标科认领。外地的投标人可以通知我处代为寄送。</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履约保证金（或投标保证金）：</w:t>
      </w:r>
      <w:r>
        <w:rPr>
          <w:rFonts w:ascii="宋体" w:hAnsi="宋体" w:cs="宋体"/>
          <w:sz w:val="28"/>
          <w:szCs w:val="28"/>
          <w:u w:val="single"/>
        </w:rPr>
        <w:t>5000</w:t>
      </w:r>
      <w:r>
        <w:rPr>
          <w:rFonts w:hint="eastAsia" w:ascii="宋体" w:hAnsi="宋体" w:cs="宋体"/>
          <w:sz w:val="28"/>
          <w:szCs w:val="28"/>
          <w:u w:val="single"/>
        </w:rPr>
        <w:t>元</w:t>
      </w:r>
      <w:r>
        <w:rPr>
          <w:rFonts w:hint="eastAsia" w:ascii="宋体" w:hAnsi="宋体" w:cs="宋体"/>
          <w:sz w:val="28"/>
          <w:szCs w:val="28"/>
        </w:rPr>
        <w:t>整。</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招标科领取中标通知书后再与采购单位签订供货和服务合同。</w:t>
      </w:r>
      <w:r>
        <w:rPr>
          <w:rFonts w:ascii="宋体" w:hAnsi="宋体" w:cs="宋体"/>
          <w:sz w:val="28"/>
          <w:szCs w:val="28"/>
        </w:rPr>
        <w:t>5000</w:t>
      </w:r>
      <w:r>
        <w:rPr>
          <w:rFonts w:hint="eastAsia" w:ascii="宋体" w:hAnsi="宋体" w:cs="宋体"/>
          <w:sz w:val="28"/>
          <w:szCs w:val="28"/>
        </w:rPr>
        <w:t>元履约保证金交款账号同</w:t>
      </w:r>
      <w:r>
        <w:rPr>
          <w:rFonts w:ascii="宋体" w:hAnsi="宋体" w:cs="宋体"/>
          <w:sz w:val="28"/>
          <w:szCs w:val="28"/>
        </w:rPr>
        <w:t>300</w:t>
      </w:r>
      <w:r>
        <w:rPr>
          <w:rFonts w:hint="eastAsia" w:ascii="宋体" w:hAnsi="宋体" w:cs="宋体"/>
          <w:sz w:val="28"/>
          <w:szCs w:val="28"/>
        </w:rPr>
        <w:t>元资料费。</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）履约保证金交退咨询：财务处财务科（体育馆北面，南气宾馆东侧的大学生创业中心</w:t>
      </w:r>
      <w:r>
        <w:rPr>
          <w:rFonts w:ascii="宋体" w:hAnsi="宋体" w:cs="宋体"/>
          <w:sz w:val="28"/>
          <w:szCs w:val="28"/>
        </w:rPr>
        <w:t>3</w:t>
      </w:r>
      <w:r>
        <w:rPr>
          <w:rFonts w:hint="eastAsia" w:ascii="宋体" w:hAnsi="宋体" w:cs="宋体"/>
          <w:sz w:val="28"/>
          <w:szCs w:val="28"/>
        </w:rPr>
        <w:t>号楼二楼财务大厅）。</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）如中标单位有下列情况之一，不予退还履约保证金，我处将其列入招投标诚信“黑名单”，</w:t>
      </w:r>
      <w:r>
        <w:rPr>
          <w:rFonts w:ascii="宋体" w:hAnsi="宋体" w:cs="宋体"/>
          <w:sz w:val="28"/>
          <w:szCs w:val="28"/>
        </w:rPr>
        <w:t>3</w:t>
      </w:r>
      <w:r>
        <w:rPr>
          <w:rFonts w:hint="eastAsia" w:ascii="宋体" w:hAnsi="宋体" w:cs="宋体"/>
          <w:sz w:val="28"/>
          <w:szCs w:val="28"/>
        </w:rPr>
        <w:t>年内不得到我处从事任何投标活动。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widowControl/>
        <w:spacing w:line="360" w:lineRule="auto"/>
        <w:ind w:firstLine="560" w:firstLineChars="200"/>
        <w:textAlignment w:val="center"/>
        <w:rPr>
          <w:rFonts w:ascii="宋体" w:hAnsi="宋体" w:cs="宋体"/>
          <w:sz w:val="28"/>
          <w:szCs w:val="28"/>
        </w:rPr>
      </w:pPr>
      <w:r>
        <w:rPr>
          <w:rFonts w:ascii="宋体" w:hAnsi="宋体" w:cs="宋体"/>
          <w:sz w:val="28"/>
          <w:szCs w:val="28"/>
        </w:rPr>
        <w:t>7.</w:t>
      </w:r>
      <w:r>
        <w:rPr>
          <w:rFonts w:hint="eastAsia" w:ascii="宋体" w:hAnsi="宋体" w:cs="宋体"/>
          <w:sz w:val="28"/>
          <w:szCs w:val="28"/>
        </w:rPr>
        <w:t>质保：参照附件4服务要求</w:t>
      </w:r>
    </w:p>
    <w:p>
      <w:pPr>
        <w:spacing w:beforeLines="100" w:afterLines="100" w:line="360" w:lineRule="auto"/>
        <w:jc w:val="center"/>
        <w:rPr>
          <w:rFonts w:ascii="黑体" w:hAnsi="黑体" w:eastAsia="黑体"/>
          <w:sz w:val="28"/>
          <w:szCs w:val="28"/>
        </w:rPr>
      </w:pPr>
      <w:bookmarkStart w:id="6"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答疑时间：</w:t>
      </w:r>
    </w:p>
    <w:p>
      <w:pPr>
        <w:spacing w:line="360" w:lineRule="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b/>
          <w:sz w:val="28"/>
          <w:szCs w:val="28"/>
          <w:u w:val="single"/>
        </w:rPr>
        <w:t>2020</w:t>
      </w:r>
      <w:r>
        <w:rPr>
          <w:rFonts w:hint="eastAsia" w:ascii="宋体" w:hAnsi="宋体"/>
          <w:b/>
          <w:sz w:val="28"/>
          <w:szCs w:val="28"/>
          <w:u w:val="single"/>
        </w:rPr>
        <w:t>年</w:t>
      </w:r>
      <w:r>
        <w:rPr>
          <w:rFonts w:hint="eastAsia" w:ascii="宋体" w:hAnsi="宋体"/>
          <w:b/>
          <w:sz w:val="28"/>
          <w:szCs w:val="28"/>
          <w:u w:val="single"/>
          <w:lang w:val="en-US" w:eastAsia="zh-CN"/>
        </w:rPr>
        <w:t>5</w:t>
      </w:r>
      <w:r>
        <w:rPr>
          <w:rFonts w:hint="eastAsia" w:ascii="宋体" w:hAnsi="宋体"/>
          <w:b/>
          <w:sz w:val="28"/>
          <w:szCs w:val="28"/>
          <w:u w:val="single"/>
        </w:rPr>
        <w:t>月</w:t>
      </w:r>
      <w:r>
        <w:rPr>
          <w:rFonts w:hint="eastAsia" w:ascii="宋体" w:hAnsi="宋体"/>
          <w:b/>
          <w:sz w:val="28"/>
          <w:szCs w:val="28"/>
          <w:u w:val="single"/>
          <w:lang w:val="en-US" w:eastAsia="zh-CN"/>
        </w:rPr>
        <w:t>9</w:t>
      </w:r>
      <w:r>
        <w:rPr>
          <w:rFonts w:hint="eastAsia" w:ascii="宋体" w:hAnsi="宋体"/>
          <w:b/>
          <w:sz w:val="28"/>
          <w:szCs w:val="28"/>
          <w:u w:val="single"/>
        </w:rPr>
        <w:t>日</w:t>
      </w:r>
      <w:r>
        <w:rPr>
          <w:rFonts w:ascii="宋体" w:hAnsi="宋体"/>
          <w:b/>
          <w:sz w:val="28"/>
          <w:szCs w:val="28"/>
          <w:u w:val="single"/>
        </w:rPr>
        <w:t>11</w:t>
      </w:r>
      <w:r>
        <w:rPr>
          <w:rFonts w:hint="eastAsia" w:ascii="宋体" w:hAnsi="宋体"/>
          <w:b/>
          <w:sz w:val="28"/>
          <w:szCs w:val="28"/>
          <w:u w:val="single"/>
        </w:rPr>
        <w:t>：</w:t>
      </w:r>
      <w:r>
        <w:rPr>
          <w:rFonts w:ascii="宋体" w:hAnsi="宋体"/>
          <w:b/>
          <w:sz w:val="28"/>
          <w:szCs w:val="28"/>
          <w:u w:val="single"/>
        </w:rPr>
        <w:t>3</w:t>
      </w:r>
      <w:r>
        <w:fldChar w:fldCharType="begin"/>
      </w:r>
      <w:r>
        <w:instrText xml:space="preserve"> HYPERLINK "mailto:30前将问题一律以word格式或txt格式发至89523765@qq.com" </w:instrText>
      </w:r>
      <w:r>
        <w:fldChar w:fldCharType="separate"/>
      </w:r>
      <w:r>
        <w:rPr>
          <w:rFonts w:ascii="宋体"/>
          <w:b/>
          <w:sz w:val="28"/>
          <w:szCs w:val="28"/>
          <w:u w:val="single"/>
        </w:rPr>
        <w:t>0</w:t>
      </w:r>
      <w:r>
        <w:rPr>
          <w:rFonts w:hint="eastAsia" w:ascii="宋体" w:hAnsi="宋体"/>
          <w:sz w:val="28"/>
          <w:szCs w:val="28"/>
        </w:rPr>
        <w:t>前将问题以</w:t>
      </w:r>
      <w:r>
        <w:rPr>
          <w:rFonts w:ascii="宋体" w:hAnsi="宋体"/>
          <w:sz w:val="28"/>
          <w:szCs w:val="28"/>
        </w:rPr>
        <w:t>word</w:t>
      </w:r>
      <w:r>
        <w:rPr>
          <w:rFonts w:hint="eastAsia" w:ascii="宋体" w:hAnsi="宋体"/>
          <w:sz w:val="28"/>
          <w:szCs w:val="28"/>
        </w:rPr>
        <w:t>格式或</w:t>
      </w:r>
      <w:r>
        <w:rPr>
          <w:rFonts w:ascii="宋体" w:hAnsi="宋体"/>
          <w:sz w:val="28"/>
          <w:szCs w:val="28"/>
        </w:rPr>
        <w:t>txt</w:t>
      </w:r>
      <w:r>
        <w:rPr>
          <w:rFonts w:hint="eastAsia" w:ascii="宋体" w:hAnsi="宋体"/>
          <w:sz w:val="28"/>
          <w:szCs w:val="28"/>
        </w:rPr>
        <w:t>格式发至</w:t>
      </w:r>
      <w:r>
        <w:rPr>
          <w:rFonts w:ascii="宋体" w:hAnsi="宋体"/>
          <w:sz w:val="28"/>
          <w:szCs w:val="28"/>
        </w:rPr>
        <w:t>2483567991@qq.com</w:t>
      </w:r>
      <w:r>
        <w:rPr>
          <w:rFonts w:ascii="宋体" w:hAnsi="宋体"/>
          <w:sz w:val="28"/>
          <w:szCs w:val="28"/>
        </w:rPr>
        <w:fldChar w:fldCharType="end"/>
      </w:r>
      <w:r>
        <w:rPr>
          <w:rFonts w:hint="eastAsia" w:ascii="宋体" w:hAnsi="宋体"/>
          <w:sz w:val="28"/>
          <w:szCs w:val="28"/>
        </w:rPr>
        <w:t>（因财务处招标科人手少，为减少所提问题的文字二次输入工作量，质疑函请勿以</w:t>
      </w:r>
      <w:r>
        <w:rPr>
          <w:rFonts w:ascii="宋体" w:hAnsi="宋体"/>
          <w:sz w:val="28"/>
          <w:szCs w:val="28"/>
        </w:rPr>
        <w:t>JPG</w:t>
      </w:r>
      <w:r>
        <w:rPr>
          <w:rFonts w:hint="eastAsia" w:ascii="宋体" w:hAnsi="宋体"/>
          <w:sz w:val="28"/>
          <w:szCs w:val="28"/>
        </w:rPr>
        <w:t>或</w:t>
      </w:r>
      <w:r>
        <w:rPr>
          <w:rFonts w:ascii="宋体" w:hAnsi="宋体"/>
          <w:sz w:val="28"/>
          <w:szCs w:val="28"/>
        </w:rPr>
        <w:t>PDF</w:t>
      </w:r>
      <w:r>
        <w:rPr>
          <w:rFonts w:hint="eastAsia" w:ascii="宋体" w:hAnsi="宋体"/>
          <w:sz w:val="28"/>
          <w:szCs w:val="28"/>
        </w:rPr>
        <w:t>格式，对</w:t>
      </w:r>
      <w:r>
        <w:rPr>
          <w:rFonts w:ascii="宋体" w:hAnsi="宋体"/>
          <w:sz w:val="28"/>
          <w:szCs w:val="28"/>
        </w:rPr>
        <w:t>JPG</w:t>
      </w:r>
      <w:r>
        <w:rPr>
          <w:rFonts w:hint="eastAsia" w:ascii="宋体" w:hAnsi="宋体"/>
          <w:sz w:val="28"/>
          <w:szCs w:val="28"/>
        </w:rPr>
        <w:t>和</w:t>
      </w:r>
      <w:r>
        <w:rPr>
          <w:rFonts w:ascii="宋体" w:hAnsi="宋体"/>
          <w:sz w:val="28"/>
          <w:szCs w:val="28"/>
        </w:rPr>
        <w:t>PDF</w:t>
      </w:r>
      <w:r>
        <w:rPr>
          <w:rFonts w:hint="eastAsia" w:ascii="宋体" w:hAnsi="宋体"/>
          <w:sz w:val="28"/>
          <w:szCs w:val="28"/>
        </w:rPr>
        <w:t>格式的附件一律删除，不予采纳，敬请谅解）。</w:t>
      </w:r>
    </w:p>
    <w:p>
      <w:pPr>
        <w:spacing w:line="360" w:lineRule="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）我校项目归口管理部门将通过财务处招标科向各投标人统一进行书面（或电子版）答疑回复。</w:t>
      </w:r>
    </w:p>
    <w:p>
      <w:pPr>
        <w:widowControl/>
        <w:snapToGrid w:val="0"/>
        <w:spacing w:line="360" w:lineRule="auto"/>
        <w:ind w:firstLine="548" w:firstLineChars="196"/>
        <w:rPr>
          <w:rFonts w:ascii="黑体" w:hAnsi="黑体" w:eastAsia="黑体"/>
          <w:i/>
          <w:sz w:val="28"/>
          <w:szCs w:val="28"/>
        </w:rPr>
      </w:pPr>
      <w:r>
        <w:rPr>
          <w:rFonts w:hint="eastAsia" w:ascii="宋体" w:hAnsi="宋体"/>
          <w:sz w:val="28"/>
          <w:szCs w:val="28"/>
        </w:rPr>
        <w:t>4.投标文件</w:t>
      </w:r>
    </w:p>
    <w:p>
      <w:pPr>
        <w:widowControl/>
        <w:spacing w:line="360" w:lineRule="auto"/>
        <w:ind w:firstLine="560" w:firstLineChars="200"/>
        <w:rPr>
          <w:rFonts w:ascii="宋体" w:hAnsi="宋体"/>
          <w:sz w:val="28"/>
          <w:szCs w:val="28"/>
        </w:rPr>
      </w:pPr>
      <w:r>
        <w:rPr>
          <w:rFonts w:hint="eastAsia" w:ascii="宋体" w:hAnsi="宋体"/>
          <w:sz w:val="28"/>
          <w:szCs w:val="28"/>
        </w:rPr>
        <w:t>（1）投标送达方式：</w:t>
      </w:r>
      <w:r>
        <w:rPr>
          <w:rFonts w:hint="eastAsia" w:ascii="宋体" w:hAnsi="宋体"/>
          <w:b/>
          <w:sz w:val="28"/>
          <w:szCs w:val="28"/>
        </w:rPr>
        <w:t>只接受以邮寄方式送达，并请务必用顺丰快递</w:t>
      </w:r>
      <w:r>
        <w:rPr>
          <w:rFonts w:hint="eastAsia" w:ascii="宋体" w:hAnsi="宋体"/>
          <w:sz w:val="28"/>
          <w:szCs w:val="28"/>
        </w:rPr>
        <w:t>，邮寄材料务必于投标截止时间前送达我处，请各投标单位自行安排邮寄时间，投标截止时间后，招标人不受理任何投标文件。（友情提醒：疫情期间快递耗时可能比平时长，请各投标单位予以充分考虑）。</w:t>
      </w:r>
      <w:r>
        <w:rPr>
          <w:rFonts w:hint="eastAsia" w:ascii="宋体" w:hAnsi="宋体"/>
          <w:b/>
          <w:sz w:val="28"/>
          <w:szCs w:val="28"/>
        </w:rPr>
        <w:t>（若后期有调整，将会将调整信息发送到各投标单位报名邮箱，请各投标单位在投标前密切关注报名邮箱）</w:t>
      </w:r>
    </w:p>
    <w:p>
      <w:pPr>
        <w:widowControl/>
        <w:spacing w:line="360" w:lineRule="auto"/>
        <w:ind w:firstLine="560" w:firstLineChars="200"/>
        <w:rPr>
          <w:rFonts w:ascii="宋体" w:hAnsi="宋体"/>
          <w:sz w:val="28"/>
          <w:szCs w:val="28"/>
        </w:rPr>
      </w:pPr>
      <w:r>
        <w:rPr>
          <w:rFonts w:hint="eastAsia" w:ascii="宋体" w:hAnsi="宋体"/>
          <w:sz w:val="28"/>
          <w:szCs w:val="28"/>
        </w:rPr>
        <w:t>（2）投标截止时间：2020年5月</w:t>
      </w:r>
      <w:r>
        <w:rPr>
          <w:rFonts w:hint="eastAsia" w:ascii="宋体" w:hAnsi="宋体"/>
          <w:sz w:val="28"/>
          <w:szCs w:val="28"/>
          <w:lang w:val="en-US" w:eastAsia="zh-CN"/>
        </w:rPr>
        <w:t>21</w:t>
      </w:r>
      <w:r>
        <w:rPr>
          <w:rFonts w:hint="eastAsia" w:ascii="宋体" w:hAnsi="宋体"/>
          <w:sz w:val="28"/>
          <w:szCs w:val="28"/>
        </w:rPr>
        <w:t>日09：00。</w:t>
      </w:r>
      <w:bookmarkStart w:id="7" w:name="_Hlk32349437"/>
    </w:p>
    <w:bookmarkEnd w:id="7"/>
    <w:p>
      <w:pPr>
        <w:widowControl/>
        <w:adjustRightInd w:val="0"/>
        <w:snapToGrid w:val="0"/>
        <w:spacing w:line="360" w:lineRule="auto"/>
        <w:ind w:firstLine="560" w:firstLineChars="200"/>
        <w:rPr>
          <w:rFonts w:ascii="宋体" w:hAnsi="宋体"/>
          <w:sz w:val="28"/>
          <w:szCs w:val="28"/>
        </w:rPr>
      </w:pPr>
      <w:r>
        <w:rPr>
          <w:rFonts w:hint="eastAsia" w:ascii="宋体" w:hAnsi="宋体"/>
          <w:sz w:val="28"/>
          <w:szCs w:val="28"/>
        </w:rPr>
        <w:t>（3）邮寄送达地点：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财务处招标科。联系人：马老师、罗老师、方老师；联系电话：025-58731441。</w:t>
      </w:r>
    </w:p>
    <w:p>
      <w:pPr>
        <w:snapToGrid w:val="0"/>
        <w:spacing w:line="360" w:lineRule="auto"/>
        <w:ind w:firstLine="560" w:firstLineChars="200"/>
        <w:rPr>
          <w:rFonts w:ascii="宋体" w:hAnsi="宋体"/>
          <w:sz w:val="28"/>
          <w:szCs w:val="28"/>
        </w:rPr>
      </w:pPr>
      <w:r>
        <w:rPr>
          <w:rFonts w:hint="eastAsia" w:ascii="宋体" w:hAnsi="宋体"/>
          <w:sz w:val="28"/>
          <w:szCs w:val="28"/>
        </w:rPr>
        <w:t>5.开标、唱标和评标</w:t>
      </w:r>
    </w:p>
    <w:p>
      <w:pPr>
        <w:widowControl/>
        <w:spacing w:line="360" w:lineRule="auto"/>
        <w:ind w:firstLine="560" w:firstLineChars="200"/>
        <w:rPr>
          <w:rFonts w:ascii="宋体" w:hAnsi="宋体"/>
          <w:sz w:val="28"/>
          <w:szCs w:val="28"/>
        </w:rPr>
      </w:pPr>
      <w:r>
        <w:rPr>
          <w:rFonts w:hint="eastAsia" w:ascii="宋体" w:hAnsi="宋体"/>
          <w:sz w:val="28"/>
          <w:szCs w:val="28"/>
        </w:rPr>
        <w:t>（1）开标、唱标：2020年5月</w:t>
      </w:r>
      <w:r>
        <w:rPr>
          <w:rFonts w:hint="eastAsia" w:ascii="宋体" w:hAnsi="宋体"/>
          <w:sz w:val="28"/>
          <w:szCs w:val="28"/>
          <w:lang w:val="en-US" w:eastAsia="zh-CN"/>
        </w:rPr>
        <w:t>21</w:t>
      </w:r>
      <w:r>
        <w:rPr>
          <w:rFonts w:hint="eastAsia" w:ascii="宋体" w:hAnsi="宋体"/>
          <w:sz w:val="28"/>
          <w:szCs w:val="28"/>
        </w:rPr>
        <w:t>日09：</w:t>
      </w:r>
      <w:r>
        <w:rPr>
          <w:rFonts w:hint="eastAsia" w:ascii="宋体" w:hAnsi="宋体"/>
          <w:sz w:val="28"/>
          <w:szCs w:val="28"/>
          <w:lang w:val="en-US" w:eastAsia="zh-CN"/>
        </w:rPr>
        <w:t>0</w:t>
      </w:r>
      <w:r>
        <w:rPr>
          <w:rFonts w:hint="eastAsia" w:ascii="宋体" w:hAnsi="宋体"/>
          <w:sz w:val="28"/>
          <w:szCs w:val="28"/>
        </w:rPr>
        <w:t>0；(不安排公开开标、唱标，由财务处招标科工作人员在我校纪委办监督见证下进行，开标、唱标工作全程视频监控并录像)。</w:t>
      </w:r>
    </w:p>
    <w:p>
      <w:pPr>
        <w:snapToGrid w:val="0"/>
        <w:spacing w:line="360" w:lineRule="auto"/>
        <w:ind w:firstLine="560" w:firstLineChars="200"/>
        <w:rPr>
          <w:rFonts w:ascii="宋体" w:hAnsi="宋体"/>
          <w:sz w:val="28"/>
          <w:szCs w:val="28"/>
        </w:rPr>
      </w:pPr>
      <w:r>
        <w:rPr>
          <w:rFonts w:hint="eastAsia" w:ascii="宋体" w:hAnsi="宋体"/>
          <w:sz w:val="28"/>
          <w:szCs w:val="28"/>
        </w:rPr>
        <w:t>（2）唱标和开标地点：南京信息工程大学东苑大学生创业中心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6.相关单位联系人及电话</w:t>
      </w:r>
    </w:p>
    <w:p>
      <w:pPr>
        <w:snapToGrid w:val="0"/>
        <w:spacing w:line="360" w:lineRule="auto"/>
        <w:ind w:firstLine="425" w:firstLineChars="152"/>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）财务处招标科（招投标管理业务单位）：联系电话：</w:t>
      </w:r>
      <w:r>
        <w:rPr>
          <w:rFonts w:ascii="宋体" w:hAnsi="宋体"/>
          <w:sz w:val="28"/>
          <w:szCs w:val="28"/>
        </w:rPr>
        <w:t>025-58731441</w:t>
      </w:r>
      <w:r>
        <w:rPr>
          <w:rFonts w:hint="eastAsia" w:ascii="宋体" w:hAnsi="宋体"/>
          <w:sz w:val="28"/>
          <w:szCs w:val="28"/>
        </w:rPr>
        <w:t>，联系人：马老师、罗老师、方老师；</w:t>
      </w:r>
    </w:p>
    <w:p>
      <w:pPr>
        <w:snapToGrid w:val="0"/>
        <w:spacing w:line="360" w:lineRule="auto"/>
        <w:ind w:firstLine="425" w:firstLineChars="152"/>
        <w:rPr>
          <w:rFonts w:ascii="宋体" w:hAnsi="宋体"/>
          <w:sz w:val="28"/>
          <w:szCs w:val="28"/>
        </w:rPr>
      </w:pPr>
      <w:r>
        <w:rPr>
          <w:rFonts w:hint="eastAsia" w:ascii="宋体" w:hAnsi="宋体"/>
          <w:sz w:val="28"/>
          <w:szCs w:val="28"/>
        </w:rPr>
        <w:t>（2）</w:t>
      </w:r>
      <w:bookmarkEnd w:id="6"/>
      <w:r>
        <w:rPr>
          <w:rFonts w:hint="eastAsia" w:ascii="宋体" w:hAnsi="宋体"/>
          <w:sz w:val="28"/>
          <w:szCs w:val="28"/>
        </w:rPr>
        <w:t>用户单位联系电话：</w:t>
      </w:r>
      <w:r>
        <w:rPr>
          <w:rFonts w:hint="eastAsia" w:ascii="宋体" w:hAnsi="宋体"/>
          <w:sz w:val="28"/>
          <w:szCs w:val="28"/>
          <w:lang w:val="en-US" w:eastAsia="zh-CN"/>
        </w:rPr>
        <w:t>15851891106</w:t>
      </w:r>
      <w:r>
        <w:rPr>
          <w:rFonts w:hint="eastAsia" w:ascii="宋体" w:hAnsi="宋体"/>
          <w:sz w:val="28"/>
          <w:szCs w:val="28"/>
        </w:rPr>
        <w:t>，联系人：</w:t>
      </w:r>
      <w:r>
        <w:rPr>
          <w:rFonts w:hint="eastAsia" w:ascii="宋体" w:hAnsi="宋体"/>
          <w:sz w:val="28"/>
          <w:szCs w:val="28"/>
          <w:lang w:val="en-US" w:eastAsia="zh-CN"/>
        </w:rPr>
        <w:t>刘</w:t>
      </w:r>
      <w:r>
        <w:rPr>
          <w:rFonts w:hint="eastAsia" w:ascii="宋体" w:hAnsi="宋体"/>
          <w:sz w:val="28"/>
          <w:szCs w:val="28"/>
        </w:rPr>
        <w:t>老师。</w:t>
      </w:r>
    </w:p>
    <w:p>
      <w:pPr>
        <w:pStyle w:val="2"/>
        <w:ind w:left="0" w:leftChars="0" w:right="0" w:rightChars="0"/>
        <w:rPr>
          <w:rFonts w:ascii="宋体" w:hAnsi="宋体"/>
          <w:sz w:val="28"/>
          <w:szCs w:val="28"/>
        </w:rPr>
      </w:pPr>
    </w:p>
    <w:p>
      <w:pPr>
        <w:tabs>
          <w:tab w:val="left" w:pos="1260"/>
        </w:tabs>
        <w:spacing w:line="360" w:lineRule="auto"/>
        <w:ind w:left="1959" w:leftChars="933" w:firstLine="2530" w:firstLineChars="900"/>
        <w:rPr>
          <w:rFonts w:ascii="宋体"/>
          <w:b/>
          <w:sz w:val="28"/>
          <w:szCs w:val="28"/>
        </w:rPr>
      </w:pPr>
      <w:bookmarkStart w:id="8" w:name="_Hlk9866962"/>
      <w:r>
        <w:rPr>
          <w:rFonts w:hint="eastAsia" w:ascii="宋体" w:hAnsi="宋体"/>
          <w:b/>
          <w:sz w:val="28"/>
          <w:szCs w:val="28"/>
        </w:rPr>
        <w:t>南京信息工程大学财务处</w:t>
      </w:r>
    </w:p>
    <w:p>
      <w:pPr>
        <w:pStyle w:val="9"/>
        <w:spacing w:line="360" w:lineRule="auto"/>
        <w:ind w:left="99" w:leftChars="47" w:firstLine="4919" w:firstLineChars="1750"/>
        <w:rPr>
          <w:rStyle w:val="38"/>
          <w:rFonts w:ascii="宋体" w:hAnsi="Times New Roman" w:eastAsia="宋体"/>
          <w:sz w:val="28"/>
          <w:szCs w:val="28"/>
        </w:rPr>
      </w:pPr>
      <w:r>
        <w:rPr>
          <w:rStyle w:val="38"/>
          <w:rFonts w:ascii="宋体" w:hAnsi="宋体" w:eastAsia="宋体"/>
          <w:sz w:val="28"/>
          <w:szCs w:val="28"/>
        </w:rPr>
        <w:t>20</w:t>
      </w:r>
      <w:r>
        <w:rPr>
          <w:rStyle w:val="38"/>
          <w:rFonts w:hint="eastAsia" w:ascii="宋体" w:hAnsi="宋体" w:eastAsia="宋体"/>
          <w:sz w:val="28"/>
          <w:szCs w:val="28"/>
        </w:rPr>
        <w:t>20年</w:t>
      </w:r>
      <w:r>
        <w:rPr>
          <w:rStyle w:val="38"/>
          <w:rFonts w:hint="eastAsia" w:ascii="宋体" w:hAnsi="宋体"/>
          <w:sz w:val="28"/>
          <w:szCs w:val="28"/>
          <w:lang w:val="en-US"/>
        </w:rPr>
        <w:t>4</w:t>
      </w:r>
      <w:r>
        <w:rPr>
          <w:rStyle w:val="38"/>
          <w:rFonts w:hint="eastAsia" w:ascii="宋体" w:hAnsi="宋体" w:eastAsia="宋体"/>
          <w:sz w:val="28"/>
          <w:szCs w:val="28"/>
        </w:rPr>
        <w:t>月</w:t>
      </w:r>
      <w:r>
        <w:rPr>
          <w:rStyle w:val="38"/>
          <w:rFonts w:hint="eastAsia" w:ascii="宋体" w:hAnsi="宋体"/>
          <w:sz w:val="28"/>
          <w:szCs w:val="28"/>
          <w:lang w:val="en-US"/>
        </w:rPr>
        <w:t>30</w:t>
      </w:r>
      <w:r>
        <w:rPr>
          <w:rStyle w:val="38"/>
          <w:rFonts w:hint="eastAsia" w:ascii="宋体" w:hAnsi="宋体" w:eastAsia="宋体"/>
          <w:sz w:val="28"/>
          <w:szCs w:val="28"/>
        </w:rPr>
        <w:t>日</w:t>
      </w:r>
    </w:p>
    <w:bookmarkEnd w:id="8"/>
    <w:p>
      <w:pPr>
        <w:pStyle w:val="8"/>
        <w:adjustRightInd w:val="0"/>
        <w:snapToGrid w:val="0"/>
        <w:spacing w:before="120" w:after="120" w:line="360" w:lineRule="auto"/>
        <w:rPr>
          <w:rFonts w:ascii="Times New Roman" w:hAnsi="Times New Roman"/>
          <w:sz w:val="24"/>
          <w:szCs w:val="24"/>
        </w:rPr>
      </w:pPr>
      <w:r>
        <w:rPr>
          <w:rStyle w:val="38"/>
          <w:rFonts w:ascii="宋体" w:hAnsi="Times New Roman" w:eastAsia="宋体"/>
          <w:b w:val="0"/>
          <w:sz w:val="28"/>
          <w:szCs w:val="28"/>
        </w:rPr>
        <w:br w:type="page"/>
      </w:r>
      <w:bookmarkStart w:id="9" w:name="_Toc462564147"/>
      <w:r>
        <w:rPr>
          <w:rFonts w:ascii="Times New Roman" w:hAnsi="Times New Roman"/>
          <w:sz w:val="24"/>
          <w:szCs w:val="24"/>
        </w:rPr>
        <w:t>附件1：</w:t>
      </w:r>
    </w:p>
    <w:p>
      <w:pPr>
        <w:spacing w:line="360" w:lineRule="auto"/>
        <w:ind w:left="180"/>
        <w:jc w:val="center"/>
        <w:rPr>
          <w:rFonts w:hint="eastAsia" w:hAnsi="宋体"/>
          <w:b/>
          <w:sz w:val="28"/>
          <w:szCs w:val="28"/>
        </w:rPr>
      </w:pPr>
      <w:r>
        <w:rPr>
          <w:rFonts w:hint="eastAsia" w:hAnsi="宋体"/>
          <w:b/>
          <w:sz w:val="28"/>
          <w:szCs w:val="28"/>
        </w:rPr>
        <w:t>招标项目设备名称、数量、主要技术要求及其他要求</w:t>
      </w:r>
    </w:p>
    <w:tbl>
      <w:tblPr>
        <w:tblStyle w:val="15"/>
        <w:tblW w:w="8790" w:type="dxa"/>
        <w:tblInd w:w="157" w:type="dxa"/>
        <w:tblLayout w:type="fixed"/>
        <w:tblCellMar>
          <w:top w:w="15" w:type="dxa"/>
          <w:left w:w="15" w:type="dxa"/>
          <w:bottom w:w="15" w:type="dxa"/>
          <w:right w:w="15" w:type="dxa"/>
        </w:tblCellMar>
      </w:tblPr>
      <w:tblGrid>
        <w:gridCol w:w="708"/>
        <w:gridCol w:w="1848"/>
        <w:gridCol w:w="1262"/>
        <w:gridCol w:w="1262"/>
        <w:gridCol w:w="721"/>
        <w:gridCol w:w="2989"/>
      </w:tblGrid>
      <w:tr>
        <w:tblPrEx>
          <w:tblCellMar>
            <w:top w:w="15" w:type="dxa"/>
            <w:left w:w="15" w:type="dxa"/>
            <w:bottom w:w="15" w:type="dxa"/>
            <w:right w:w="15" w:type="dxa"/>
          </w:tblCellMar>
        </w:tblPrEx>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分包</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仪器设备名称</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参考型号</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单位</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数量</w:t>
            </w:r>
          </w:p>
        </w:tc>
        <w:tc>
          <w:tcPr>
            <w:tcW w:w="2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主要配置或技术参数</w:t>
            </w:r>
          </w:p>
        </w:tc>
      </w:tr>
      <w:tr>
        <w:tblPrEx>
          <w:tblCellMar>
            <w:top w:w="15" w:type="dxa"/>
            <w:left w:w="15" w:type="dxa"/>
            <w:bottom w:w="15" w:type="dxa"/>
            <w:right w:w="15" w:type="dxa"/>
          </w:tblCellMar>
        </w:tblPrEx>
        <w:tc>
          <w:tcPr>
            <w:tcW w:w="70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1</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rPr>
            </w:pPr>
            <w:r>
              <w:rPr>
                <w:rFonts w:hint="eastAsia" w:ascii="宋体" w:hAnsi="宋体" w:cs="宋体"/>
                <w:sz w:val="24"/>
              </w:rPr>
              <w:t>服务器</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4"/>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rPr>
            </w:pPr>
            <w:r>
              <w:rPr>
                <w:rFonts w:hint="eastAsia" w:ascii="宋体" w:hAnsi="宋体" w:cs="宋体"/>
                <w:sz w:val="24"/>
              </w:rPr>
              <w:t>台</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rPr>
            </w:pPr>
            <w:r>
              <w:rPr>
                <w:rFonts w:hint="eastAsia" w:ascii="宋体" w:hAnsi="宋体" w:cs="宋体"/>
                <w:kern w:val="0"/>
                <w:sz w:val="24"/>
              </w:rPr>
              <w:t>1</w:t>
            </w:r>
          </w:p>
        </w:tc>
        <w:tc>
          <w:tcPr>
            <w:tcW w:w="298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4"/>
              </w:rPr>
            </w:pPr>
            <w:r>
              <w:rPr>
                <w:rFonts w:hint="eastAsia" w:ascii="宋体" w:hAnsi="宋体" w:cs="宋体"/>
                <w:sz w:val="24"/>
              </w:rPr>
              <w:t>详见表后内容</w:t>
            </w:r>
          </w:p>
        </w:tc>
      </w:tr>
      <w:tr>
        <w:tblPrEx>
          <w:tblCellMar>
            <w:top w:w="15" w:type="dxa"/>
            <w:left w:w="15" w:type="dxa"/>
            <w:bottom w:w="15" w:type="dxa"/>
            <w:right w:w="15" w:type="dxa"/>
          </w:tblCellMar>
        </w:tblPrEx>
        <w:tc>
          <w:tcPr>
            <w:tcW w:w="708"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rPr>
            </w:pPr>
            <w:r>
              <w:rPr>
                <w:rFonts w:hint="eastAsia" w:ascii="宋体" w:hAnsi="宋体" w:cs="宋体"/>
                <w:sz w:val="24"/>
              </w:rPr>
              <w:t>存储</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4"/>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rPr>
            </w:pPr>
            <w:r>
              <w:rPr>
                <w:rFonts w:hint="eastAsia" w:ascii="宋体" w:hAnsi="宋体" w:cs="宋体"/>
                <w:sz w:val="24"/>
              </w:rPr>
              <w:t>台</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1</w:t>
            </w:r>
          </w:p>
        </w:tc>
        <w:tc>
          <w:tcPr>
            <w:tcW w:w="298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4"/>
              </w:rPr>
            </w:pPr>
            <w:r>
              <w:rPr>
                <w:rFonts w:hint="eastAsia" w:ascii="宋体" w:hAnsi="宋体" w:cs="宋体"/>
                <w:sz w:val="24"/>
              </w:rPr>
              <w:t>详见表后内容</w:t>
            </w:r>
          </w:p>
        </w:tc>
      </w:tr>
      <w:tr>
        <w:tblPrEx>
          <w:tblCellMar>
            <w:top w:w="15" w:type="dxa"/>
            <w:left w:w="15" w:type="dxa"/>
            <w:bottom w:w="15" w:type="dxa"/>
            <w:right w:w="15" w:type="dxa"/>
          </w:tblCellMar>
        </w:tblPrEx>
        <w:tc>
          <w:tcPr>
            <w:tcW w:w="708"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rPr>
            </w:pPr>
            <w:r>
              <w:rPr>
                <w:rFonts w:hint="eastAsia" w:ascii="宋体" w:hAnsi="宋体" w:cs="宋体"/>
                <w:sz w:val="24"/>
              </w:rPr>
              <w:t>配件</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4"/>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rPr>
            </w:pPr>
            <w:r>
              <w:rPr>
                <w:rFonts w:hint="eastAsia" w:ascii="宋体" w:hAnsi="宋体" w:cs="宋体"/>
                <w:sz w:val="24"/>
              </w:rPr>
              <w:t>批</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1</w:t>
            </w:r>
          </w:p>
        </w:tc>
        <w:tc>
          <w:tcPr>
            <w:tcW w:w="298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4"/>
              </w:rPr>
            </w:pPr>
            <w:r>
              <w:rPr>
                <w:rFonts w:hint="eastAsia" w:ascii="宋体" w:hAnsi="宋体" w:cs="宋体"/>
                <w:sz w:val="24"/>
              </w:rPr>
              <w:t>详见表后内容</w:t>
            </w:r>
          </w:p>
        </w:tc>
      </w:tr>
    </w:tbl>
    <w:p>
      <w:pPr>
        <w:rPr>
          <w:rFonts w:hint="eastAsia"/>
          <w:b/>
        </w:rPr>
      </w:pPr>
      <w:r>
        <w:rPr>
          <w:rFonts w:hint="eastAsia"/>
          <w:b/>
        </w:rPr>
        <w:t>以上所有设备要求免费质保期三年。</w:t>
      </w:r>
    </w:p>
    <w:p>
      <w:pPr>
        <w:rPr>
          <w:rFonts w:hint="eastAsia"/>
          <w:b/>
        </w:rPr>
      </w:pPr>
    </w:p>
    <w:p>
      <w:pPr>
        <w:rPr>
          <w:b/>
        </w:rPr>
      </w:pPr>
      <w:r>
        <w:rPr>
          <w:rFonts w:hint="eastAsia" w:ascii="宋体" w:hAnsi="宋体" w:cs="宋体"/>
          <w:b/>
          <w:color w:val="000000"/>
          <w:kern w:val="0"/>
          <w:sz w:val="24"/>
        </w:rPr>
        <w:t>主要配置或技术参数</w:t>
      </w:r>
      <w:r>
        <w:rPr>
          <w:rFonts w:hint="eastAsia"/>
          <w:b/>
        </w:rPr>
        <w:t>：（标注“</w:t>
      </w:r>
      <w:r>
        <w:rPr>
          <w:rFonts w:hint="eastAsia" w:ascii="宋体" w:hAnsi="宋体" w:cs="宋体"/>
          <w:color w:val="000000"/>
          <w:kern w:val="0"/>
          <w:sz w:val="20"/>
          <w:szCs w:val="20"/>
        </w:rPr>
        <w:t>★</w:t>
      </w:r>
      <w:r>
        <w:rPr>
          <w:rFonts w:hint="eastAsia"/>
          <w:b/>
        </w:rPr>
        <w:t>”指标为必须满足项，不满足按废标处理。）</w:t>
      </w:r>
    </w:p>
    <w:p>
      <w:pPr>
        <w:numPr>
          <w:ilvl w:val="0"/>
          <w:numId w:val="1"/>
        </w:numPr>
        <w:snapToGrid w:val="0"/>
        <w:spacing w:before="120" w:beforeLines="50"/>
        <w:rPr>
          <w:b/>
          <w:sz w:val="24"/>
        </w:rPr>
      </w:pPr>
      <w:r>
        <w:rPr>
          <w:rFonts w:hint="eastAsia"/>
          <w:b/>
          <w:sz w:val="24"/>
        </w:rPr>
        <w:t>服务器</w:t>
      </w:r>
    </w:p>
    <w:tbl>
      <w:tblPr>
        <w:tblStyle w:val="15"/>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shd w:val="clear" w:color="auto" w:fill="auto"/>
            <w:noWrap w:val="0"/>
            <w:vAlign w:val="center"/>
          </w:tcPr>
          <w:p>
            <w:pPr>
              <w:pStyle w:val="46"/>
              <w:ind w:firstLine="0" w:firstLineChars="0"/>
              <w:jc w:val="both"/>
              <w:rPr>
                <w:bCs/>
                <w:sz w:val="21"/>
                <w:szCs w:val="21"/>
              </w:rPr>
            </w:pPr>
            <w:r>
              <w:rPr>
                <w:rFonts w:hint="eastAsia"/>
                <w:bCs/>
                <w:sz w:val="21"/>
                <w:szCs w:val="21"/>
              </w:rPr>
              <w:t>技术指标</w:t>
            </w:r>
          </w:p>
        </w:tc>
        <w:tc>
          <w:tcPr>
            <w:tcW w:w="6946" w:type="dxa"/>
            <w:shd w:val="clear" w:color="auto" w:fill="auto"/>
            <w:noWrap w:val="0"/>
            <w:vAlign w:val="top"/>
          </w:tcPr>
          <w:p>
            <w:pPr>
              <w:pStyle w:val="46"/>
              <w:ind w:left="360"/>
              <w:rPr>
                <w:bCs/>
                <w:sz w:val="21"/>
                <w:szCs w:val="21"/>
              </w:rPr>
            </w:pPr>
            <w:r>
              <w:rPr>
                <w:rFonts w:hint="eastAsia"/>
                <w:bCs/>
                <w:sz w:val="21"/>
                <w:szCs w:val="21"/>
              </w:rPr>
              <w:t>招标参数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ign w:val="center"/>
          </w:tcPr>
          <w:p>
            <w:pPr>
              <w:rPr>
                <w:bCs/>
                <w:szCs w:val="21"/>
              </w:rPr>
            </w:pPr>
            <w:r>
              <w:rPr>
                <w:rFonts w:hint="eastAsia"/>
                <w:bCs/>
                <w:szCs w:val="21"/>
              </w:rPr>
              <w:t>形态</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机架式服务器，非刀片或高密度服务器产品，高度不超过4U，机箱长不超过800mm，CPU主板与GPU主板分离式设计，支持CPU主板和GPU主板独立升级。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ign w:val="center"/>
          </w:tcPr>
          <w:p>
            <w:pPr>
              <w:rPr>
                <w:bCs/>
                <w:szCs w:val="21"/>
              </w:rPr>
            </w:pPr>
            <w:r>
              <w:rPr>
                <w:rFonts w:hint="eastAsia"/>
                <w:bCs/>
                <w:szCs w:val="21"/>
              </w:rPr>
              <w:t>处理器</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配置≥2颗Intel Xeon处理器，每处理器主频≥2.2GHz，核数≥12，支持Intel SkyLake与Cascade最新架构处理器。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ign w:val="center"/>
          </w:tcPr>
          <w:p>
            <w:pPr>
              <w:rPr>
                <w:bCs/>
                <w:szCs w:val="21"/>
              </w:rPr>
            </w:pPr>
            <w:r>
              <w:rPr>
                <w:rFonts w:hint="eastAsia"/>
                <w:bCs/>
                <w:szCs w:val="21"/>
              </w:rPr>
              <w:t>内存</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配置≥</w:t>
            </w:r>
            <w:r>
              <w:rPr>
                <w:sz w:val="21"/>
                <w:szCs w:val="21"/>
              </w:rPr>
              <w:t>4</w:t>
            </w:r>
            <w:r>
              <w:rPr>
                <w:rFonts w:hint="eastAsia"/>
                <w:sz w:val="21"/>
                <w:szCs w:val="21"/>
              </w:rPr>
              <w:t>根32GB ECC DDR4 内存，最大支持扩展≥16个内存插槽，满足未来扩展性需求。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shd w:val="clear" w:color="auto" w:fill="auto"/>
            <w:noWrap/>
            <w:vAlign w:val="center"/>
          </w:tcPr>
          <w:p>
            <w:pPr>
              <w:rPr>
                <w:bCs/>
                <w:szCs w:val="21"/>
              </w:rPr>
            </w:pPr>
            <w:r>
              <w:rPr>
                <w:rFonts w:hint="eastAsia"/>
                <w:bCs/>
                <w:szCs w:val="21"/>
              </w:rPr>
              <w:t>硬盘</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配置≥2块300G 2.5吋10K 12Gb SAS企业级机械硬盘。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ign w:val="center"/>
          </w:tcPr>
          <w:p>
            <w:pPr>
              <w:rPr>
                <w:rFonts w:hint="eastAsia"/>
                <w:bCs/>
                <w:szCs w:val="21"/>
              </w:rPr>
            </w:pPr>
            <w:r>
              <w:rPr>
                <w:rFonts w:hint="eastAsia"/>
                <w:bCs/>
                <w:szCs w:val="21"/>
              </w:rPr>
              <w:t>高速网络</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配置1块56Gb单端口PCI-E Infiniband高速卡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ign w:val="center"/>
          </w:tcPr>
          <w:p>
            <w:pPr>
              <w:rPr>
                <w:bCs/>
                <w:szCs w:val="21"/>
              </w:rPr>
            </w:pPr>
            <w:r>
              <w:rPr>
                <w:rFonts w:hint="eastAsia"/>
                <w:bCs/>
                <w:szCs w:val="21"/>
              </w:rPr>
              <w:t>PCIe扩展</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提供至少11个标准PCIe插槽，其中不少于10个PCIe 3.0 x16全高全长插槽，1个PCIe 3.0 x8全高全长卡插槽，提供设备原厂商加盖公章的技术</w:t>
            </w:r>
            <w:r>
              <w:rPr>
                <w:sz w:val="21"/>
                <w:szCs w:val="21"/>
              </w:rPr>
              <w:t>证明文件</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43" w:type="dxa"/>
            <w:shd w:val="clear" w:color="auto" w:fill="auto"/>
            <w:noWrap/>
            <w:vAlign w:val="center"/>
          </w:tcPr>
          <w:p>
            <w:pPr>
              <w:rPr>
                <w:bCs/>
                <w:szCs w:val="21"/>
              </w:rPr>
            </w:pPr>
            <w:r>
              <w:rPr>
                <w:rFonts w:hint="eastAsia"/>
                <w:bCs/>
                <w:szCs w:val="21"/>
              </w:rPr>
              <w:t>GPU卡</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配置</w:t>
            </w:r>
            <w:r>
              <w:rPr>
                <w:sz w:val="21"/>
                <w:szCs w:val="21"/>
              </w:rPr>
              <w:t>1</w:t>
            </w:r>
            <w:r>
              <w:rPr>
                <w:rFonts w:hint="eastAsia"/>
                <w:sz w:val="21"/>
                <w:szCs w:val="21"/>
              </w:rPr>
              <w:t>块NVIDIA Tesla P40 24GB GDDR5 GPU卡，最大可支持4块双宽或8块单宽GPU加速卡，全部GPU卡必须安装在同一个服务器GPU主板（非多计算节点堆叠方式）。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shd w:val="clear" w:color="auto" w:fill="auto"/>
            <w:noWrap/>
            <w:vAlign w:val="center"/>
          </w:tcPr>
          <w:p>
            <w:pPr>
              <w:rPr>
                <w:bCs/>
                <w:szCs w:val="21"/>
              </w:rPr>
            </w:pPr>
            <w:r>
              <w:rPr>
                <w:rFonts w:hint="eastAsia"/>
                <w:bCs/>
                <w:szCs w:val="21"/>
              </w:rPr>
              <w:t>电源</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满配冗电单电功率不低于1600W的认证铂金级电源，1+1冗余。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ign w:val="center"/>
          </w:tcPr>
          <w:p>
            <w:pPr>
              <w:rPr>
                <w:bCs/>
                <w:szCs w:val="21"/>
              </w:rPr>
            </w:pPr>
            <w:r>
              <w:rPr>
                <w:rFonts w:hint="eastAsia"/>
                <w:bCs/>
                <w:szCs w:val="21"/>
              </w:rPr>
              <w:t>服务</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售后服务：提供</w:t>
            </w:r>
            <w:r>
              <w:rPr>
                <w:sz w:val="21"/>
                <w:szCs w:val="21"/>
              </w:rPr>
              <w:t>3</w:t>
            </w:r>
            <w:r>
              <w:rPr>
                <w:rFonts w:hint="eastAsia"/>
                <w:sz w:val="21"/>
                <w:szCs w:val="21"/>
              </w:rPr>
              <w:t>年</w:t>
            </w:r>
            <w:r>
              <w:rPr>
                <w:sz w:val="21"/>
                <w:szCs w:val="21"/>
              </w:rPr>
              <w:t>7*24</w:t>
            </w:r>
            <w:r>
              <w:rPr>
                <w:rFonts w:hint="eastAsia"/>
                <w:sz w:val="21"/>
                <w:szCs w:val="21"/>
              </w:rPr>
              <w:t>小时原厂免费上门服务，投标时提供原厂授权承诺函</w:t>
            </w:r>
          </w:p>
        </w:tc>
      </w:tr>
    </w:tbl>
    <w:p>
      <w:pPr>
        <w:rPr>
          <w:rFonts w:hint="eastAsia"/>
          <w:szCs w:val="21"/>
        </w:rPr>
      </w:pPr>
    </w:p>
    <w:p>
      <w:pPr>
        <w:numPr>
          <w:ilvl w:val="0"/>
          <w:numId w:val="1"/>
        </w:numPr>
        <w:snapToGrid w:val="0"/>
        <w:spacing w:before="120" w:beforeLines="50"/>
        <w:rPr>
          <w:b/>
          <w:sz w:val="24"/>
        </w:rPr>
      </w:pPr>
      <w:r>
        <w:rPr>
          <w:rFonts w:hint="eastAsia"/>
          <w:b/>
          <w:sz w:val="24"/>
        </w:rPr>
        <w:t>存储（磁盘阵列）</w:t>
      </w:r>
    </w:p>
    <w:tbl>
      <w:tblPr>
        <w:tblStyle w:val="15"/>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43" w:type="dxa"/>
            <w:shd w:val="clear" w:color="auto" w:fill="auto"/>
            <w:noWrap w:val="0"/>
            <w:vAlign w:val="top"/>
          </w:tcPr>
          <w:p>
            <w:pPr>
              <w:jc w:val="left"/>
              <w:rPr>
                <w:bCs/>
                <w:szCs w:val="21"/>
              </w:rPr>
            </w:pPr>
            <w:r>
              <w:rPr>
                <w:rFonts w:hint="eastAsia"/>
                <w:bCs/>
                <w:szCs w:val="21"/>
              </w:rPr>
              <w:t>技术指标</w:t>
            </w:r>
          </w:p>
        </w:tc>
        <w:tc>
          <w:tcPr>
            <w:tcW w:w="6946" w:type="dxa"/>
            <w:shd w:val="clear" w:color="auto" w:fill="auto"/>
            <w:noWrap w:val="0"/>
            <w:vAlign w:val="top"/>
          </w:tcPr>
          <w:p>
            <w:pPr>
              <w:pStyle w:val="46"/>
              <w:ind w:left="360"/>
              <w:rPr>
                <w:bCs/>
                <w:sz w:val="21"/>
                <w:szCs w:val="21"/>
              </w:rPr>
            </w:pPr>
            <w:r>
              <w:rPr>
                <w:rFonts w:hint="eastAsia"/>
                <w:bCs/>
                <w:sz w:val="21"/>
                <w:szCs w:val="21"/>
              </w:rPr>
              <w:t>招标参数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43" w:type="dxa"/>
            <w:shd w:val="clear" w:color="auto" w:fill="auto"/>
            <w:noWrap w:val="0"/>
            <w:vAlign w:val="center"/>
          </w:tcPr>
          <w:p>
            <w:pPr>
              <w:rPr>
                <w:szCs w:val="21"/>
              </w:rPr>
            </w:pPr>
            <w:r>
              <w:rPr>
                <w:rFonts w:hint="eastAsia"/>
                <w:szCs w:val="21"/>
              </w:rPr>
              <w:t>体系结构</w:t>
            </w:r>
          </w:p>
        </w:tc>
        <w:tc>
          <w:tcPr>
            <w:tcW w:w="6946" w:type="dxa"/>
            <w:shd w:val="clear" w:color="auto" w:fill="auto"/>
            <w:noWrap w:val="0"/>
            <w:vAlign w:val="center"/>
          </w:tcPr>
          <w:p>
            <w:pPr>
              <w:pStyle w:val="46"/>
              <w:ind w:firstLine="0" w:firstLineChars="0"/>
              <w:jc w:val="both"/>
              <w:rPr>
                <w:rFonts w:hint="eastAsia"/>
                <w:sz w:val="21"/>
                <w:szCs w:val="21"/>
              </w:rPr>
            </w:pPr>
            <w:r>
              <w:rPr>
                <w:rFonts w:hint="eastAsia"/>
                <w:sz w:val="21"/>
                <w:szCs w:val="21"/>
              </w:rPr>
              <w:t>3U16盘位，模块化设计，</w:t>
            </w:r>
            <w:r>
              <w:rPr>
                <w:sz w:val="21"/>
                <w:szCs w:val="21"/>
              </w:rPr>
              <w:t>必须与服务器为同一</w:t>
            </w:r>
            <w:r>
              <w:rPr>
                <w:rFonts w:hint="eastAsia"/>
                <w:sz w:val="21"/>
                <w:szCs w:val="21"/>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0"/>
            <w:vAlign w:val="center"/>
          </w:tcPr>
          <w:p>
            <w:pPr>
              <w:rPr>
                <w:szCs w:val="21"/>
              </w:rPr>
            </w:pPr>
            <w:r>
              <w:rPr>
                <w:rFonts w:hint="eastAsia"/>
                <w:szCs w:val="21"/>
              </w:rPr>
              <w:t>存储架构</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设备同时支持</w:t>
            </w:r>
            <w:r>
              <w:rPr>
                <w:sz w:val="21"/>
                <w:szCs w:val="21"/>
              </w:rPr>
              <w:t>FC SAN/NAS/iSCSI/HTTP/FTP</w:t>
            </w:r>
            <w:r>
              <w:rPr>
                <w:rFonts w:hint="eastAsia"/>
                <w:sz w:val="21"/>
                <w:szCs w:val="21"/>
              </w:rPr>
              <w:t>等多种协议，产品采用统一存储架构设计，非</w:t>
            </w:r>
            <w:r>
              <w:rPr>
                <w:sz w:val="21"/>
                <w:szCs w:val="21"/>
              </w:rPr>
              <w:t>NAS</w:t>
            </w:r>
            <w:r>
              <w:rPr>
                <w:rFonts w:hint="eastAsia"/>
                <w:sz w:val="21"/>
                <w:szCs w:val="21"/>
              </w:rPr>
              <w:t>网关方式实现，并且配置全协议访问许可，要求采用非</w:t>
            </w:r>
            <w:r>
              <w:rPr>
                <w:sz w:val="21"/>
                <w:szCs w:val="21"/>
              </w:rPr>
              <w:t>X86</w:t>
            </w:r>
            <w:r>
              <w:rPr>
                <w:rFonts w:hint="eastAsia"/>
                <w:sz w:val="21"/>
                <w:szCs w:val="21"/>
              </w:rPr>
              <w:t>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0"/>
            <w:vAlign w:val="center"/>
          </w:tcPr>
          <w:p>
            <w:pPr>
              <w:rPr>
                <w:szCs w:val="21"/>
              </w:rPr>
            </w:pPr>
            <w:r>
              <w:rPr>
                <w:rFonts w:hint="eastAsia"/>
                <w:szCs w:val="21"/>
              </w:rPr>
              <w:t>★存储控制器</w:t>
            </w:r>
          </w:p>
        </w:tc>
        <w:tc>
          <w:tcPr>
            <w:tcW w:w="6946" w:type="dxa"/>
            <w:shd w:val="clear" w:color="auto" w:fill="auto"/>
            <w:noWrap w:val="0"/>
            <w:vAlign w:val="center"/>
          </w:tcPr>
          <w:p>
            <w:pPr>
              <w:pStyle w:val="46"/>
              <w:ind w:firstLine="0" w:firstLineChars="0"/>
              <w:jc w:val="both"/>
              <w:rPr>
                <w:rFonts w:hint="eastAsia"/>
                <w:sz w:val="21"/>
                <w:szCs w:val="21"/>
              </w:rPr>
            </w:pPr>
            <w:r>
              <w:rPr>
                <w:sz w:val="21"/>
                <w:szCs w:val="21"/>
              </w:rPr>
              <w:t>最大支持八个存储控制器</w:t>
            </w:r>
            <w:r>
              <w:rPr>
                <w:rFonts w:hint="eastAsia"/>
                <w:sz w:val="21"/>
                <w:szCs w:val="21"/>
              </w:rPr>
              <w:t>，</w:t>
            </w:r>
            <w:r>
              <w:rPr>
                <w:sz w:val="21"/>
                <w:szCs w:val="21"/>
              </w:rPr>
              <w:t>本次</w:t>
            </w:r>
            <w:r>
              <w:rPr>
                <w:rFonts w:hint="eastAsia"/>
                <w:sz w:val="21"/>
                <w:szCs w:val="21"/>
              </w:rPr>
              <w:t>配置两个存储控制器，控制器冗余设计，支持在线更换控制器，每一控制器可以独立控制所有的磁盘，</w:t>
            </w:r>
            <w:r>
              <w:rPr>
                <w:sz w:val="21"/>
                <w:szCs w:val="21"/>
              </w:rPr>
              <w:t>RAID</w:t>
            </w:r>
            <w:r>
              <w:rPr>
                <w:rFonts w:hint="eastAsia"/>
                <w:sz w:val="21"/>
                <w:szCs w:val="21"/>
              </w:rPr>
              <w:t>算法采用硬件</w:t>
            </w:r>
            <w:r>
              <w:rPr>
                <w:sz w:val="21"/>
                <w:szCs w:val="21"/>
              </w:rPr>
              <w:t>XOR</w:t>
            </w:r>
            <w:r>
              <w:rPr>
                <w:rFonts w:hint="eastAsia"/>
                <w:sz w:val="21"/>
                <w:szCs w:val="21"/>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43" w:type="dxa"/>
            <w:shd w:val="clear" w:color="auto" w:fill="auto"/>
            <w:noWrap w:val="0"/>
            <w:vAlign w:val="center"/>
          </w:tcPr>
          <w:p>
            <w:pPr>
              <w:rPr>
                <w:szCs w:val="21"/>
              </w:rPr>
            </w:pPr>
            <w:r>
              <w:rPr>
                <w:rFonts w:hint="eastAsia"/>
                <w:szCs w:val="21"/>
              </w:rPr>
              <w:t>★缓存</w:t>
            </w:r>
          </w:p>
        </w:tc>
        <w:tc>
          <w:tcPr>
            <w:tcW w:w="6946" w:type="dxa"/>
            <w:shd w:val="clear" w:color="auto" w:fill="auto"/>
            <w:noWrap w:val="0"/>
            <w:vAlign w:val="center"/>
          </w:tcPr>
          <w:p>
            <w:pPr>
              <w:pStyle w:val="46"/>
              <w:ind w:firstLine="0" w:firstLineChars="0"/>
              <w:jc w:val="both"/>
              <w:rPr>
                <w:sz w:val="21"/>
                <w:szCs w:val="21"/>
              </w:rPr>
            </w:pPr>
            <w:r>
              <w:rPr>
                <w:sz w:val="21"/>
                <w:szCs w:val="21"/>
              </w:rPr>
              <w:t>最大支持</w:t>
            </w:r>
            <w:r>
              <w:rPr>
                <w:rFonts w:hint="eastAsia"/>
                <w:sz w:val="21"/>
                <w:szCs w:val="21"/>
              </w:rPr>
              <w:t>256</w:t>
            </w:r>
            <w:r>
              <w:rPr>
                <w:sz w:val="21"/>
                <w:szCs w:val="21"/>
              </w:rPr>
              <w:t>GB Cache</w:t>
            </w:r>
            <w:r>
              <w:rPr>
                <w:rFonts w:hint="eastAsia"/>
                <w:sz w:val="21"/>
                <w:szCs w:val="21"/>
              </w:rPr>
              <w:t>，本次配置</w:t>
            </w:r>
            <w:r>
              <w:rPr>
                <w:sz w:val="21"/>
                <w:szCs w:val="21"/>
              </w:rPr>
              <w:t>32GB Cache</w:t>
            </w:r>
            <w:r>
              <w:rPr>
                <w:rFonts w:hint="eastAsia"/>
                <w:sz w:val="21"/>
                <w:szCs w:val="21"/>
              </w:rPr>
              <w:t>（非</w:t>
            </w:r>
            <w:r>
              <w:rPr>
                <w:sz w:val="21"/>
                <w:szCs w:val="21"/>
              </w:rPr>
              <w:t>SSD</w:t>
            </w:r>
            <w:r>
              <w:rPr>
                <w:rFonts w:hint="eastAsia"/>
                <w:sz w:val="21"/>
                <w:szCs w:val="21"/>
              </w:rPr>
              <w:t>或者高速</w:t>
            </w:r>
            <w:r>
              <w:rPr>
                <w:sz w:val="21"/>
                <w:szCs w:val="21"/>
              </w:rPr>
              <w:t xml:space="preserve">Flash </w:t>
            </w:r>
            <w:r>
              <w:rPr>
                <w:rFonts w:hint="eastAsia"/>
                <w:sz w:val="21"/>
                <w:szCs w:val="21"/>
              </w:rPr>
              <w:t>充当缓存）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43" w:type="dxa"/>
            <w:shd w:val="clear" w:color="auto" w:fill="auto"/>
            <w:noWrap w:val="0"/>
            <w:vAlign w:val="center"/>
          </w:tcPr>
          <w:p>
            <w:pPr>
              <w:rPr>
                <w:szCs w:val="21"/>
              </w:rPr>
            </w:pPr>
            <w:r>
              <w:rPr>
                <w:rFonts w:hint="eastAsia"/>
                <w:szCs w:val="21"/>
              </w:rPr>
              <w:t>缓存保护</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配置</w:t>
            </w:r>
            <w:r>
              <w:rPr>
                <w:sz w:val="21"/>
                <w:szCs w:val="21"/>
              </w:rPr>
              <w:t xml:space="preserve"> BBU </w:t>
            </w:r>
            <w:r>
              <w:rPr>
                <w:rFonts w:hint="eastAsia"/>
                <w:sz w:val="21"/>
                <w:szCs w:val="21"/>
              </w:rPr>
              <w:t>电池保护，配置基于</w:t>
            </w:r>
            <w:r>
              <w:rPr>
                <w:sz w:val="21"/>
                <w:szCs w:val="21"/>
              </w:rPr>
              <w:t xml:space="preserve"> Flash </w:t>
            </w:r>
            <w:r>
              <w:rPr>
                <w:rFonts w:hint="eastAsia"/>
                <w:sz w:val="21"/>
                <w:szCs w:val="21"/>
              </w:rPr>
              <w:t>的永久保护模组，不存在断电时间限制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43" w:type="dxa"/>
            <w:shd w:val="clear" w:color="auto" w:fill="auto"/>
            <w:noWrap w:val="0"/>
            <w:vAlign w:val="center"/>
          </w:tcPr>
          <w:p>
            <w:pPr>
              <w:rPr>
                <w:szCs w:val="21"/>
              </w:rPr>
            </w:pPr>
            <w:r>
              <w:rPr>
                <w:rFonts w:hint="eastAsia"/>
                <w:szCs w:val="21"/>
              </w:rPr>
              <w:t>主机接口</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配置</w:t>
            </w:r>
            <w:r>
              <w:rPr>
                <w:sz w:val="21"/>
                <w:szCs w:val="21"/>
              </w:rPr>
              <w:t>≥12</w:t>
            </w:r>
            <w:r>
              <w:rPr>
                <w:rFonts w:hint="eastAsia"/>
                <w:sz w:val="21"/>
                <w:szCs w:val="21"/>
              </w:rPr>
              <w:t>个主机接口</w:t>
            </w:r>
            <w:r>
              <w:rPr>
                <w:sz w:val="21"/>
                <w:szCs w:val="21"/>
              </w:rPr>
              <w:t>,</w:t>
            </w:r>
            <w:r>
              <w:rPr>
                <w:rFonts w:hint="eastAsia"/>
                <w:sz w:val="21"/>
                <w:szCs w:val="21"/>
              </w:rPr>
              <w:t>其中包含</w:t>
            </w:r>
            <w:r>
              <w:rPr>
                <w:sz w:val="21"/>
                <w:szCs w:val="21"/>
              </w:rPr>
              <w:t>≥8</w:t>
            </w:r>
            <w:r>
              <w:rPr>
                <w:rFonts w:hint="eastAsia"/>
                <w:sz w:val="21"/>
                <w:szCs w:val="21"/>
              </w:rPr>
              <w:t>个</w:t>
            </w:r>
            <w:r>
              <w:rPr>
                <w:sz w:val="21"/>
                <w:szCs w:val="21"/>
              </w:rPr>
              <w:t xml:space="preserve">1Gb ISCSI </w:t>
            </w:r>
            <w:r>
              <w:rPr>
                <w:rFonts w:hint="eastAsia"/>
                <w:sz w:val="21"/>
                <w:szCs w:val="21"/>
              </w:rPr>
              <w:t>主机接口</w:t>
            </w:r>
            <w:r>
              <w:rPr>
                <w:sz w:val="21"/>
                <w:szCs w:val="21"/>
              </w:rPr>
              <w:t>+4</w:t>
            </w:r>
            <w:r>
              <w:rPr>
                <w:rFonts w:hint="eastAsia"/>
                <w:sz w:val="21"/>
                <w:szCs w:val="21"/>
              </w:rPr>
              <w:t>个16</w:t>
            </w:r>
            <w:r>
              <w:rPr>
                <w:sz w:val="21"/>
                <w:szCs w:val="21"/>
              </w:rPr>
              <w:t>Gb FC</w:t>
            </w:r>
            <w:r>
              <w:rPr>
                <w:rFonts w:hint="eastAsia"/>
                <w:sz w:val="21"/>
                <w:szCs w:val="21"/>
              </w:rPr>
              <w:t>主机接口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43" w:type="dxa"/>
            <w:shd w:val="clear" w:color="auto" w:fill="auto"/>
            <w:noWrap w:val="0"/>
            <w:vAlign w:val="center"/>
          </w:tcPr>
          <w:p>
            <w:pPr>
              <w:rPr>
                <w:szCs w:val="21"/>
              </w:rPr>
            </w:pPr>
            <w:r>
              <w:rPr>
                <w:rFonts w:hint="eastAsia"/>
                <w:szCs w:val="21"/>
              </w:rPr>
              <w:t>实配容量</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配置</w:t>
            </w:r>
            <w:r>
              <w:rPr>
                <w:sz w:val="21"/>
                <w:szCs w:val="21"/>
              </w:rPr>
              <w:t>≥</w:t>
            </w:r>
            <w:r>
              <w:rPr>
                <w:rFonts w:hint="eastAsia"/>
                <w:sz w:val="21"/>
                <w:szCs w:val="21"/>
              </w:rPr>
              <w:t>6块8T 3.5吋12Gb SAS盘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43" w:type="dxa"/>
            <w:shd w:val="clear" w:color="auto" w:fill="auto"/>
            <w:noWrap w:val="0"/>
            <w:vAlign w:val="center"/>
          </w:tcPr>
          <w:p>
            <w:pPr>
              <w:rPr>
                <w:szCs w:val="21"/>
              </w:rPr>
            </w:pPr>
            <w:r>
              <w:rPr>
                <w:rFonts w:hint="eastAsia"/>
                <w:szCs w:val="21"/>
              </w:rPr>
              <w:t>★数据安全服务</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该部分硬盘因涉及关键数据，为确保数据安全性，要求投标人提供“数据保”数据恢复服务（投标时需出具由国家信息中心相关部门出具的服务承诺函）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43" w:type="dxa"/>
            <w:shd w:val="clear" w:color="auto" w:fill="auto"/>
            <w:noWrap w:val="0"/>
            <w:vAlign w:val="center"/>
          </w:tcPr>
          <w:p>
            <w:pPr>
              <w:rPr>
                <w:rFonts w:hint="eastAsia"/>
                <w:szCs w:val="21"/>
              </w:rPr>
            </w:pPr>
            <w:r>
              <w:rPr>
                <w:rFonts w:hint="eastAsia"/>
                <w:szCs w:val="21"/>
              </w:rPr>
              <w:t>★软件功能</w:t>
            </w:r>
          </w:p>
        </w:tc>
        <w:tc>
          <w:tcPr>
            <w:tcW w:w="6946" w:type="dxa"/>
            <w:shd w:val="clear" w:color="auto" w:fill="auto"/>
            <w:noWrap w:val="0"/>
            <w:vAlign w:val="center"/>
          </w:tcPr>
          <w:p>
            <w:pPr>
              <w:pStyle w:val="46"/>
              <w:ind w:firstLine="0" w:firstLineChars="0"/>
              <w:jc w:val="both"/>
              <w:rPr>
                <w:rFonts w:hint="eastAsia"/>
                <w:sz w:val="21"/>
                <w:szCs w:val="21"/>
              </w:rPr>
            </w:pPr>
            <w:r>
              <w:rPr>
                <w:sz w:val="21"/>
                <w:szCs w:val="21"/>
              </w:rPr>
              <w:t>提供完整的存储系统管理软件，支持集中式 GUI 管理，配置快照、卷拷贝、自动精简配置功能，支持远程卷镜像功能，可实现与原有存储之间的数据复制，实现远距离容灾，支持性能监控功能，可监控数据LUN或FC端口的IOPS、带宽及延时数据，可查看实时性能数据与历史统计数据，支持原有存储平台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43" w:type="dxa"/>
            <w:vMerge w:val="restart"/>
            <w:shd w:val="clear" w:color="auto" w:fill="auto"/>
            <w:noWrap w:val="0"/>
            <w:vAlign w:val="center"/>
          </w:tcPr>
          <w:p>
            <w:pPr>
              <w:rPr>
                <w:szCs w:val="21"/>
              </w:rPr>
            </w:pPr>
            <w:r>
              <w:rPr>
                <w:rFonts w:hint="eastAsia"/>
                <w:szCs w:val="21"/>
              </w:rPr>
              <w:t>磁盘驱动器</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支持在同一个磁盘阵列柜子中混合使用不同类型，不同容量的硬盘；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43" w:type="dxa"/>
            <w:vMerge w:val="continue"/>
            <w:shd w:val="clear" w:color="auto" w:fill="auto"/>
            <w:noWrap w:val="0"/>
            <w:vAlign w:val="center"/>
          </w:tcPr>
          <w:p>
            <w:pPr>
              <w:pStyle w:val="46"/>
              <w:ind w:left="360"/>
              <w:jc w:val="both"/>
              <w:rPr>
                <w:sz w:val="21"/>
                <w:szCs w:val="21"/>
              </w:rPr>
            </w:pP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支持</w:t>
            </w:r>
            <w:r>
              <w:rPr>
                <w:sz w:val="21"/>
                <w:szCs w:val="21"/>
              </w:rPr>
              <w:t xml:space="preserve"> SAS\SATA\SSD</w:t>
            </w:r>
            <w:r>
              <w:rPr>
                <w:rFonts w:hint="eastAsia"/>
                <w:sz w:val="21"/>
                <w:szCs w:val="21"/>
              </w:rPr>
              <w:t>不同规格的硬盘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0"/>
            <w:vAlign w:val="center"/>
          </w:tcPr>
          <w:p>
            <w:pPr>
              <w:rPr>
                <w:szCs w:val="21"/>
              </w:rPr>
            </w:pPr>
            <w:r>
              <w:rPr>
                <w:szCs w:val="21"/>
              </w:rPr>
              <w:t xml:space="preserve">RAID </w:t>
            </w:r>
            <w:r>
              <w:rPr>
                <w:rFonts w:hint="eastAsia"/>
                <w:szCs w:val="21"/>
              </w:rPr>
              <w:t>级别</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支持</w:t>
            </w:r>
            <w:r>
              <w:rPr>
                <w:sz w:val="21"/>
                <w:szCs w:val="21"/>
              </w:rPr>
              <w:t>RAID 0</w:t>
            </w:r>
            <w:r>
              <w:rPr>
                <w:rFonts w:hint="eastAsia"/>
                <w:sz w:val="21"/>
                <w:szCs w:val="21"/>
              </w:rPr>
              <w:t>、</w:t>
            </w:r>
            <w:r>
              <w:rPr>
                <w:sz w:val="21"/>
                <w:szCs w:val="21"/>
              </w:rPr>
              <w:t>1</w:t>
            </w:r>
            <w:r>
              <w:rPr>
                <w:rFonts w:hint="eastAsia"/>
                <w:sz w:val="21"/>
                <w:szCs w:val="21"/>
              </w:rPr>
              <w:t>、</w:t>
            </w:r>
            <w:r>
              <w:rPr>
                <w:sz w:val="21"/>
                <w:szCs w:val="21"/>
              </w:rPr>
              <w:t>10</w:t>
            </w:r>
            <w:r>
              <w:rPr>
                <w:rFonts w:hint="eastAsia"/>
                <w:sz w:val="21"/>
                <w:szCs w:val="21"/>
              </w:rPr>
              <w:t>、</w:t>
            </w:r>
            <w:r>
              <w:rPr>
                <w:sz w:val="21"/>
                <w:szCs w:val="21"/>
              </w:rPr>
              <w:t>5</w:t>
            </w:r>
            <w:r>
              <w:rPr>
                <w:rFonts w:hint="eastAsia"/>
                <w:sz w:val="21"/>
                <w:szCs w:val="21"/>
              </w:rPr>
              <w:t>等；支持</w:t>
            </w:r>
            <w:r>
              <w:rPr>
                <w:sz w:val="21"/>
                <w:szCs w:val="21"/>
              </w:rPr>
              <w:t>RAID2.0</w:t>
            </w:r>
            <w:r>
              <w:rPr>
                <w:rFonts w:hint="eastAsia"/>
                <w:sz w:val="21"/>
                <w:szCs w:val="21"/>
              </w:rPr>
              <w:t>，相对传统</w:t>
            </w:r>
            <w:r>
              <w:rPr>
                <w:sz w:val="21"/>
                <w:szCs w:val="21"/>
              </w:rPr>
              <w:t>RAID</w:t>
            </w:r>
            <w:r>
              <w:rPr>
                <w:rFonts w:hint="eastAsia"/>
                <w:sz w:val="21"/>
                <w:szCs w:val="21"/>
              </w:rPr>
              <w:t>能使硬盘灾难平均重建时间缩短</w:t>
            </w:r>
            <w:r>
              <w:rPr>
                <w:sz w:val="21"/>
                <w:szCs w:val="21"/>
              </w:rPr>
              <w:t>5</w:t>
            </w:r>
            <w:r>
              <w:rPr>
                <w:rFonts w:hint="eastAsia"/>
                <w:sz w:val="21"/>
                <w:szCs w:val="21"/>
              </w:rPr>
              <w:t>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43" w:type="dxa"/>
            <w:shd w:val="clear" w:color="auto" w:fill="auto"/>
            <w:noWrap w:val="0"/>
            <w:vAlign w:val="center"/>
          </w:tcPr>
          <w:p>
            <w:pPr>
              <w:rPr>
                <w:szCs w:val="21"/>
              </w:rPr>
            </w:pPr>
            <w:r>
              <w:rPr>
                <w:rFonts w:hint="eastAsia"/>
                <w:szCs w:val="21"/>
              </w:rPr>
              <w:t>分层存储模块</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支持分层存储软件模块，在线实现数据分层，通过分层实现热点数据管理，实现存储应用加速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0"/>
            <w:vAlign w:val="center"/>
          </w:tcPr>
          <w:p>
            <w:pPr>
              <w:rPr>
                <w:szCs w:val="21"/>
              </w:rPr>
            </w:pPr>
            <w:r>
              <w:rPr>
                <w:rFonts w:hint="eastAsia"/>
                <w:szCs w:val="21"/>
              </w:rPr>
              <w:t>系统管理软件</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提供完整的存储系统管理软件，支持集中式</w:t>
            </w:r>
            <w:r>
              <w:rPr>
                <w:sz w:val="21"/>
                <w:szCs w:val="21"/>
              </w:rPr>
              <w:t xml:space="preserve"> GUI </w:t>
            </w:r>
            <w:r>
              <w:rPr>
                <w:rFonts w:hint="eastAsia"/>
                <w:sz w:val="21"/>
                <w:szCs w:val="21"/>
              </w:rPr>
              <w:t>管理，在同一管理界面实现监控，提供冗余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0"/>
            <w:vAlign w:val="center"/>
          </w:tcPr>
          <w:p>
            <w:pPr>
              <w:rPr>
                <w:szCs w:val="21"/>
              </w:rPr>
            </w:pPr>
            <w:r>
              <w:rPr>
                <w:rFonts w:hint="eastAsia"/>
                <w:szCs w:val="21"/>
              </w:rPr>
              <w:t>系统兼容性</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支持</w:t>
            </w:r>
            <w:r>
              <w:rPr>
                <w:sz w:val="21"/>
                <w:szCs w:val="21"/>
              </w:rPr>
              <w:t xml:space="preserve"> WinNT,Win2000,Win2003,Win2008,Solaris, AIX, HPUX, NetWare, Red Hat Linux ……</w:t>
            </w:r>
            <w:r>
              <w:rPr>
                <w:rFonts w:hint="eastAsia"/>
                <w:sz w:val="21"/>
                <w:szCs w:val="21"/>
              </w:rPr>
              <w:t>等主流操作系统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43" w:type="dxa"/>
            <w:shd w:val="clear" w:color="auto" w:fill="auto"/>
            <w:noWrap w:val="0"/>
            <w:vAlign w:val="center"/>
          </w:tcPr>
          <w:p>
            <w:pPr>
              <w:rPr>
                <w:szCs w:val="21"/>
              </w:rPr>
            </w:pPr>
            <w:r>
              <w:rPr>
                <w:rFonts w:hint="eastAsia"/>
                <w:szCs w:val="21"/>
              </w:rPr>
              <w:t>系统扩充性</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模块化结构，具有完全在线、无需停机的扩充能力，包括系统微码升级、系统处理能力的扩充、存储容量的扩充和</w:t>
            </w:r>
            <w:r>
              <w:rPr>
                <w:sz w:val="21"/>
                <w:szCs w:val="21"/>
              </w:rPr>
              <w:t xml:space="preserve"> IO </w:t>
            </w:r>
            <w:r>
              <w:rPr>
                <w:rFonts w:hint="eastAsia"/>
                <w:sz w:val="21"/>
                <w:szCs w:val="21"/>
              </w:rPr>
              <w:t>能力的扩充等，并支持系统的平滑扩充</w:t>
            </w:r>
            <w:r>
              <w:rPr>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43" w:type="dxa"/>
            <w:shd w:val="clear" w:color="auto" w:fill="auto"/>
            <w:noWrap w:val="0"/>
            <w:vAlign w:val="center"/>
          </w:tcPr>
          <w:p>
            <w:pPr>
              <w:rPr>
                <w:szCs w:val="21"/>
              </w:rPr>
            </w:pPr>
            <w:r>
              <w:rPr>
                <w:rFonts w:hint="eastAsia"/>
                <w:szCs w:val="21"/>
              </w:rPr>
              <w:t>电源风扇</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冗余电源，冗余散热风扇设计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43" w:type="dxa"/>
            <w:shd w:val="clear" w:color="auto" w:fill="auto"/>
            <w:noWrap w:val="0"/>
            <w:vAlign w:val="center"/>
          </w:tcPr>
          <w:p>
            <w:pPr>
              <w:rPr>
                <w:szCs w:val="21"/>
              </w:rPr>
            </w:pPr>
            <w:r>
              <w:rPr>
                <w:rFonts w:hint="eastAsia"/>
                <w:szCs w:val="21"/>
              </w:rPr>
              <w:t>服务</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售后服务：提供</w:t>
            </w:r>
            <w:r>
              <w:rPr>
                <w:sz w:val="21"/>
                <w:szCs w:val="21"/>
              </w:rPr>
              <w:t>3</w:t>
            </w:r>
            <w:r>
              <w:rPr>
                <w:rFonts w:hint="eastAsia"/>
                <w:sz w:val="21"/>
                <w:szCs w:val="21"/>
              </w:rPr>
              <w:t>年</w:t>
            </w:r>
            <w:r>
              <w:rPr>
                <w:sz w:val="21"/>
                <w:szCs w:val="21"/>
              </w:rPr>
              <w:t>7*24</w:t>
            </w:r>
            <w:r>
              <w:rPr>
                <w:rFonts w:hint="eastAsia"/>
                <w:sz w:val="21"/>
                <w:szCs w:val="21"/>
              </w:rPr>
              <w:t>小时原厂免费上门服务，投标时提供原厂授权承诺函</w:t>
            </w:r>
          </w:p>
        </w:tc>
      </w:tr>
    </w:tbl>
    <w:p>
      <w:pPr>
        <w:pStyle w:val="46"/>
        <w:ind w:left="360" w:firstLine="0" w:firstLineChars="0"/>
        <w:rPr>
          <w:sz w:val="21"/>
          <w:szCs w:val="21"/>
        </w:rPr>
      </w:pPr>
    </w:p>
    <w:p>
      <w:pPr>
        <w:numPr>
          <w:ilvl w:val="0"/>
          <w:numId w:val="1"/>
        </w:numPr>
        <w:snapToGrid w:val="0"/>
        <w:spacing w:before="120" w:beforeLines="50"/>
        <w:rPr>
          <w:b/>
          <w:sz w:val="24"/>
        </w:rPr>
      </w:pPr>
      <w:r>
        <w:rPr>
          <w:rFonts w:hint="eastAsia"/>
          <w:b/>
          <w:sz w:val="24"/>
        </w:rPr>
        <w:t>配件</w:t>
      </w:r>
    </w:p>
    <w:tbl>
      <w:tblPr>
        <w:tblStyle w:val="15"/>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shd w:val="clear" w:color="auto" w:fill="auto"/>
            <w:noWrap w:val="0"/>
            <w:vAlign w:val="top"/>
          </w:tcPr>
          <w:p>
            <w:pPr>
              <w:jc w:val="left"/>
              <w:rPr>
                <w:bCs/>
                <w:szCs w:val="21"/>
              </w:rPr>
            </w:pPr>
            <w:r>
              <w:rPr>
                <w:rFonts w:hint="eastAsia"/>
                <w:bCs/>
                <w:szCs w:val="21"/>
              </w:rPr>
              <w:t>技术指标</w:t>
            </w:r>
          </w:p>
        </w:tc>
        <w:tc>
          <w:tcPr>
            <w:tcW w:w="6946" w:type="dxa"/>
            <w:shd w:val="clear" w:color="auto" w:fill="auto"/>
            <w:noWrap w:val="0"/>
            <w:vAlign w:val="top"/>
          </w:tcPr>
          <w:p>
            <w:pPr>
              <w:pStyle w:val="46"/>
              <w:ind w:left="360"/>
              <w:rPr>
                <w:bCs/>
                <w:sz w:val="21"/>
                <w:szCs w:val="21"/>
              </w:rPr>
            </w:pPr>
            <w:r>
              <w:rPr>
                <w:rFonts w:hint="eastAsia"/>
                <w:bCs/>
                <w:sz w:val="21"/>
                <w:szCs w:val="21"/>
              </w:rPr>
              <w:t>招标参数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shd w:val="clear" w:color="auto" w:fill="auto"/>
            <w:noWrap w:val="0"/>
            <w:vAlign w:val="center"/>
          </w:tcPr>
          <w:p>
            <w:pPr>
              <w:rPr>
                <w:szCs w:val="21"/>
              </w:rPr>
            </w:pPr>
            <w:r>
              <w:rPr>
                <w:rFonts w:hint="eastAsia"/>
                <w:szCs w:val="21"/>
              </w:rPr>
              <w:t>HBA卡</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提供1块PCI-E 光纤双口16Gb HBA卡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shd w:val="clear" w:color="auto" w:fill="auto"/>
            <w:noWrap w:val="0"/>
            <w:vAlign w:val="center"/>
          </w:tcPr>
          <w:p>
            <w:pPr>
              <w:rPr>
                <w:bCs/>
                <w:szCs w:val="21"/>
              </w:rPr>
            </w:pPr>
            <w:r>
              <w:rPr>
                <w:rFonts w:hint="eastAsia"/>
                <w:bCs/>
                <w:szCs w:val="21"/>
              </w:rPr>
              <w:t>GPU卡</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提供</w:t>
            </w:r>
            <w:r>
              <w:rPr>
                <w:sz w:val="21"/>
                <w:szCs w:val="21"/>
              </w:rPr>
              <w:t>1</w:t>
            </w:r>
            <w:r>
              <w:rPr>
                <w:rFonts w:hint="eastAsia"/>
                <w:sz w:val="21"/>
                <w:szCs w:val="21"/>
              </w:rPr>
              <w:t>块NVIDIA Tesla P40 24GB GDDR5 GPU卡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shd w:val="clear" w:color="auto" w:fill="auto"/>
            <w:noWrap w:val="0"/>
            <w:vAlign w:val="center"/>
          </w:tcPr>
          <w:p>
            <w:pPr>
              <w:rPr>
                <w:szCs w:val="21"/>
              </w:rPr>
            </w:pPr>
            <w:r>
              <w:rPr>
                <w:rFonts w:hint="eastAsia"/>
                <w:szCs w:val="21"/>
              </w:rPr>
              <w:t>硬盘</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提供</w:t>
            </w:r>
            <w:r>
              <w:rPr>
                <w:sz w:val="21"/>
                <w:szCs w:val="21"/>
              </w:rPr>
              <w:t>10</w:t>
            </w:r>
            <w:r>
              <w:rPr>
                <w:rFonts w:hint="eastAsia"/>
                <w:sz w:val="21"/>
                <w:szCs w:val="21"/>
              </w:rPr>
              <w:t>块8T 3.5吋12Gb SAS盘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shd w:val="clear" w:color="auto" w:fill="auto"/>
            <w:noWrap w:val="0"/>
            <w:vAlign w:val="center"/>
          </w:tcPr>
          <w:p>
            <w:pPr>
              <w:rPr>
                <w:rFonts w:ascii="宋体" w:hAnsi="宋体" w:cs="宋体"/>
                <w:kern w:val="0"/>
                <w:szCs w:val="21"/>
              </w:rPr>
            </w:pPr>
            <w:r>
              <w:rPr>
                <w:rFonts w:hint="eastAsia"/>
                <w:szCs w:val="21"/>
              </w:rPr>
              <w:t>内存</w:t>
            </w:r>
          </w:p>
        </w:tc>
        <w:tc>
          <w:tcPr>
            <w:tcW w:w="6946" w:type="dxa"/>
            <w:shd w:val="clear" w:color="auto" w:fill="auto"/>
            <w:noWrap w:val="0"/>
            <w:vAlign w:val="center"/>
          </w:tcPr>
          <w:p>
            <w:pPr>
              <w:widowControl/>
              <w:rPr>
                <w:kern w:val="0"/>
                <w:szCs w:val="21"/>
              </w:rPr>
            </w:pPr>
            <w:r>
              <w:rPr>
                <w:rFonts w:hint="eastAsia"/>
                <w:kern w:val="0"/>
                <w:szCs w:val="21"/>
              </w:rPr>
              <w:t>提供</w:t>
            </w:r>
            <w:r>
              <w:rPr>
                <w:kern w:val="0"/>
                <w:szCs w:val="21"/>
              </w:rPr>
              <w:t>4</w:t>
            </w:r>
            <w:r>
              <w:rPr>
                <w:rFonts w:hint="eastAsia"/>
                <w:kern w:val="0"/>
                <w:szCs w:val="21"/>
              </w:rPr>
              <w:t>根</w:t>
            </w:r>
            <w:r>
              <w:rPr>
                <w:kern w:val="0"/>
                <w:szCs w:val="21"/>
              </w:rPr>
              <w:t>32</w:t>
            </w:r>
            <w:r>
              <w:rPr>
                <w:rFonts w:hint="eastAsia"/>
                <w:kern w:val="0"/>
                <w:szCs w:val="21"/>
              </w:rPr>
              <w:t>G 2666 REG DDR4 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shd w:val="clear" w:color="auto" w:fill="auto"/>
            <w:noWrap w:val="0"/>
            <w:vAlign w:val="center"/>
          </w:tcPr>
          <w:p>
            <w:pPr>
              <w:rPr>
                <w:szCs w:val="21"/>
              </w:rPr>
            </w:pPr>
            <w:r>
              <w:rPr>
                <w:rFonts w:hint="eastAsia"/>
                <w:szCs w:val="21"/>
              </w:rPr>
              <w:t>服务</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售后服务：以上</w:t>
            </w:r>
            <w:r>
              <w:rPr>
                <w:sz w:val="21"/>
                <w:szCs w:val="21"/>
              </w:rPr>
              <w:t>配件需与服务器和存储为</w:t>
            </w:r>
            <w:r>
              <w:rPr>
                <w:rFonts w:hint="eastAsia"/>
                <w:sz w:val="21"/>
                <w:szCs w:val="21"/>
              </w:rPr>
              <w:t>同一厂家</w:t>
            </w:r>
            <w:r>
              <w:rPr>
                <w:sz w:val="21"/>
                <w:szCs w:val="21"/>
              </w:rPr>
              <w:t>，并</w:t>
            </w:r>
            <w:r>
              <w:rPr>
                <w:rFonts w:hint="eastAsia"/>
                <w:sz w:val="21"/>
                <w:szCs w:val="21"/>
              </w:rPr>
              <w:t>提供</w:t>
            </w:r>
            <w:r>
              <w:rPr>
                <w:sz w:val="21"/>
                <w:szCs w:val="21"/>
              </w:rPr>
              <w:t>3</w:t>
            </w:r>
            <w:r>
              <w:rPr>
                <w:rFonts w:hint="eastAsia"/>
                <w:sz w:val="21"/>
                <w:szCs w:val="21"/>
              </w:rPr>
              <w:t>年</w:t>
            </w:r>
            <w:r>
              <w:rPr>
                <w:sz w:val="21"/>
                <w:szCs w:val="21"/>
              </w:rPr>
              <w:t>7*24</w:t>
            </w:r>
            <w:r>
              <w:rPr>
                <w:rFonts w:hint="eastAsia"/>
                <w:sz w:val="21"/>
                <w:szCs w:val="21"/>
              </w:rPr>
              <w:t>小时原厂免费上门服务，投标时提供原厂授权承诺函</w:t>
            </w:r>
          </w:p>
        </w:tc>
      </w:tr>
    </w:tbl>
    <w:p>
      <w:pPr>
        <w:spacing w:line="460" w:lineRule="exact"/>
        <w:rPr>
          <w:rFonts w:ascii="宋体" w:hAnsi="宋体"/>
          <w:szCs w:val="21"/>
        </w:rPr>
      </w:pPr>
    </w:p>
    <w:p>
      <w:pPr>
        <w:widowControl/>
        <w:jc w:val="left"/>
        <w:rPr>
          <w:rFonts w:hint="eastAsia" w:hAnsi="宋体"/>
          <w:b/>
          <w:bCs/>
          <w:sz w:val="24"/>
          <w:szCs w:val="24"/>
        </w:rPr>
      </w:pPr>
      <w:r>
        <w:rPr>
          <w:rFonts w:ascii="宋体" w:hAnsi="宋体" w:eastAsia="宋体" w:cs="宋体"/>
          <w:b/>
          <w:bCs/>
          <w:sz w:val="24"/>
          <w:szCs w:val="24"/>
        </w:rPr>
        <w:t>注：报价时必须注明或说明品牌中具体投标品牌，否则投标无效。</w:t>
      </w:r>
      <w:r>
        <w:rPr>
          <w:rFonts w:ascii="宋体" w:hAnsi="宋体" w:eastAsia="宋体" w:cs="宋体"/>
          <w:b/>
          <w:bCs/>
          <w:sz w:val="24"/>
          <w:szCs w:val="24"/>
        </w:rPr>
        <w:br w:type="textWrapping"/>
      </w:r>
      <w:r>
        <w:rPr>
          <w:rFonts w:ascii="宋体" w:hAnsi="宋体" w:eastAsia="宋体" w:cs="宋体"/>
          <w:b/>
          <w:bCs/>
          <w:sz w:val="24"/>
          <w:szCs w:val="24"/>
        </w:rPr>
        <w:t>★▲投标时需提供承诺并在中标公示之日起，五个工作日内取得所投上述要求原厂授权函、售后服务承诺函、原厂保修等均须提供原厂项目授权书与售后服务承诺书，否则取消中标资格。</w:t>
      </w:r>
    </w:p>
    <w:p>
      <w:pPr>
        <w:widowControl/>
        <w:jc w:val="left"/>
        <w:rPr>
          <w:rFonts w:hint="eastAsia" w:hAnsi="宋体"/>
          <w:b/>
          <w:bCs/>
          <w:sz w:val="28"/>
          <w:szCs w:val="28"/>
        </w:rPr>
      </w:pPr>
    </w:p>
    <w:p>
      <w:pPr>
        <w:widowControl/>
        <w:jc w:val="left"/>
        <w:rPr>
          <w:rFonts w:hint="eastAsia" w:hAnsi="宋体"/>
          <w:b/>
          <w:sz w:val="28"/>
          <w:szCs w:val="28"/>
        </w:rPr>
      </w:pPr>
    </w:p>
    <w:p>
      <w:pPr>
        <w:widowControl/>
        <w:jc w:val="left"/>
        <w:rPr>
          <w:rFonts w:hAnsi="宋体"/>
          <w:b/>
          <w:sz w:val="36"/>
          <w:szCs w:val="36"/>
        </w:rPr>
      </w:pPr>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根据贵方（项目名称）（项目编号）投标邀请，正式授权下述签字人</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代表投标人 （投标人名称），提交投标文件。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按招标要求，我们的投标总报价为人民币大写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rFonts w:ascii="宋体"/>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p>
    <w:p>
      <w:pPr>
        <w:spacing w:line="360" w:lineRule="auto"/>
        <w:jc w:val="center"/>
        <w:rPr>
          <w:rFonts w:ascii="宋体"/>
          <w:sz w:val="44"/>
          <w:szCs w:val="44"/>
        </w:rPr>
      </w:pPr>
      <w:r>
        <w:rPr>
          <w:rFonts w:hint="eastAsia" w:ascii="宋体" w:hAnsi="宋体"/>
          <w:sz w:val="44"/>
          <w:szCs w:val="44"/>
        </w:rPr>
        <w:t>投标项目报价明细表</w:t>
      </w:r>
    </w:p>
    <w:p>
      <w:pPr>
        <w:spacing w:line="360" w:lineRule="auto"/>
        <w:rPr>
          <w:rFonts w:ascii="宋体"/>
          <w:sz w:val="28"/>
          <w:szCs w:val="28"/>
          <w:u w:val="single"/>
        </w:rPr>
      </w:pPr>
      <w:r>
        <w:rPr>
          <w:rFonts w:hint="eastAsia" w:ascii="宋体" w:hAnsi="宋体"/>
          <w:sz w:val="28"/>
          <w:szCs w:val="28"/>
        </w:rPr>
        <w:t>投标人</w:t>
      </w:r>
    </w:p>
    <w:p>
      <w:pPr>
        <w:spacing w:line="360" w:lineRule="auto"/>
        <w:rPr>
          <w:rFonts w:ascii="宋体"/>
          <w:sz w:val="28"/>
          <w:szCs w:val="28"/>
          <w:u w:val="single"/>
        </w:rPr>
      </w:pPr>
      <w:r>
        <w:rPr>
          <w:rFonts w:hint="eastAsia" w:ascii="宋体" w:hAnsi="宋体"/>
          <w:sz w:val="28"/>
          <w:szCs w:val="28"/>
        </w:rPr>
        <w:t>招标编号及分包号</w:t>
      </w:r>
    </w:p>
    <w:p>
      <w:pPr>
        <w:spacing w:line="360" w:lineRule="auto"/>
        <w:rPr>
          <w:rFonts w:ascii="宋体"/>
          <w:sz w:val="28"/>
          <w:szCs w:val="28"/>
          <w:u w:val="single"/>
        </w:rPr>
      </w:pPr>
      <w:r>
        <w:rPr>
          <w:rFonts w:hint="eastAsia" w:ascii="宋体" w:hAnsi="宋体"/>
          <w:sz w:val="28"/>
          <w:szCs w:val="28"/>
        </w:rPr>
        <w:t>投标报价</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b/>
                <w:sz w:val="28"/>
                <w:szCs w:val="28"/>
              </w:rPr>
            </w:pPr>
            <w:r>
              <w:rPr>
                <w:rFonts w:hint="eastAsia" w:ascii="宋体" w:hAnsi="宋体"/>
                <w:b/>
                <w:sz w:val="28"/>
                <w:szCs w:val="28"/>
              </w:rPr>
              <w:t>分包号</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名称</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描述</w:t>
            </w:r>
          </w:p>
        </w:tc>
        <w:tc>
          <w:tcPr>
            <w:tcW w:w="1065" w:type="dxa"/>
            <w:vAlign w:val="center"/>
          </w:tcPr>
          <w:p>
            <w:pPr>
              <w:spacing w:line="360" w:lineRule="auto"/>
              <w:jc w:val="center"/>
              <w:rPr>
                <w:rFonts w:ascii="宋体"/>
                <w:b/>
                <w:sz w:val="28"/>
                <w:szCs w:val="28"/>
              </w:rPr>
            </w:pPr>
            <w:r>
              <w:rPr>
                <w:rFonts w:hint="eastAsia" w:ascii="宋体" w:hAnsi="宋体"/>
                <w:b/>
                <w:sz w:val="28"/>
                <w:szCs w:val="28"/>
              </w:rPr>
              <w:t>计量</w:t>
            </w:r>
          </w:p>
          <w:p>
            <w:pPr>
              <w:spacing w:line="360" w:lineRule="auto"/>
              <w:jc w:val="center"/>
              <w:rPr>
                <w:rFonts w:ascii="宋体"/>
                <w:b/>
                <w:sz w:val="28"/>
                <w:szCs w:val="28"/>
              </w:rPr>
            </w:pPr>
            <w:r>
              <w:rPr>
                <w:rFonts w:hint="eastAsia" w:ascii="宋体" w:hAnsi="宋体"/>
                <w:b/>
                <w:sz w:val="28"/>
                <w:szCs w:val="28"/>
              </w:rPr>
              <w:t>单位</w:t>
            </w:r>
          </w:p>
        </w:tc>
        <w:tc>
          <w:tcPr>
            <w:tcW w:w="1065" w:type="dxa"/>
            <w:vAlign w:val="center"/>
          </w:tcPr>
          <w:p>
            <w:pPr>
              <w:spacing w:line="360" w:lineRule="auto"/>
              <w:jc w:val="center"/>
              <w:rPr>
                <w:rFonts w:ascii="宋体"/>
                <w:b/>
                <w:sz w:val="28"/>
                <w:szCs w:val="28"/>
              </w:rPr>
            </w:pPr>
            <w:r>
              <w:rPr>
                <w:rFonts w:hint="eastAsia" w:ascii="宋体" w:hAnsi="宋体"/>
                <w:b/>
                <w:sz w:val="28"/>
                <w:szCs w:val="28"/>
              </w:rPr>
              <w:t>数量</w:t>
            </w:r>
          </w:p>
        </w:tc>
        <w:tc>
          <w:tcPr>
            <w:tcW w:w="1065" w:type="dxa"/>
            <w:vAlign w:val="center"/>
          </w:tcPr>
          <w:p>
            <w:pPr>
              <w:spacing w:line="360" w:lineRule="auto"/>
              <w:jc w:val="center"/>
              <w:rPr>
                <w:rFonts w:ascii="宋体"/>
                <w:b/>
                <w:sz w:val="28"/>
                <w:szCs w:val="28"/>
              </w:rPr>
            </w:pPr>
            <w:r>
              <w:rPr>
                <w:rFonts w:hint="eastAsia" w:ascii="宋体" w:hAnsi="宋体"/>
                <w:b/>
                <w:sz w:val="28"/>
                <w:szCs w:val="28"/>
              </w:rPr>
              <w:t>单价</w:t>
            </w:r>
          </w:p>
        </w:tc>
        <w:tc>
          <w:tcPr>
            <w:tcW w:w="1066" w:type="dxa"/>
            <w:vAlign w:val="center"/>
          </w:tcPr>
          <w:p>
            <w:pPr>
              <w:spacing w:line="360" w:lineRule="auto"/>
              <w:jc w:val="center"/>
              <w:rPr>
                <w:rFonts w:ascii="宋体"/>
                <w:b/>
                <w:sz w:val="28"/>
                <w:szCs w:val="28"/>
              </w:rPr>
            </w:pPr>
            <w:r>
              <w:rPr>
                <w:rFonts w:hint="eastAsia" w:ascii="宋体" w:hAnsi="宋体"/>
                <w:b/>
                <w:sz w:val="28"/>
                <w:szCs w:val="28"/>
              </w:rPr>
              <w:t>每项</w:t>
            </w:r>
          </w:p>
          <w:p>
            <w:pPr>
              <w:spacing w:line="360" w:lineRule="auto"/>
              <w:jc w:val="center"/>
              <w:rPr>
                <w:rFonts w:ascii="宋体"/>
                <w:b/>
                <w:sz w:val="28"/>
                <w:szCs w:val="28"/>
              </w:rPr>
            </w:pPr>
            <w:r>
              <w:rPr>
                <w:rFonts w:hint="eastAsia" w:ascii="宋体" w:hAnsi="宋体"/>
                <w:b/>
                <w:sz w:val="28"/>
                <w:szCs w:val="28"/>
              </w:rPr>
              <w:t>总价</w:t>
            </w:r>
          </w:p>
        </w:tc>
        <w:tc>
          <w:tcPr>
            <w:tcW w:w="1066" w:type="dxa"/>
          </w:tcPr>
          <w:p>
            <w:pPr>
              <w:spacing w:line="360" w:lineRule="auto"/>
              <w:jc w:val="center"/>
              <w:rPr>
                <w:rFonts w:ascii="宋体"/>
                <w:b/>
                <w:sz w:val="28"/>
                <w:szCs w:val="28"/>
              </w:rPr>
            </w:pPr>
            <w:r>
              <w:rPr>
                <w:rFonts w:hint="eastAsia" w:ascii="宋体" w:hAnsi="宋体"/>
                <w:b/>
                <w:sz w:val="28"/>
                <w:szCs w:val="28"/>
              </w:rPr>
              <w:t>质保</w:t>
            </w:r>
          </w:p>
          <w:p>
            <w:pPr>
              <w:spacing w:line="360" w:lineRule="auto"/>
              <w:jc w:val="center"/>
              <w:rPr>
                <w:rFonts w:ascii="宋体"/>
                <w:b/>
                <w:sz w:val="28"/>
                <w:szCs w:val="28"/>
              </w:rPr>
            </w:pPr>
            <w:r>
              <w:rPr>
                <w:rFonts w:hint="eastAsia" w:ascii="宋体" w:hAnsi="宋体"/>
                <w:b/>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2"/>
            <w:vAlign w:val="center"/>
          </w:tcPr>
          <w:p>
            <w:pPr>
              <w:spacing w:line="360" w:lineRule="auto"/>
              <w:jc w:val="center"/>
              <w:rPr>
                <w:rFonts w:ascii="宋体"/>
                <w:sz w:val="28"/>
                <w:szCs w:val="28"/>
              </w:rPr>
            </w:pPr>
            <w:r>
              <w:rPr>
                <w:rFonts w:hint="eastAsia" w:ascii="宋体" w:hAnsi="宋体"/>
                <w:sz w:val="28"/>
                <w:szCs w:val="28"/>
              </w:rPr>
              <w:t>合计总价</w:t>
            </w:r>
          </w:p>
        </w:tc>
        <w:tc>
          <w:tcPr>
            <w:tcW w:w="6392" w:type="dxa"/>
            <w:gridSpan w:val="6"/>
            <w:vAlign w:val="center"/>
          </w:tcPr>
          <w:p>
            <w:pPr>
              <w:spacing w:line="360" w:lineRule="auto"/>
              <w:rPr>
                <w:rFonts w:ascii="宋体"/>
                <w:sz w:val="28"/>
                <w:szCs w:val="28"/>
                <w:u w:val="single"/>
              </w:rPr>
            </w:pPr>
            <w:r>
              <w:rPr>
                <w:rFonts w:hint="eastAsia" w:ascii="宋体" w:hAnsi="宋体"/>
                <w:sz w:val="28"/>
                <w:szCs w:val="28"/>
              </w:rPr>
              <w:t>大写：小写：元</w:t>
            </w:r>
          </w:p>
        </w:tc>
      </w:tr>
    </w:tbl>
    <w:p>
      <w:pPr>
        <w:spacing w:line="360" w:lineRule="auto"/>
        <w:rPr>
          <w:rFonts w:ascii="宋体"/>
          <w:sz w:val="28"/>
          <w:szCs w:val="28"/>
        </w:rPr>
      </w:pPr>
      <w:r>
        <w:rPr>
          <w:rFonts w:hint="eastAsia" w:ascii="宋体" w:hAnsi="宋体"/>
          <w:sz w:val="28"/>
          <w:szCs w:val="28"/>
        </w:rPr>
        <w:t>（可续页）</w:t>
      </w:r>
    </w:p>
    <w:p>
      <w:pPr>
        <w:spacing w:line="360" w:lineRule="auto"/>
        <w:rPr>
          <w:rFonts w:ascii="宋体"/>
          <w:sz w:val="28"/>
          <w:szCs w:val="28"/>
        </w:rPr>
      </w:pPr>
    </w:p>
    <w:p>
      <w:pPr>
        <w:spacing w:line="360" w:lineRule="auto"/>
        <w:rPr>
          <w:rFonts w:ascii="宋体"/>
          <w:sz w:val="28"/>
          <w:szCs w:val="28"/>
          <w:u w:val="single"/>
        </w:rPr>
      </w:pPr>
      <w:r>
        <w:rPr>
          <w:rFonts w:hint="eastAsia" w:ascii="宋体" w:hAnsi="宋体"/>
          <w:sz w:val="28"/>
          <w:szCs w:val="28"/>
        </w:rPr>
        <w:t>单位盖章：</w:t>
      </w:r>
    </w:p>
    <w:p>
      <w:pPr>
        <w:spacing w:line="360" w:lineRule="auto"/>
        <w:rPr>
          <w:rFonts w:ascii="宋体"/>
          <w:sz w:val="28"/>
          <w:szCs w:val="28"/>
          <w:u w:val="single"/>
        </w:rPr>
      </w:pPr>
      <w:r>
        <w:rPr>
          <w:rFonts w:hint="eastAsia" w:ascii="宋体" w:hAnsi="宋体"/>
          <w:sz w:val="28"/>
          <w:szCs w:val="28"/>
        </w:rPr>
        <w:t>授权代表签字：</w:t>
      </w:r>
    </w:p>
    <w:p>
      <w:pPr>
        <w:spacing w:line="360" w:lineRule="auto"/>
        <w:rPr>
          <w:rFonts w:ascii="宋体"/>
          <w:sz w:val="28"/>
          <w:szCs w:val="28"/>
        </w:rPr>
      </w:pPr>
    </w:p>
    <w:p>
      <w:pPr>
        <w:spacing w:line="360" w:lineRule="auto"/>
        <w:rPr>
          <w:rFonts w:ascii="宋体"/>
          <w:sz w:val="28"/>
          <w:szCs w:val="28"/>
        </w:rPr>
      </w:pPr>
      <w:r>
        <w:rPr>
          <w:rFonts w:hint="eastAsia" w:ascii="宋体" w:hAnsi="宋体"/>
          <w:sz w:val="28"/>
          <w:szCs w:val="28"/>
        </w:rPr>
        <w:t>年月日</w:t>
      </w:r>
    </w:p>
    <w:p>
      <w:pPr>
        <w:jc w:val="left"/>
        <w:rPr>
          <w:b/>
          <w:sz w:val="28"/>
          <w:szCs w:val="28"/>
        </w:rPr>
      </w:pPr>
    </w:p>
    <w:p>
      <w:pPr>
        <w:widowControl/>
        <w:spacing w:line="360" w:lineRule="auto"/>
        <w:ind w:firstLine="482" w:firstLineChars="200"/>
        <w:textAlignment w:val="center"/>
        <w:rPr>
          <w:rFonts w:ascii="宋体" w:hAnsi="宋体"/>
          <w:b/>
          <w:sz w:val="28"/>
          <w:szCs w:val="28"/>
        </w:rPr>
      </w:pPr>
      <w:r>
        <w:rPr>
          <w:rFonts w:hint="eastAsia" w:ascii="宋体" w:hAnsi="宋体"/>
          <w:b/>
          <w:sz w:val="24"/>
        </w:rPr>
        <w:t>附件4：</w:t>
      </w:r>
      <w:r>
        <w:rPr>
          <w:rFonts w:hint="eastAsia" w:ascii="宋体" w:hAnsi="宋体"/>
          <w:b/>
          <w:sz w:val="28"/>
          <w:szCs w:val="28"/>
        </w:rPr>
        <w:t>服务要求</w:t>
      </w:r>
    </w:p>
    <w:bookmarkEnd w:id="9"/>
    <w:bookmarkEnd w:id="10"/>
    <w:p>
      <w:pPr>
        <w:widowControl/>
        <w:spacing w:line="360" w:lineRule="auto"/>
        <w:ind w:firstLine="480" w:firstLineChars="200"/>
        <w:textAlignment w:val="center"/>
        <w:rPr>
          <w:rFonts w:ascii="宋体" w:hAnsi="宋体"/>
          <w:bCs/>
          <w:sz w:val="24"/>
        </w:rPr>
      </w:pPr>
      <w:r>
        <w:rPr>
          <w:rFonts w:ascii="宋体" w:hAnsi="宋体"/>
          <w:bCs/>
          <w:sz w:val="24"/>
        </w:rPr>
        <w:t>1</w:t>
      </w:r>
      <w:r>
        <w:rPr>
          <w:rFonts w:hint="eastAsia" w:ascii="宋体" w:hAnsi="宋体"/>
          <w:bCs/>
          <w:sz w:val="24"/>
        </w:rPr>
        <w:t>、★质保期：提供三年</w:t>
      </w:r>
      <w:r>
        <w:rPr>
          <w:rFonts w:ascii="宋体" w:hAnsi="宋体"/>
          <w:bCs/>
          <w:sz w:val="24"/>
        </w:rPr>
        <w:t>原厂免费质保期（设备质保自现场验收合格之日算起，开始进入质保期）</w:t>
      </w:r>
      <w:r>
        <w:rPr>
          <w:rFonts w:hint="eastAsia" w:ascii="宋体" w:hAnsi="宋体"/>
          <w:bCs/>
          <w:sz w:val="24"/>
        </w:rPr>
        <w:t>，</w:t>
      </w:r>
      <w:r>
        <w:rPr>
          <w:rFonts w:ascii="宋体" w:hAnsi="宋体"/>
          <w:bCs/>
          <w:sz w:val="24"/>
        </w:rPr>
        <w:t>并能够对原有设备进行</w:t>
      </w:r>
      <w:r>
        <w:rPr>
          <w:rFonts w:hint="eastAsia" w:ascii="宋体" w:hAnsi="宋体"/>
          <w:bCs/>
          <w:sz w:val="24"/>
        </w:rPr>
        <w:t>兼容对接，实现资源</w:t>
      </w:r>
      <w:r>
        <w:rPr>
          <w:rFonts w:ascii="宋体" w:hAnsi="宋体"/>
          <w:bCs/>
          <w:sz w:val="24"/>
        </w:rPr>
        <w:t>的有效利用。</w:t>
      </w:r>
    </w:p>
    <w:p>
      <w:pPr>
        <w:widowControl/>
        <w:spacing w:line="360" w:lineRule="auto"/>
        <w:ind w:firstLine="480" w:firstLineChars="200"/>
        <w:textAlignment w:val="center"/>
        <w:rPr>
          <w:rFonts w:ascii="宋体" w:hAnsi="宋体"/>
          <w:bCs/>
          <w:sz w:val="24"/>
        </w:rPr>
      </w:pPr>
      <w:r>
        <w:rPr>
          <w:rFonts w:hint="eastAsia" w:ascii="宋体" w:hAnsi="宋体"/>
          <w:bCs/>
          <w:sz w:val="24"/>
        </w:rPr>
        <w:t>2、交货时间：签订合同后三十个日历日内完成供货、安装及相关调试，通过验收，交付使用。</w:t>
      </w:r>
    </w:p>
    <w:p>
      <w:pPr>
        <w:widowControl/>
        <w:spacing w:line="360" w:lineRule="auto"/>
        <w:ind w:firstLine="480" w:firstLineChars="200"/>
        <w:textAlignment w:val="center"/>
        <w:rPr>
          <w:rFonts w:ascii="宋体" w:hAnsi="宋体"/>
          <w:bCs/>
          <w:sz w:val="24"/>
        </w:rPr>
      </w:pPr>
      <w:r>
        <w:rPr>
          <w:rFonts w:hint="eastAsia" w:ascii="宋体" w:hAnsi="宋体"/>
          <w:bCs/>
          <w:sz w:val="24"/>
        </w:rPr>
        <w:t>3、培训要求：供应商应提供免费培训服务，时间和地点与用户协商，保证培训完成后用户可以独立使用设备及完成简单故障的诊断与处理。</w:t>
      </w:r>
    </w:p>
    <w:p>
      <w:pPr>
        <w:widowControl/>
        <w:spacing w:line="360" w:lineRule="auto"/>
        <w:ind w:firstLine="480" w:firstLineChars="200"/>
        <w:textAlignment w:val="center"/>
        <w:rPr>
          <w:rFonts w:ascii="宋体" w:hAnsi="宋体"/>
          <w:bCs/>
          <w:sz w:val="24"/>
        </w:rPr>
      </w:pPr>
      <w:r>
        <w:rPr>
          <w:rFonts w:ascii="宋体" w:hAnsi="宋体"/>
          <w:bCs/>
          <w:sz w:val="24"/>
        </w:rPr>
        <w:t>4</w:t>
      </w:r>
      <w:r>
        <w:rPr>
          <w:rFonts w:hint="eastAsia" w:ascii="宋体" w:hAnsi="宋体"/>
          <w:bCs/>
          <w:sz w:val="24"/>
        </w:rPr>
        <w:t>、售后服务响应要求：在保修期内每季度回访，有问题做到及时处理，出现质量问题或故障时，响应时间为4小时，遇到紧急突发事件远程无法解决，工程师应在8小时内到达现场并排除故障。</w:t>
      </w:r>
    </w:p>
    <w:p>
      <w:pPr>
        <w:widowControl/>
        <w:spacing w:line="360" w:lineRule="auto"/>
        <w:ind w:firstLine="480" w:firstLineChars="200"/>
        <w:textAlignment w:val="center"/>
        <w:rPr>
          <w:rFonts w:ascii="宋体" w:hAnsi="宋体"/>
          <w:bCs/>
          <w:sz w:val="24"/>
        </w:rPr>
      </w:pPr>
      <w:r>
        <w:rPr>
          <w:rFonts w:hint="eastAsia" w:ascii="宋体" w:hAnsi="宋体"/>
          <w:bCs/>
          <w:sz w:val="24"/>
        </w:rPr>
        <w:t>5、实施要求：整个项目为交钥匙工程，供应商要在提供完整、可靠设备的同时，为整个系统提供规范、达标的项目安装工作。安装所需的必要仪器和专用工具由供应商自备。项目完工后，通过供应商提供的设备和安装服务，能满足采购人的要求。供应商应充分考虑配电，机房，布线等各方面的需求，根据本次提供的主要硬件清单在投标文件中自行编制能符合主流的整体架构方案，如因缺少部分硬件设备、接插件、模块、链路等重要因素导致系统无法联调或可能影响整体业务系统正常运行的，供应商必须在投标文件中明示提出并将清单完善补足，费用包含在项目投标总价中，否则视为供应商完全理解项目需求和内容，如实施过程中发现上述问题则由中标供应商免费解决，完整配置保证系统能正常运行的内容不仅包括业务系统及硬件设备，还应包含相关软件安装调试、硬件及配件、线缆、人力、保险、运输、不可预计费用等，并安装调试完成直至正常运行。</w:t>
      </w: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adjustRightInd w:val="0"/>
        <w:snapToGrid w:val="0"/>
        <w:spacing w:line="360" w:lineRule="auto"/>
        <w:rPr>
          <w:rFonts w:ascii="宋体" w:cs="仿宋"/>
          <w:b/>
          <w:bCs/>
          <w:sz w:val="28"/>
          <w:szCs w:val="28"/>
        </w:rPr>
      </w:pPr>
      <w:r>
        <w:rPr>
          <w:rFonts w:hint="eastAsia" w:ascii="宋体" w:hAnsi="宋体" w:cs="仿宋"/>
          <w:b/>
          <w:bCs/>
          <w:sz w:val="28"/>
          <w:szCs w:val="28"/>
        </w:rPr>
        <w:t>附件</w:t>
      </w:r>
      <w:r>
        <w:rPr>
          <w:rFonts w:ascii="宋体" w:hAnsi="宋体" w:cs="仿宋"/>
          <w:b/>
          <w:bCs/>
          <w:sz w:val="28"/>
          <w:szCs w:val="28"/>
        </w:rPr>
        <w:t>5</w:t>
      </w:r>
      <w:r>
        <w:rPr>
          <w:rFonts w:hint="eastAsia" w:ascii="宋体" w:hAnsi="宋体" w:cs="仿宋"/>
          <w:b/>
          <w:bCs/>
          <w:sz w:val="28"/>
          <w:szCs w:val="28"/>
        </w:rPr>
        <w:t>：评标办法</w:t>
      </w:r>
    </w:p>
    <w:p>
      <w:pPr>
        <w:spacing w:line="360" w:lineRule="auto"/>
        <w:ind w:firstLine="482" w:firstLineChars="200"/>
        <w:rPr>
          <w:rFonts w:ascii="宋体" w:hAnsi="宋体"/>
          <w:b/>
          <w:bCs/>
          <w:sz w:val="24"/>
        </w:rPr>
      </w:pPr>
      <w:r>
        <w:rPr>
          <w:rFonts w:hint="eastAsia" w:ascii="宋体" w:hAnsi="宋体"/>
          <w:b/>
          <w:bCs/>
          <w:sz w:val="24"/>
        </w:rPr>
        <w:t>本项目采用综合评分法，总分为：</w:t>
      </w:r>
      <w:r>
        <w:rPr>
          <w:rFonts w:ascii="宋体" w:hAnsi="宋体"/>
          <w:b/>
          <w:bCs/>
          <w:sz w:val="24"/>
        </w:rPr>
        <w:t>100</w:t>
      </w:r>
      <w:r>
        <w:rPr>
          <w:rFonts w:hint="eastAsia" w:ascii="宋体" w:hAnsi="宋体"/>
          <w:b/>
          <w:bCs/>
          <w:sz w:val="24"/>
        </w:rPr>
        <w:t>分。</w:t>
      </w:r>
    </w:p>
    <w:tbl>
      <w:tblPr>
        <w:tblStyle w:val="1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350"/>
        <w:gridCol w:w="5394"/>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noWrap w:val="0"/>
            <w:vAlign w:val="center"/>
          </w:tcPr>
          <w:p>
            <w:pPr>
              <w:jc w:val="center"/>
              <w:rPr>
                <w:rFonts w:ascii="宋体" w:hAnsi="宋体"/>
                <w:b/>
                <w:szCs w:val="21"/>
              </w:rPr>
            </w:pPr>
            <w:r>
              <w:rPr>
                <w:rFonts w:hint="eastAsia" w:ascii="宋体" w:hAnsi="宋体"/>
                <w:b/>
                <w:szCs w:val="21"/>
              </w:rPr>
              <w:t>序号</w:t>
            </w:r>
          </w:p>
        </w:tc>
        <w:tc>
          <w:tcPr>
            <w:tcW w:w="1350" w:type="dxa"/>
            <w:noWrap w:val="0"/>
            <w:vAlign w:val="center"/>
          </w:tcPr>
          <w:p>
            <w:pPr>
              <w:jc w:val="center"/>
              <w:rPr>
                <w:rFonts w:ascii="宋体" w:hAnsi="宋体"/>
                <w:b/>
                <w:szCs w:val="21"/>
              </w:rPr>
            </w:pPr>
            <w:r>
              <w:rPr>
                <w:rFonts w:hint="eastAsia" w:ascii="宋体" w:hAnsi="宋体"/>
                <w:b/>
                <w:szCs w:val="21"/>
              </w:rPr>
              <w:t>评审因素</w:t>
            </w:r>
          </w:p>
        </w:tc>
        <w:tc>
          <w:tcPr>
            <w:tcW w:w="5394" w:type="dxa"/>
            <w:noWrap w:val="0"/>
            <w:vAlign w:val="center"/>
          </w:tcPr>
          <w:p>
            <w:pPr>
              <w:jc w:val="center"/>
              <w:rPr>
                <w:rFonts w:ascii="宋体" w:hAnsi="宋体"/>
                <w:b/>
                <w:szCs w:val="21"/>
              </w:rPr>
            </w:pPr>
            <w:r>
              <w:rPr>
                <w:rFonts w:hint="eastAsia" w:ascii="宋体" w:hAnsi="宋体"/>
                <w:b/>
                <w:szCs w:val="21"/>
              </w:rPr>
              <w:t>评审细则</w:t>
            </w:r>
          </w:p>
        </w:tc>
        <w:tc>
          <w:tcPr>
            <w:tcW w:w="1096" w:type="dxa"/>
            <w:noWrap w:val="0"/>
            <w:vAlign w:val="center"/>
          </w:tcPr>
          <w:p>
            <w:pPr>
              <w:jc w:val="center"/>
              <w:rPr>
                <w:rFonts w:ascii="宋体" w:hAnsi="宋体"/>
                <w:b/>
                <w:szCs w:val="21"/>
              </w:rPr>
            </w:pPr>
            <w:r>
              <w:rPr>
                <w:rFonts w:hint="eastAsia" w:ascii="宋体" w:hAnsi="宋体"/>
                <w:b/>
                <w:szCs w:val="21"/>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36" w:type="dxa"/>
            <w:gridSpan w:val="4"/>
            <w:noWrap w:val="0"/>
            <w:vAlign w:val="center"/>
          </w:tcPr>
          <w:p>
            <w:pPr>
              <w:rPr>
                <w:rFonts w:ascii="宋体" w:hAnsi="宋体"/>
                <w:szCs w:val="21"/>
              </w:rPr>
            </w:pPr>
            <w:r>
              <w:rPr>
                <w:rFonts w:hint="eastAsia" w:ascii="宋体" w:hAnsi="宋体"/>
                <w:szCs w:val="21"/>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noWrap w:val="0"/>
            <w:vAlign w:val="center"/>
          </w:tcPr>
          <w:p>
            <w:pPr>
              <w:jc w:val="center"/>
              <w:rPr>
                <w:rFonts w:ascii="宋体" w:hAnsi="宋体"/>
                <w:szCs w:val="21"/>
              </w:rPr>
            </w:pPr>
            <w:r>
              <w:rPr>
                <w:rFonts w:ascii="宋体" w:hAnsi="宋体"/>
                <w:szCs w:val="21"/>
              </w:rPr>
              <w:t>1.1</w:t>
            </w:r>
          </w:p>
        </w:tc>
        <w:tc>
          <w:tcPr>
            <w:tcW w:w="1350" w:type="dxa"/>
            <w:noWrap w:val="0"/>
            <w:vAlign w:val="center"/>
          </w:tcPr>
          <w:p>
            <w:pPr>
              <w:jc w:val="center"/>
              <w:rPr>
                <w:rFonts w:ascii="宋体" w:hAnsi="宋体"/>
                <w:szCs w:val="21"/>
              </w:rPr>
            </w:pPr>
            <w:r>
              <w:rPr>
                <w:rFonts w:hint="eastAsia" w:ascii="宋体" w:hAnsi="宋体"/>
                <w:szCs w:val="21"/>
              </w:rPr>
              <w:t>价格</w:t>
            </w:r>
          </w:p>
        </w:tc>
        <w:tc>
          <w:tcPr>
            <w:tcW w:w="5394" w:type="dxa"/>
            <w:noWrap w:val="0"/>
            <w:vAlign w:val="center"/>
          </w:tcPr>
          <w:p>
            <w:pPr>
              <w:rPr>
                <w:rFonts w:ascii="宋体" w:hAnsi="宋体"/>
                <w:szCs w:val="21"/>
              </w:rPr>
            </w:pPr>
            <w:r>
              <w:rPr>
                <w:rFonts w:hint="eastAsia" w:ascii="宋体" w:hAnsi="宋体"/>
                <w:szCs w:val="21"/>
              </w:rPr>
              <w:t>采用低价优先法计算，即满足招标文件要求且投标价格最</w:t>
            </w:r>
            <w:r>
              <w:rPr>
                <w:rFonts w:ascii="宋体" w:hAnsi="宋体"/>
                <w:szCs w:val="21"/>
              </w:rPr>
              <w:t xml:space="preserve"> </w:t>
            </w:r>
            <w:r>
              <w:rPr>
                <w:rFonts w:hint="eastAsia" w:ascii="宋体" w:hAnsi="宋体"/>
                <w:szCs w:val="21"/>
              </w:rPr>
              <w:t>低的投标报价为评标基准价，其价格分为满分。其他投标人的价格分统一按照下列公式计算：投标报价得分</w:t>
            </w:r>
            <w:r>
              <w:rPr>
                <w:rFonts w:ascii="宋体" w:hAnsi="宋体"/>
                <w:szCs w:val="21"/>
              </w:rPr>
              <w:t>=(</w:t>
            </w:r>
            <w:r>
              <w:rPr>
                <w:rFonts w:hint="eastAsia" w:ascii="宋体" w:hAnsi="宋体"/>
                <w:szCs w:val="21"/>
              </w:rPr>
              <w:t>评标基准价</w:t>
            </w:r>
            <w:r>
              <w:rPr>
                <w:rFonts w:ascii="宋体" w:hAnsi="宋体"/>
                <w:szCs w:val="21"/>
              </w:rPr>
              <w:t>/</w:t>
            </w:r>
            <w:r>
              <w:rPr>
                <w:rFonts w:hint="eastAsia" w:ascii="宋体" w:hAnsi="宋体"/>
                <w:szCs w:val="21"/>
              </w:rPr>
              <w:t>投标报价</w:t>
            </w:r>
            <w:r>
              <w:rPr>
                <w:rFonts w:ascii="宋体" w:hAnsi="宋体"/>
                <w:szCs w:val="21"/>
              </w:rPr>
              <w:t>)</w:t>
            </w:r>
            <w:r>
              <w:rPr>
                <w:rFonts w:hint="eastAsia" w:ascii="宋体" w:hAnsi="宋体"/>
                <w:szCs w:val="21"/>
              </w:rPr>
              <w:t>×</w:t>
            </w:r>
            <w:r>
              <w:rPr>
                <w:rFonts w:ascii="宋体" w:hAnsi="宋体"/>
                <w:szCs w:val="21"/>
              </w:rPr>
              <w:t>35.00</w:t>
            </w:r>
          </w:p>
        </w:tc>
        <w:tc>
          <w:tcPr>
            <w:tcW w:w="1096" w:type="dxa"/>
            <w:noWrap w:val="0"/>
            <w:vAlign w:val="center"/>
          </w:tcPr>
          <w:p>
            <w:pPr>
              <w:jc w:val="center"/>
              <w:rPr>
                <w:rFonts w:ascii="宋体" w:hAnsi="宋体"/>
                <w:szCs w:val="21"/>
              </w:rPr>
            </w:pPr>
            <w:r>
              <w:rPr>
                <w:rFonts w:ascii="宋体" w:hAnsi="宋体"/>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36" w:type="dxa"/>
            <w:gridSpan w:val="4"/>
            <w:noWrap w:val="0"/>
            <w:vAlign w:val="center"/>
          </w:tcPr>
          <w:p>
            <w:pPr>
              <w:rPr>
                <w:rFonts w:ascii="宋体" w:hAnsi="宋体"/>
                <w:szCs w:val="21"/>
              </w:rPr>
            </w:pPr>
            <w:r>
              <w:rPr>
                <w:rFonts w:hint="eastAsia" w:ascii="宋体" w:hAnsi="宋体"/>
                <w:szCs w:val="21"/>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noWrap w:val="0"/>
            <w:vAlign w:val="center"/>
          </w:tcPr>
          <w:p>
            <w:pPr>
              <w:jc w:val="center"/>
              <w:rPr>
                <w:rFonts w:ascii="宋体" w:hAnsi="宋体"/>
                <w:szCs w:val="21"/>
              </w:rPr>
            </w:pPr>
            <w:r>
              <w:rPr>
                <w:rFonts w:ascii="宋体" w:hAnsi="宋体"/>
                <w:szCs w:val="21"/>
              </w:rPr>
              <w:t>2.1</w:t>
            </w:r>
          </w:p>
        </w:tc>
        <w:tc>
          <w:tcPr>
            <w:tcW w:w="1350" w:type="dxa"/>
            <w:noWrap w:val="0"/>
            <w:vAlign w:val="center"/>
          </w:tcPr>
          <w:p>
            <w:pPr>
              <w:jc w:val="center"/>
              <w:rPr>
                <w:rFonts w:ascii="宋体" w:hAnsi="宋体"/>
                <w:szCs w:val="21"/>
              </w:rPr>
            </w:pPr>
            <w:r>
              <w:rPr>
                <w:rFonts w:hint="eastAsia" w:ascii="宋体" w:hAnsi="宋体"/>
                <w:szCs w:val="21"/>
              </w:rPr>
              <w:t>技术性能指标响应程度</w:t>
            </w:r>
          </w:p>
        </w:tc>
        <w:tc>
          <w:tcPr>
            <w:tcW w:w="5394" w:type="dxa"/>
            <w:noWrap w:val="0"/>
            <w:vAlign w:val="center"/>
          </w:tcPr>
          <w:p>
            <w:pPr>
              <w:rPr>
                <w:rFonts w:ascii="宋体" w:hAnsi="宋体"/>
                <w:szCs w:val="21"/>
              </w:rPr>
            </w:pPr>
            <w:r>
              <w:rPr>
                <w:rFonts w:hint="eastAsia" w:ascii="宋体" w:hAnsi="宋体"/>
                <w:szCs w:val="21"/>
              </w:rPr>
              <w:t>投标文件中所投产品的技术参数全部满足招标文件的得</w:t>
            </w:r>
            <w:r>
              <w:rPr>
                <w:rFonts w:ascii="宋体" w:hAnsi="宋体"/>
                <w:szCs w:val="21"/>
              </w:rPr>
              <w:t xml:space="preserve">40 </w:t>
            </w:r>
            <w:r>
              <w:rPr>
                <w:rFonts w:hint="eastAsia" w:ascii="宋体" w:hAnsi="宋体"/>
                <w:szCs w:val="21"/>
              </w:rPr>
              <w:t>分；打★号指标为必须满足项，如有负偏离将作为无效投标；非打★号指标，有一项负偏离扣</w:t>
            </w:r>
            <w:r>
              <w:rPr>
                <w:rFonts w:ascii="宋体" w:hAnsi="宋体"/>
                <w:szCs w:val="21"/>
              </w:rPr>
              <w:t>5</w:t>
            </w:r>
            <w:r>
              <w:rPr>
                <w:rFonts w:hint="eastAsia" w:ascii="宋体" w:hAnsi="宋体"/>
                <w:szCs w:val="21"/>
              </w:rPr>
              <w:t>分，扣完为止。严重负偏离经评标委员会认定影响整个系统正常运行，则该投标方案无效。</w:t>
            </w:r>
          </w:p>
        </w:tc>
        <w:tc>
          <w:tcPr>
            <w:tcW w:w="1096" w:type="dxa"/>
            <w:noWrap w:val="0"/>
            <w:vAlign w:val="center"/>
          </w:tcPr>
          <w:p>
            <w:pPr>
              <w:jc w:val="center"/>
              <w:rPr>
                <w:rFonts w:ascii="宋体" w:hAnsi="宋体"/>
                <w:szCs w:val="21"/>
              </w:rPr>
            </w:pPr>
            <w:r>
              <w:rPr>
                <w:rFonts w:ascii="宋体" w:hAnsi="宋体"/>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36" w:type="dxa"/>
            <w:gridSpan w:val="4"/>
            <w:noWrap w:val="0"/>
            <w:vAlign w:val="center"/>
          </w:tcPr>
          <w:p>
            <w:pPr>
              <w:jc w:val="left"/>
              <w:rPr>
                <w:rFonts w:hint="eastAsia" w:ascii="宋体" w:hAnsi="宋体"/>
                <w:szCs w:val="21"/>
              </w:rPr>
            </w:pPr>
            <w:r>
              <w:rPr>
                <w:rFonts w:hint="eastAsia" w:ascii="宋体" w:hAnsi="宋体"/>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noWrap w:val="0"/>
            <w:vAlign w:val="center"/>
          </w:tcPr>
          <w:p>
            <w:pPr>
              <w:jc w:val="center"/>
              <w:rPr>
                <w:rFonts w:ascii="宋体" w:hAnsi="宋体"/>
                <w:szCs w:val="21"/>
              </w:rPr>
            </w:pPr>
            <w:r>
              <w:rPr>
                <w:rFonts w:ascii="宋体" w:hAnsi="宋体"/>
                <w:szCs w:val="21"/>
              </w:rPr>
              <w:t>3.1</w:t>
            </w:r>
          </w:p>
        </w:tc>
        <w:tc>
          <w:tcPr>
            <w:tcW w:w="1350" w:type="dxa"/>
            <w:noWrap w:val="0"/>
            <w:vAlign w:val="center"/>
          </w:tcPr>
          <w:p>
            <w:pPr>
              <w:jc w:val="center"/>
              <w:rPr>
                <w:rFonts w:hint="eastAsia" w:ascii="宋体" w:hAnsi="宋体" w:cs="宋体"/>
                <w:kern w:val="0"/>
                <w:szCs w:val="21"/>
              </w:rPr>
            </w:pPr>
            <w:r>
              <w:rPr>
                <w:rFonts w:hint="eastAsia" w:ascii="宋体" w:hAnsi="宋体" w:cs="宋体"/>
                <w:kern w:val="0"/>
                <w:szCs w:val="21"/>
              </w:rPr>
              <w:t>售后服务综合评价</w:t>
            </w:r>
          </w:p>
        </w:tc>
        <w:tc>
          <w:tcPr>
            <w:tcW w:w="5394" w:type="dxa"/>
            <w:noWrap w:val="0"/>
            <w:vAlign w:val="center"/>
          </w:tcPr>
          <w:p>
            <w:pPr>
              <w:jc w:val="left"/>
              <w:rPr>
                <w:rFonts w:hint="eastAsia" w:ascii="宋体" w:hAnsi="宋体"/>
                <w:szCs w:val="21"/>
              </w:rPr>
            </w:pPr>
            <w:r>
              <w:rPr>
                <w:rFonts w:hint="eastAsia" w:ascii="宋体" w:hAnsi="宋体"/>
                <w:szCs w:val="21"/>
              </w:rPr>
              <w:t>评委根据投标人提供的项目实施方案、安装调试计划，安装调试人员配置、服务内容、专业技术人员保障及服务电话、用户培训方案等综合评分, 优秀的得</w:t>
            </w:r>
            <w:r>
              <w:rPr>
                <w:rFonts w:ascii="宋体" w:hAnsi="宋体"/>
                <w:szCs w:val="21"/>
              </w:rPr>
              <w:t>9</w:t>
            </w:r>
            <w:r>
              <w:rPr>
                <w:rFonts w:hint="eastAsia" w:ascii="宋体" w:hAnsi="宋体"/>
                <w:szCs w:val="21"/>
              </w:rPr>
              <w:t>-1</w:t>
            </w:r>
            <w:r>
              <w:rPr>
                <w:rFonts w:ascii="宋体" w:hAnsi="宋体"/>
                <w:szCs w:val="21"/>
              </w:rPr>
              <w:t>2</w:t>
            </w:r>
            <w:r>
              <w:rPr>
                <w:rFonts w:hint="eastAsia" w:ascii="宋体" w:hAnsi="宋体"/>
                <w:szCs w:val="21"/>
              </w:rPr>
              <w:t>分，良好的得</w:t>
            </w:r>
            <w:r>
              <w:rPr>
                <w:rFonts w:ascii="宋体" w:hAnsi="宋体"/>
                <w:szCs w:val="21"/>
              </w:rPr>
              <w:t>5</w:t>
            </w:r>
            <w:r>
              <w:rPr>
                <w:rFonts w:hint="eastAsia" w:ascii="宋体" w:hAnsi="宋体"/>
                <w:szCs w:val="21"/>
              </w:rPr>
              <w:t>-</w:t>
            </w:r>
            <w:r>
              <w:rPr>
                <w:rFonts w:ascii="宋体" w:hAnsi="宋体"/>
                <w:szCs w:val="21"/>
              </w:rPr>
              <w:t>8</w:t>
            </w:r>
            <w:r>
              <w:rPr>
                <w:rFonts w:hint="eastAsia" w:ascii="宋体" w:hAnsi="宋体"/>
                <w:szCs w:val="21"/>
              </w:rPr>
              <w:t>分，一般的得1-</w:t>
            </w:r>
            <w:r>
              <w:rPr>
                <w:rFonts w:ascii="宋体" w:hAnsi="宋体"/>
                <w:szCs w:val="21"/>
              </w:rPr>
              <w:t>4</w:t>
            </w:r>
            <w:r>
              <w:rPr>
                <w:rFonts w:hint="eastAsia" w:ascii="宋体" w:hAnsi="宋体"/>
                <w:szCs w:val="21"/>
              </w:rPr>
              <w:t>分。不提供不得分。</w:t>
            </w:r>
          </w:p>
        </w:tc>
        <w:tc>
          <w:tcPr>
            <w:tcW w:w="1096" w:type="dxa"/>
            <w:noWrap w:val="0"/>
            <w:vAlign w:val="center"/>
          </w:tcPr>
          <w:p>
            <w:pPr>
              <w:jc w:val="center"/>
              <w:rPr>
                <w:rFonts w:hint="eastAsia" w:ascii="宋体" w:hAnsi="宋体"/>
                <w:szCs w:val="21"/>
              </w:rPr>
            </w:pPr>
            <w:r>
              <w:rPr>
                <w:rFonts w:hint="eastAsia" w:ascii="宋体" w:hAnsi="宋体"/>
                <w:szCs w:val="21"/>
              </w:rPr>
              <w:t>1</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36" w:type="dxa"/>
            <w:gridSpan w:val="4"/>
            <w:noWrap w:val="0"/>
            <w:vAlign w:val="center"/>
          </w:tcPr>
          <w:p>
            <w:pPr>
              <w:rPr>
                <w:rFonts w:ascii="宋体" w:hAnsi="宋体"/>
                <w:szCs w:val="21"/>
              </w:rPr>
            </w:pPr>
            <w:r>
              <w:rPr>
                <w:rFonts w:hint="eastAsia" w:ascii="宋体" w:hAnsi="宋体"/>
                <w:szCs w:val="21"/>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noWrap w:val="0"/>
            <w:vAlign w:val="center"/>
          </w:tcPr>
          <w:p>
            <w:pPr>
              <w:jc w:val="center"/>
              <w:rPr>
                <w:rFonts w:ascii="宋体" w:hAnsi="宋体"/>
                <w:szCs w:val="21"/>
              </w:rPr>
            </w:pPr>
            <w:r>
              <w:rPr>
                <w:rFonts w:ascii="宋体" w:hAnsi="宋体"/>
                <w:szCs w:val="21"/>
              </w:rPr>
              <w:t>4.1</w:t>
            </w:r>
          </w:p>
        </w:tc>
        <w:tc>
          <w:tcPr>
            <w:tcW w:w="1350" w:type="dxa"/>
            <w:noWrap w:val="0"/>
            <w:vAlign w:val="center"/>
          </w:tcPr>
          <w:p>
            <w:pPr>
              <w:jc w:val="center"/>
              <w:rPr>
                <w:rFonts w:ascii="宋体" w:hAnsi="宋体"/>
                <w:szCs w:val="21"/>
              </w:rPr>
            </w:pPr>
            <w:r>
              <w:rPr>
                <w:rFonts w:hint="eastAsia" w:ascii="宋体" w:hAnsi="宋体"/>
                <w:szCs w:val="21"/>
              </w:rPr>
              <w:t>业绩</w:t>
            </w:r>
          </w:p>
        </w:tc>
        <w:tc>
          <w:tcPr>
            <w:tcW w:w="5394" w:type="dxa"/>
            <w:noWrap w:val="0"/>
            <w:vAlign w:val="center"/>
          </w:tcPr>
          <w:p>
            <w:pPr>
              <w:rPr>
                <w:rFonts w:ascii="宋体" w:hAnsi="宋体"/>
                <w:szCs w:val="21"/>
              </w:rPr>
            </w:pPr>
            <w:r>
              <w:rPr>
                <w:rFonts w:hint="eastAsia" w:ascii="宋体" w:hAnsi="宋体"/>
                <w:szCs w:val="21"/>
              </w:rPr>
              <w:t>供应商提供自</w:t>
            </w:r>
            <w:r>
              <w:rPr>
                <w:rFonts w:ascii="宋体" w:hAnsi="宋体"/>
                <w:szCs w:val="21"/>
              </w:rPr>
              <w:t>2018年1月1日以来类似</w:t>
            </w:r>
            <w:r>
              <w:rPr>
                <w:rFonts w:hint="eastAsia" w:ascii="宋体" w:hAnsi="宋体"/>
                <w:szCs w:val="21"/>
              </w:rPr>
              <w:t>项目案例的，每个得</w:t>
            </w:r>
            <w:r>
              <w:rPr>
                <w:rFonts w:ascii="宋体" w:hAnsi="宋体"/>
                <w:szCs w:val="21"/>
              </w:rPr>
              <w:t>1</w:t>
            </w:r>
            <w:r>
              <w:rPr>
                <w:rFonts w:hint="eastAsia" w:ascii="宋体" w:hAnsi="宋体"/>
                <w:szCs w:val="21"/>
              </w:rPr>
              <w:t>分，最高得6分；需提供加盖公章</w:t>
            </w:r>
            <w:r>
              <w:rPr>
                <w:rFonts w:ascii="宋体" w:hAnsi="宋体"/>
                <w:szCs w:val="21"/>
              </w:rPr>
              <w:t>的</w:t>
            </w:r>
            <w:r>
              <w:rPr>
                <w:rFonts w:hint="eastAsia" w:ascii="宋体" w:hAnsi="宋体"/>
                <w:szCs w:val="21"/>
              </w:rPr>
              <w:t>合同复印件，原件备查。</w:t>
            </w:r>
          </w:p>
        </w:tc>
        <w:tc>
          <w:tcPr>
            <w:tcW w:w="1096" w:type="dxa"/>
            <w:noWrap w:val="0"/>
            <w:vAlign w:val="center"/>
          </w:tcPr>
          <w:p>
            <w:pPr>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36" w:type="dxa"/>
            <w:gridSpan w:val="4"/>
            <w:noWrap w:val="0"/>
            <w:vAlign w:val="center"/>
          </w:tcPr>
          <w:p>
            <w:pPr>
              <w:rPr>
                <w:rFonts w:ascii="宋体" w:hAnsi="宋体"/>
                <w:szCs w:val="21"/>
              </w:rPr>
            </w:pPr>
            <w:r>
              <w:rPr>
                <w:rFonts w:hint="eastAsia" w:ascii="宋体" w:hAnsi="宋体"/>
                <w:szCs w:val="21"/>
              </w:rPr>
              <w:t>信誉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noWrap w:val="0"/>
            <w:vAlign w:val="center"/>
          </w:tcPr>
          <w:p>
            <w:pPr>
              <w:jc w:val="center"/>
              <w:rPr>
                <w:rFonts w:ascii="宋体" w:hAnsi="宋体"/>
                <w:szCs w:val="21"/>
              </w:rPr>
            </w:pPr>
            <w:r>
              <w:rPr>
                <w:rFonts w:ascii="宋体" w:hAnsi="宋体"/>
                <w:szCs w:val="21"/>
              </w:rPr>
              <w:t>5</w:t>
            </w:r>
            <w:r>
              <w:rPr>
                <w:rFonts w:hint="eastAsia" w:ascii="宋体" w:hAnsi="宋体"/>
                <w:szCs w:val="21"/>
              </w:rPr>
              <w:t>.</w:t>
            </w:r>
            <w:r>
              <w:rPr>
                <w:rFonts w:ascii="宋体" w:hAnsi="宋体"/>
                <w:szCs w:val="21"/>
              </w:rPr>
              <w:t>1</w:t>
            </w:r>
          </w:p>
        </w:tc>
        <w:tc>
          <w:tcPr>
            <w:tcW w:w="1350" w:type="dxa"/>
            <w:noWrap w:val="0"/>
            <w:vAlign w:val="center"/>
          </w:tcPr>
          <w:p>
            <w:pPr>
              <w:jc w:val="center"/>
              <w:rPr>
                <w:rFonts w:ascii="宋体" w:hAnsi="宋体"/>
                <w:szCs w:val="21"/>
              </w:rPr>
            </w:pPr>
            <w:r>
              <w:rPr>
                <w:rFonts w:ascii="宋体" w:hAnsi="宋体"/>
                <w:szCs w:val="21"/>
              </w:rPr>
              <w:t>信誉</w:t>
            </w:r>
          </w:p>
        </w:tc>
        <w:tc>
          <w:tcPr>
            <w:tcW w:w="5394" w:type="dxa"/>
            <w:noWrap w:val="0"/>
            <w:vAlign w:val="center"/>
          </w:tcPr>
          <w:p>
            <w:pPr>
              <w:autoSpaceDE w:val="0"/>
              <w:autoSpaceDN w:val="0"/>
              <w:adjustRightInd w:val="0"/>
              <w:jc w:val="left"/>
              <w:rPr>
                <w:rFonts w:ascii="宋体" w:hAnsi="宋体"/>
                <w:szCs w:val="21"/>
              </w:rPr>
            </w:pPr>
            <w:r>
              <w:rPr>
                <w:rFonts w:ascii="宋体" w:hAnsi="宋体"/>
                <w:szCs w:val="21"/>
              </w:rPr>
              <w:t>投标人提供信用评级机构出具的信用评级报告为AAA级的 得</w:t>
            </w:r>
            <w:r>
              <w:rPr>
                <w:rFonts w:hint="eastAsia" w:ascii="宋体" w:hAnsi="宋体"/>
                <w:szCs w:val="21"/>
              </w:rPr>
              <w:t>3</w:t>
            </w:r>
            <w:r>
              <w:rPr>
                <w:rFonts w:ascii="宋体" w:hAnsi="宋体"/>
                <w:szCs w:val="21"/>
              </w:rPr>
              <w:t>分，AA级的得</w:t>
            </w:r>
            <w:r>
              <w:rPr>
                <w:rFonts w:hint="eastAsia" w:ascii="宋体" w:hAnsi="宋体"/>
                <w:szCs w:val="21"/>
              </w:rPr>
              <w:t>2</w:t>
            </w:r>
            <w:r>
              <w:rPr>
                <w:rFonts w:ascii="宋体" w:hAnsi="宋体"/>
                <w:szCs w:val="21"/>
              </w:rPr>
              <w:t>分，A级</w:t>
            </w:r>
            <w:r>
              <w:rPr>
                <w:rFonts w:hint="eastAsia" w:ascii="宋体" w:hAnsi="宋体"/>
                <w:szCs w:val="21"/>
              </w:rPr>
              <w:t>得1分</w:t>
            </w:r>
            <w:r>
              <w:rPr>
                <w:rFonts w:ascii="宋体" w:hAnsi="宋体"/>
                <w:szCs w:val="21"/>
              </w:rPr>
              <w:t>。（</w:t>
            </w:r>
            <w:r>
              <w:t>提供证书复印件</w:t>
            </w:r>
            <w:r>
              <w:rPr>
                <w:rFonts w:ascii="宋体" w:hAnsi="宋体"/>
                <w:szCs w:val="21"/>
              </w:rPr>
              <w:t>）。</w:t>
            </w:r>
          </w:p>
        </w:tc>
        <w:tc>
          <w:tcPr>
            <w:tcW w:w="1096" w:type="dxa"/>
            <w:noWrap w:val="0"/>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noWrap w:val="0"/>
            <w:vAlign w:val="center"/>
          </w:tcPr>
          <w:p>
            <w:pPr>
              <w:jc w:val="center"/>
              <w:rPr>
                <w:rFonts w:ascii="宋体" w:hAnsi="宋体"/>
                <w:szCs w:val="21"/>
              </w:rPr>
            </w:pPr>
            <w:r>
              <w:rPr>
                <w:rFonts w:ascii="宋体" w:hAnsi="宋体"/>
                <w:szCs w:val="21"/>
              </w:rPr>
              <w:t>5</w:t>
            </w:r>
            <w:r>
              <w:rPr>
                <w:rFonts w:hint="eastAsia" w:ascii="宋体" w:hAnsi="宋体"/>
                <w:szCs w:val="21"/>
              </w:rPr>
              <w:t>.</w:t>
            </w:r>
            <w:r>
              <w:rPr>
                <w:rFonts w:ascii="宋体" w:hAnsi="宋体"/>
                <w:szCs w:val="21"/>
              </w:rPr>
              <w:t>2</w:t>
            </w:r>
          </w:p>
        </w:tc>
        <w:tc>
          <w:tcPr>
            <w:tcW w:w="1350" w:type="dxa"/>
            <w:noWrap w:val="0"/>
            <w:vAlign w:val="center"/>
          </w:tcPr>
          <w:p>
            <w:pPr>
              <w:jc w:val="center"/>
              <w:rPr>
                <w:rFonts w:ascii="宋体" w:hAnsi="宋体"/>
                <w:szCs w:val="21"/>
              </w:rPr>
            </w:pPr>
            <w:r>
              <w:rPr>
                <w:rFonts w:hint="eastAsia" w:ascii="宋体" w:hAnsi="宋体"/>
                <w:szCs w:val="21"/>
              </w:rPr>
              <w:t>履约能力</w:t>
            </w:r>
          </w:p>
        </w:tc>
        <w:tc>
          <w:tcPr>
            <w:tcW w:w="5394" w:type="dxa"/>
            <w:noWrap w:val="0"/>
            <w:vAlign w:val="center"/>
          </w:tcPr>
          <w:p>
            <w:pPr>
              <w:autoSpaceDE w:val="0"/>
              <w:autoSpaceDN w:val="0"/>
              <w:adjustRightInd w:val="0"/>
              <w:jc w:val="left"/>
              <w:rPr>
                <w:rFonts w:ascii="宋体" w:hAnsi="宋体"/>
                <w:szCs w:val="21"/>
              </w:rPr>
            </w:pPr>
            <w:r>
              <w:rPr>
                <w:rFonts w:hint="eastAsia" w:ascii="宋体" w:hAnsi="宋体"/>
                <w:szCs w:val="21"/>
              </w:rPr>
              <w:t>供应商提供原厂针对</w:t>
            </w:r>
            <w:r>
              <w:rPr>
                <w:rFonts w:ascii="宋体" w:hAnsi="宋体"/>
                <w:szCs w:val="21"/>
              </w:rPr>
              <w:t>本项目的</w:t>
            </w:r>
            <w:r>
              <w:rPr>
                <w:rFonts w:hint="eastAsia" w:ascii="宋体" w:hAnsi="宋体"/>
                <w:szCs w:val="21"/>
              </w:rPr>
              <w:t>售后服务承诺得2分。</w:t>
            </w:r>
          </w:p>
        </w:tc>
        <w:tc>
          <w:tcPr>
            <w:tcW w:w="1096" w:type="dxa"/>
            <w:noWrap w:val="0"/>
            <w:vAlign w:val="center"/>
          </w:tcPr>
          <w:p>
            <w:pPr>
              <w:jc w:val="center"/>
              <w:rPr>
                <w:rFonts w:hint="eastAsia"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36" w:type="dxa"/>
            <w:gridSpan w:val="4"/>
            <w:noWrap w:val="0"/>
            <w:vAlign w:val="center"/>
          </w:tcPr>
          <w:p>
            <w:pPr>
              <w:jc w:val="left"/>
              <w:rPr>
                <w:rFonts w:ascii="宋体" w:hAnsi="宋体"/>
                <w:szCs w:val="21"/>
              </w:rPr>
            </w:pPr>
            <w:r>
              <w:rPr>
                <w:rFonts w:hint="eastAsia" w:ascii="宋体" w:hAnsi="宋体"/>
                <w:szCs w:val="21"/>
              </w:rPr>
              <w:t>投标文件制作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noWrap w:val="0"/>
            <w:vAlign w:val="center"/>
          </w:tcPr>
          <w:p>
            <w:pPr>
              <w:jc w:val="center"/>
              <w:rPr>
                <w:rFonts w:ascii="宋体" w:hAnsi="宋体"/>
                <w:szCs w:val="21"/>
              </w:rPr>
            </w:pPr>
            <w:r>
              <w:rPr>
                <w:rFonts w:hint="eastAsia" w:ascii="宋体" w:hAnsi="宋体"/>
                <w:szCs w:val="21"/>
              </w:rPr>
              <w:t>6.1</w:t>
            </w:r>
          </w:p>
        </w:tc>
        <w:tc>
          <w:tcPr>
            <w:tcW w:w="1350" w:type="dxa"/>
            <w:noWrap w:val="0"/>
            <w:vAlign w:val="center"/>
          </w:tcPr>
          <w:p>
            <w:pPr>
              <w:jc w:val="center"/>
              <w:rPr>
                <w:rFonts w:ascii="宋体" w:hAnsi="宋体"/>
                <w:szCs w:val="21"/>
              </w:rPr>
            </w:pPr>
            <w:r>
              <w:rPr>
                <w:rFonts w:hint="eastAsia" w:ascii="宋体" w:hAnsi="宋体"/>
                <w:szCs w:val="21"/>
              </w:rPr>
              <w:t>投标文件便于评审</w:t>
            </w:r>
          </w:p>
        </w:tc>
        <w:tc>
          <w:tcPr>
            <w:tcW w:w="5394" w:type="dxa"/>
            <w:noWrap w:val="0"/>
            <w:vAlign w:val="center"/>
          </w:tcPr>
          <w:p>
            <w:pPr>
              <w:spacing w:line="360" w:lineRule="auto"/>
              <w:rPr>
                <w:rFonts w:ascii="宋体" w:hAnsi="宋体"/>
                <w:szCs w:val="21"/>
              </w:rPr>
            </w:pPr>
            <w:r>
              <w:rPr>
                <w:rFonts w:hint="eastAsia" w:ascii="宋体" w:hAnsi="宋体"/>
                <w:szCs w:val="21"/>
              </w:rPr>
              <w:t>投标文件目录、页码齐全得1分；目录与页码能准确对应得1分。</w:t>
            </w:r>
          </w:p>
        </w:tc>
        <w:tc>
          <w:tcPr>
            <w:tcW w:w="1096" w:type="dxa"/>
            <w:noWrap w:val="0"/>
            <w:vAlign w:val="center"/>
          </w:tcPr>
          <w:p>
            <w:pPr>
              <w:jc w:val="center"/>
              <w:rPr>
                <w:rFonts w:ascii="宋体" w:hAnsi="宋体"/>
                <w:szCs w:val="21"/>
              </w:rPr>
            </w:pPr>
            <w:r>
              <w:rPr>
                <w:rFonts w:hint="eastAsia" w:ascii="宋体" w:hAnsi="宋体"/>
                <w:szCs w:val="21"/>
              </w:rPr>
              <w:t>2</w:t>
            </w:r>
          </w:p>
        </w:tc>
      </w:tr>
    </w:tbl>
    <w:p>
      <w:pPr>
        <w:widowControl/>
        <w:jc w:val="left"/>
        <w:rPr>
          <w:rFonts w:ascii="宋体" w:cs="仿宋"/>
          <w:sz w:val="28"/>
          <w:szCs w:val="28"/>
        </w:rPr>
      </w:pPr>
    </w:p>
    <w:p>
      <w:pPr>
        <w:pStyle w:val="2"/>
        <w:rPr>
          <w:rFonts w:ascii="宋体" w:cs="仿宋"/>
          <w:sz w:val="28"/>
          <w:szCs w:val="28"/>
        </w:rPr>
      </w:pPr>
    </w:p>
    <w:p>
      <w:pPr>
        <w:pStyle w:val="2"/>
        <w:rPr>
          <w:rFonts w:ascii="宋体" w:cs="仿宋"/>
          <w:sz w:val="28"/>
          <w:szCs w:val="28"/>
        </w:rPr>
      </w:pPr>
    </w:p>
    <w:p>
      <w:pPr>
        <w:pStyle w:val="2"/>
        <w:rPr>
          <w:rFonts w:ascii="宋体" w:cs="仿宋"/>
          <w:sz w:val="28"/>
          <w:szCs w:val="28"/>
        </w:rPr>
      </w:pPr>
    </w:p>
    <w:p>
      <w:pPr>
        <w:pStyle w:val="2"/>
        <w:rPr>
          <w:rFonts w:ascii="宋体" w:cs="仿宋"/>
          <w:sz w:val="28"/>
          <w:szCs w:val="28"/>
        </w:rPr>
      </w:pPr>
    </w:p>
    <w:p>
      <w:pPr>
        <w:pStyle w:val="2"/>
        <w:rPr>
          <w:rFonts w:ascii="宋体" w:cs="仿宋"/>
          <w:sz w:val="28"/>
          <w:szCs w:val="28"/>
        </w:rPr>
      </w:pPr>
    </w:p>
    <w:p>
      <w:pPr>
        <w:spacing w:line="360" w:lineRule="auto"/>
        <w:rPr>
          <w:b/>
          <w:sz w:val="28"/>
          <w:szCs w:val="28"/>
        </w:rPr>
      </w:pPr>
      <w:r>
        <w:rPr>
          <w:rFonts w:hint="eastAsia"/>
          <w:b/>
          <w:sz w:val="28"/>
          <w:szCs w:val="28"/>
        </w:rPr>
        <w:t>附件</w:t>
      </w:r>
      <w:r>
        <w:rPr>
          <w:b/>
          <w:sz w:val="28"/>
          <w:szCs w:val="28"/>
        </w:rPr>
        <w:t>6</w:t>
      </w:r>
      <w:r>
        <w:rPr>
          <w:rFonts w:hint="eastAsia"/>
          <w:b/>
          <w:sz w:val="28"/>
          <w:szCs w:val="28"/>
        </w:rPr>
        <w:t>：</w:t>
      </w:r>
    </w:p>
    <w:p>
      <w:pPr>
        <w:adjustRightInd w:val="0"/>
        <w:snapToGrid w:val="0"/>
        <w:spacing w:beforeLines="50" w:afterLines="50" w:line="360" w:lineRule="auto"/>
        <w:jc w:val="center"/>
        <w:outlineLvl w:val="0"/>
        <w:rPr>
          <w:rFonts w:ascii="黑体" w:hAnsi="黑体" w:eastAsia="黑体"/>
          <w:b/>
          <w:bCs/>
          <w:sz w:val="34"/>
        </w:rPr>
      </w:pPr>
      <w:r>
        <w:rPr>
          <w:rFonts w:hint="eastAsia" w:ascii="黑体" w:hAnsi="黑体" w:eastAsia="黑体"/>
          <w:b/>
          <w:sz w:val="34"/>
        </w:rPr>
        <w:t>采购合同</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项目名称：</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项目编号：</w:t>
      </w:r>
    </w:p>
    <w:p>
      <w:pPr>
        <w:pStyle w:val="8"/>
        <w:adjustRightInd w:val="0"/>
        <w:snapToGrid w:val="0"/>
        <w:spacing w:before="120" w:after="120" w:line="360" w:lineRule="auto"/>
        <w:ind w:firstLine="658"/>
        <w:rPr>
          <w:rFonts w:hAnsi="宋体"/>
          <w:sz w:val="24"/>
          <w:szCs w:val="24"/>
          <w:u w:val="single"/>
        </w:rPr>
      </w:pPr>
      <w:r>
        <w:rPr>
          <w:rFonts w:hint="eastAsia" w:hAnsi="宋体"/>
          <w:sz w:val="24"/>
          <w:szCs w:val="24"/>
        </w:rPr>
        <w:t>甲方：（买方）</w:t>
      </w:r>
      <w:r>
        <w:rPr>
          <w:rFonts w:hAnsi="宋体"/>
          <w:sz w:val="24"/>
          <w:szCs w:val="24"/>
        </w:rPr>
        <w:t>__________________</w:t>
      </w:r>
    </w:p>
    <w:p>
      <w:pPr>
        <w:pStyle w:val="8"/>
        <w:adjustRightInd w:val="0"/>
        <w:snapToGrid w:val="0"/>
        <w:spacing w:before="120" w:after="120" w:line="360" w:lineRule="auto"/>
        <w:ind w:firstLine="658"/>
        <w:rPr>
          <w:rFonts w:hAnsi="宋体"/>
          <w:sz w:val="24"/>
          <w:szCs w:val="24"/>
        </w:rPr>
      </w:pPr>
      <w:r>
        <w:rPr>
          <w:rFonts w:hint="eastAsia" w:hAnsi="宋体"/>
          <w:sz w:val="24"/>
          <w:szCs w:val="24"/>
        </w:rPr>
        <w:t>乙方：（卖方）</w:t>
      </w:r>
      <w:r>
        <w:rPr>
          <w:rFonts w:hAnsi="宋体"/>
          <w:sz w:val="24"/>
          <w:szCs w:val="24"/>
        </w:rPr>
        <w:t>__________________</w:t>
      </w:r>
    </w:p>
    <w:p>
      <w:pPr>
        <w:pStyle w:val="8"/>
        <w:adjustRightInd w:val="0"/>
        <w:snapToGrid w:val="0"/>
        <w:spacing w:before="120" w:after="120" w:line="360" w:lineRule="auto"/>
        <w:ind w:firstLine="658"/>
        <w:rPr>
          <w:rFonts w:hAnsi="宋体"/>
          <w:b/>
          <w:sz w:val="24"/>
          <w:szCs w:val="24"/>
        </w:rPr>
      </w:pPr>
      <w:r>
        <w:rPr>
          <w:rFonts w:hint="eastAsia" w:hAnsi="宋体"/>
          <w:sz w:val="24"/>
          <w:szCs w:val="24"/>
        </w:rPr>
        <w:t>甲、乙双方根据甲方项目采购谈判的结果，签署本合同。</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一、货物内容</w:t>
      </w:r>
    </w:p>
    <w:tbl>
      <w:tblPr>
        <w:tblStyle w:val="15"/>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rPr>
            </w:pPr>
            <w:r>
              <w:rPr>
                <w:rFonts w:hint="eastAsia" w:ascii="宋体" w:hAnsi="宋体"/>
                <w:b/>
                <w:sz w:val="24"/>
              </w:rPr>
              <w:t>分包号</w:t>
            </w:r>
          </w:p>
        </w:tc>
        <w:tc>
          <w:tcPr>
            <w:tcW w:w="1165" w:type="dxa"/>
            <w:vAlign w:val="center"/>
          </w:tcPr>
          <w:p>
            <w:pPr>
              <w:spacing w:line="360" w:lineRule="auto"/>
              <w:jc w:val="center"/>
              <w:rPr>
                <w:rFonts w:ascii="宋体"/>
                <w:b/>
                <w:sz w:val="24"/>
              </w:rPr>
            </w:pPr>
            <w:r>
              <w:rPr>
                <w:rFonts w:hint="eastAsia" w:ascii="宋体" w:hAnsi="宋体"/>
                <w:b/>
                <w:sz w:val="24"/>
              </w:rPr>
              <w:t>货物</w:t>
            </w:r>
          </w:p>
          <w:p>
            <w:pPr>
              <w:spacing w:line="360" w:lineRule="auto"/>
              <w:jc w:val="center"/>
              <w:rPr>
                <w:rFonts w:ascii="宋体"/>
                <w:b/>
                <w:sz w:val="24"/>
              </w:rPr>
            </w:pPr>
            <w:r>
              <w:rPr>
                <w:rFonts w:hint="eastAsia" w:ascii="宋体" w:hAnsi="宋体"/>
                <w:b/>
                <w:sz w:val="24"/>
              </w:rPr>
              <w:t>名称</w:t>
            </w:r>
          </w:p>
        </w:tc>
        <w:tc>
          <w:tcPr>
            <w:tcW w:w="1115" w:type="dxa"/>
            <w:vAlign w:val="center"/>
          </w:tcPr>
          <w:p>
            <w:pPr>
              <w:spacing w:line="360" w:lineRule="auto"/>
              <w:jc w:val="center"/>
              <w:rPr>
                <w:rFonts w:ascii="宋体"/>
                <w:b/>
                <w:sz w:val="24"/>
              </w:rPr>
            </w:pPr>
            <w:r>
              <w:rPr>
                <w:rFonts w:hint="eastAsia" w:ascii="宋体" w:hAnsi="宋体"/>
                <w:b/>
                <w:sz w:val="24"/>
              </w:rPr>
              <w:t>型号</w:t>
            </w:r>
            <w:r>
              <w:rPr>
                <w:rFonts w:ascii="宋体" w:hAnsi="宋体"/>
                <w:b/>
                <w:sz w:val="24"/>
              </w:rPr>
              <w:t>/</w:t>
            </w:r>
          </w:p>
          <w:p>
            <w:pPr>
              <w:spacing w:line="360" w:lineRule="auto"/>
              <w:jc w:val="center"/>
              <w:rPr>
                <w:rFonts w:ascii="宋体"/>
                <w:b/>
                <w:sz w:val="24"/>
              </w:rPr>
            </w:pPr>
            <w:r>
              <w:rPr>
                <w:rFonts w:hint="eastAsia" w:ascii="宋体" w:hAnsi="宋体"/>
                <w:b/>
                <w:sz w:val="24"/>
              </w:rPr>
              <w:t>规格</w:t>
            </w:r>
          </w:p>
        </w:tc>
        <w:tc>
          <w:tcPr>
            <w:tcW w:w="1160" w:type="dxa"/>
            <w:vAlign w:val="center"/>
          </w:tcPr>
          <w:p>
            <w:pPr>
              <w:spacing w:line="360" w:lineRule="auto"/>
              <w:jc w:val="center"/>
              <w:rPr>
                <w:rFonts w:ascii="宋体"/>
                <w:b/>
                <w:sz w:val="24"/>
              </w:rPr>
            </w:pPr>
            <w:r>
              <w:rPr>
                <w:rFonts w:hint="eastAsia" w:ascii="宋体" w:hAnsi="宋体"/>
                <w:b/>
                <w:sz w:val="24"/>
              </w:rPr>
              <w:t>品牌</w:t>
            </w:r>
            <w:r>
              <w:rPr>
                <w:rFonts w:ascii="宋体" w:hAnsi="宋体"/>
                <w:b/>
                <w:sz w:val="24"/>
              </w:rPr>
              <w:t>/</w:t>
            </w:r>
            <w:r>
              <w:rPr>
                <w:rFonts w:hint="eastAsia" w:ascii="宋体" w:hAnsi="宋体"/>
                <w:b/>
                <w:sz w:val="24"/>
              </w:rPr>
              <w:t>生产厂家</w:t>
            </w:r>
            <w:r>
              <w:rPr>
                <w:rFonts w:ascii="宋体" w:hAnsi="宋体"/>
                <w:b/>
                <w:sz w:val="24"/>
              </w:rPr>
              <w:t>/</w:t>
            </w:r>
            <w:r>
              <w:rPr>
                <w:rFonts w:hint="eastAsia" w:ascii="宋体" w:hAnsi="宋体"/>
                <w:b/>
                <w:sz w:val="24"/>
              </w:rPr>
              <w:t>国别</w:t>
            </w:r>
          </w:p>
        </w:tc>
        <w:tc>
          <w:tcPr>
            <w:tcW w:w="1160" w:type="dxa"/>
            <w:vAlign w:val="center"/>
          </w:tcPr>
          <w:p>
            <w:pPr>
              <w:spacing w:line="360" w:lineRule="auto"/>
              <w:jc w:val="center"/>
              <w:rPr>
                <w:rFonts w:ascii="宋体"/>
                <w:b/>
                <w:sz w:val="24"/>
              </w:rPr>
            </w:pPr>
            <w:r>
              <w:rPr>
                <w:rFonts w:hint="eastAsia" w:ascii="宋体" w:hAnsi="宋体"/>
                <w:b/>
                <w:sz w:val="24"/>
              </w:rPr>
              <w:t>计量</w:t>
            </w:r>
          </w:p>
          <w:p>
            <w:pPr>
              <w:spacing w:line="360" w:lineRule="auto"/>
              <w:jc w:val="center"/>
              <w:rPr>
                <w:rFonts w:ascii="宋体"/>
                <w:b/>
                <w:sz w:val="24"/>
              </w:rPr>
            </w:pPr>
            <w:r>
              <w:rPr>
                <w:rFonts w:hint="eastAsia" w:ascii="宋体" w:hAnsi="宋体"/>
                <w:b/>
                <w:sz w:val="24"/>
              </w:rPr>
              <w:t>单位</w:t>
            </w:r>
          </w:p>
        </w:tc>
        <w:tc>
          <w:tcPr>
            <w:tcW w:w="1160" w:type="dxa"/>
            <w:vAlign w:val="center"/>
          </w:tcPr>
          <w:p>
            <w:pPr>
              <w:spacing w:line="360" w:lineRule="auto"/>
              <w:jc w:val="center"/>
              <w:rPr>
                <w:rFonts w:ascii="宋体"/>
                <w:b/>
                <w:sz w:val="24"/>
              </w:rPr>
            </w:pPr>
            <w:r>
              <w:rPr>
                <w:rFonts w:hint="eastAsia" w:ascii="宋体" w:hAnsi="宋体"/>
                <w:b/>
                <w:sz w:val="24"/>
              </w:rPr>
              <w:t>数量</w:t>
            </w:r>
          </w:p>
        </w:tc>
        <w:tc>
          <w:tcPr>
            <w:tcW w:w="1160" w:type="dxa"/>
            <w:vAlign w:val="center"/>
          </w:tcPr>
          <w:p>
            <w:pPr>
              <w:spacing w:line="360" w:lineRule="auto"/>
              <w:jc w:val="center"/>
              <w:rPr>
                <w:rFonts w:ascii="宋体"/>
                <w:b/>
                <w:sz w:val="24"/>
              </w:rPr>
            </w:pPr>
            <w:r>
              <w:rPr>
                <w:rFonts w:hint="eastAsia" w:ascii="宋体" w:hAnsi="宋体"/>
                <w:b/>
                <w:sz w:val="24"/>
              </w:rPr>
              <w:t>单价</w:t>
            </w:r>
          </w:p>
        </w:tc>
        <w:tc>
          <w:tcPr>
            <w:tcW w:w="1162" w:type="dxa"/>
            <w:vAlign w:val="center"/>
          </w:tcPr>
          <w:p>
            <w:pPr>
              <w:spacing w:line="360" w:lineRule="auto"/>
              <w:jc w:val="center"/>
              <w:rPr>
                <w:rFonts w:ascii="宋体"/>
                <w:b/>
                <w:sz w:val="24"/>
              </w:rPr>
            </w:pPr>
            <w:r>
              <w:rPr>
                <w:rFonts w:hint="eastAsia" w:ascii="宋体" w:hAnsi="宋体"/>
                <w:b/>
                <w:sz w:val="24"/>
              </w:rPr>
              <w:t>每项</w:t>
            </w:r>
          </w:p>
          <w:p>
            <w:pPr>
              <w:spacing w:line="360" w:lineRule="auto"/>
              <w:jc w:val="center"/>
              <w:rPr>
                <w:rFonts w:ascii="宋体"/>
                <w:b/>
                <w:sz w:val="24"/>
              </w:rPr>
            </w:pPr>
            <w:r>
              <w:rPr>
                <w:rFonts w:hint="eastAsia" w:ascii="宋体" w:hAnsi="宋体"/>
                <w:b/>
                <w:sz w:val="24"/>
              </w:rPr>
              <w:t>总价</w:t>
            </w:r>
          </w:p>
        </w:tc>
        <w:tc>
          <w:tcPr>
            <w:tcW w:w="1171" w:type="dxa"/>
            <w:vAlign w:val="center"/>
          </w:tcPr>
          <w:p>
            <w:pPr>
              <w:spacing w:line="360" w:lineRule="auto"/>
              <w:jc w:val="center"/>
              <w:rPr>
                <w:rFonts w:ascii="宋体"/>
                <w:b/>
                <w:sz w:val="24"/>
              </w:rPr>
            </w:pPr>
            <w:r>
              <w:rPr>
                <w:rFonts w:hint="eastAsia" w:ascii="宋体" w:hAnsi="宋体"/>
                <w:b/>
                <w:sz w:val="24"/>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rPr>
            </w:pPr>
            <w:r>
              <w:rPr>
                <w:rFonts w:hint="eastAsia" w:ascii="宋体" w:hAnsi="宋体"/>
                <w:sz w:val="24"/>
              </w:rPr>
              <w:t>合计总价</w:t>
            </w:r>
          </w:p>
        </w:tc>
        <w:tc>
          <w:tcPr>
            <w:tcW w:w="8088" w:type="dxa"/>
            <w:gridSpan w:val="7"/>
            <w:vAlign w:val="center"/>
          </w:tcPr>
          <w:p>
            <w:pPr>
              <w:spacing w:line="360" w:lineRule="auto"/>
              <w:rPr>
                <w:rFonts w:ascii="宋体"/>
                <w:sz w:val="24"/>
                <w:u w:val="single"/>
              </w:rPr>
            </w:pPr>
            <w:r>
              <w:rPr>
                <w:rFonts w:hint="eastAsia" w:ascii="宋体" w:hAnsi="宋体"/>
                <w:sz w:val="24"/>
              </w:rPr>
              <w:t>大写：      小写：      元</w:t>
            </w:r>
          </w:p>
        </w:tc>
      </w:tr>
    </w:tbl>
    <w:p>
      <w:pPr>
        <w:pStyle w:val="8"/>
        <w:adjustRightInd w:val="0"/>
        <w:snapToGrid w:val="0"/>
        <w:spacing w:before="120" w:after="120" w:line="360" w:lineRule="auto"/>
        <w:ind w:firstLine="660"/>
        <w:rPr>
          <w:rFonts w:hAnsi="宋体"/>
          <w:b/>
          <w:sz w:val="24"/>
          <w:szCs w:val="24"/>
        </w:rPr>
      </w:pPr>
      <w:r>
        <w:rPr>
          <w:rFonts w:hint="eastAsia" w:hAnsi="宋体"/>
          <w:b/>
          <w:sz w:val="24"/>
          <w:szCs w:val="24"/>
        </w:rPr>
        <w:t>二、合同金额</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2.1 </w:t>
      </w:r>
      <w:r>
        <w:rPr>
          <w:rFonts w:hint="eastAsia" w:hAnsi="宋体"/>
          <w:sz w:val="24"/>
          <w:szCs w:val="24"/>
        </w:rPr>
        <w:t>本合同金额为（大写）：</w:t>
      </w:r>
      <w:r>
        <w:rPr>
          <w:rFonts w:hAnsi="宋体"/>
          <w:sz w:val="24"/>
          <w:szCs w:val="24"/>
        </w:rPr>
        <w:t>________________________</w:t>
      </w:r>
      <w:r>
        <w:rPr>
          <w:rFonts w:hint="eastAsia" w:hAnsi="宋体"/>
          <w:sz w:val="24"/>
          <w:szCs w:val="24"/>
        </w:rPr>
        <w:t>元人民币。</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三、技术资料</w:t>
      </w:r>
    </w:p>
    <w:p>
      <w:pPr>
        <w:pStyle w:val="8"/>
        <w:adjustRightInd w:val="0"/>
        <w:snapToGrid w:val="0"/>
        <w:spacing w:before="120" w:after="120" w:line="360" w:lineRule="auto"/>
        <w:ind w:left="48" w:firstLine="658"/>
        <w:rPr>
          <w:rFonts w:hAnsi="宋体"/>
          <w:sz w:val="24"/>
          <w:szCs w:val="24"/>
        </w:rPr>
      </w:pPr>
      <w:r>
        <w:rPr>
          <w:rFonts w:hAnsi="宋体"/>
          <w:sz w:val="24"/>
          <w:szCs w:val="24"/>
        </w:rPr>
        <w:t>3.1</w:t>
      </w:r>
      <w:r>
        <w:rPr>
          <w:rFonts w:hint="eastAsia" w:hAnsi="宋体"/>
          <w:sz w:val="24"/>
          <w:szCs w:val="24"/>
        </w:rPr>
        <w:t>乙方应按采购文件规定的时间向甲方提供使用货物的有关技术资料。</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3.2 </w:t>
      </w:r>
      <w:r>
        <w:rPr>
          <w:rFonts w:hint="eastAsia" w:hAnsi="宋体"/>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adjustRightInd w:val="0"/>
        <w:snapToGrid w:val="0"/>
        <w:spacing w:before="120" w:after="120" w:line="360" w:lineRule="auto"/>
        <w:ind w:left="50" w:firstLine="660"/>
        <w:rPr>
          <w:rFonts w:hAnsi="宋体"/>
          <w:b/>
          <w:sz w:val="24"/>
          <w:szCs w:val="24"/>
        </w:rPr>
      </w:pPr>
      <w:r>
        <w:rPr>
          <w:rFonts w:hint="eastAsia" w:hAnsi="宋体"/>
          <w:b/>
          <w:sz w:val="24"/>
          <w:szCs w:val="24"/>
        </w:rPr>
        <w:t>四、知识产权</w:t>
      </w:r>
    </w:p>
    <w:p>
      <w:pPr>
        <w:pStyle w:val="8"/>
        <w:adjustRightInd w:val="0"/>
        <w:snapToGrid w:val="0"/>
        <w:spacing w:before="120" w:after="120" w:line="360" w:lineRule="auto"/>
        <w:ind w:left="48" w:firstLine="658"/>
        <w:rPr>
          <w:rFonts w:hAnsi="宋体"/>
          <w:sz w:val="24"/>
          <w:szCs w:val="24"/>
        </w:rPr>
      </w:pPr>
      <w:r>
        <w:rPr>
          <w:rFonts w:hAnsi="宋体"/>
          <w:sz w:val="24"/>
          <w:szCs w:val="24"/>
        </w:rPr>
        <w:t>4.1</w:t>
      </w:r>
      <w:r>
        <w:rPr>
          <w:rFonts w:hint="eastAsia" w:hAnsi="宋体"/>
          <w:sz w:val="24"/>
          <w:szCs w:val="24"/>
        </w:rPr>
        <w:t>乙方应保证甲方在使用、接受本合同货物和服务或其任何一部分时不受第三方提出侵犯其专利权、版权、商标权和工业设计权等知识产权的起诉。一旦出现侵权，由乙方负全部责任。</w:t>
      </w:r>
    </w:p>
    <w:p>
      <w:pPr>
        <w:pStyle w:val="8"/>
        <w:adjustRightInd w:val="0"/>
        <w:snapToGrid w:val="0"/>
        <w:spacing w:before="120" w:after="120" w:line="360" w:lineRule="auto"/>
        <w:ind w:firstLine="660"/>
        <w:rPr>
          <w:rFonts w:hAnsi="宋体"/>
          <w:sz w:val="24"/>
          <w:szCs w:val="24"/>
          <w:u w:val="single"/>
        </w:rPr>
      </w:pPr>
      <w:r>
        <w:rPr>
          <w:rFonts w:hint="eastAsia" w:hAnsi="宋体"/>
          <w:b/>
          <w:sz w:val="24"/>
          <w:szCs w:val="24"/>
        </w:rPr>
        <w:t>五、产权担保</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5.1 </w:t>
      </w:r>
      <w:r>
        <w:rPr>
          <w:rFonts w:hint="eastAsia" w:hAnsi="宋体"/>
          <w:sz w:val="24"/>
          <w:szCs w:val="24"/>
        </w:rPr>
        <w:t>乙方保证所交付的货物的所有权完全属于乙方且无任何抵押、查封等产权瑕疵。</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六、履约保证金</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6.1 </w:t>
      </w:r>
      <w:r>
        <w:rPr>
          <w:rFonts w:hint="eastAsia" w:hAnsi="宋体"/>
          <w:sz w:val="24"/>
          <w:szCs w:val="24"/>
        </w:rPr>
        <w:t>乙方交纳人民币</w:t>
      </w:r>
      <w:r>
        <w:rPr>
          <w:rFonts w:hAnsi="宋体"/>
          <w:sz w:val="24"/>
          <w:szCs w:val="24"/>
        </w:rPr>
        <w:t>_____</w:t>
      </w:r>
      <w:r>
        <w:rPr>
          <w:rFonts w:hint="eastAsia" w:hAnsi="宋体"/>
          <w:sz w:val="24"/>
          <w:szCs w:val="24"/>
        </w:rPr>
        <w:t>元作为本合同的履约保证金。</w:t>
      </w:r>
    </w:p>
    <w:p>
      <w:pPr>
        <w:adjustRightInd w:val="0"/>
        <w:snapToGrid w:val="0"/>
        <w:spacing w:beforeLines="50" w:afterLines="50" w:line="360" w:lineRule="auto"/>
        <w:ind w:firstLine="480"/>
        <w:rPr>
          <w:rFonts w:ascii="宋体" w:cs="Courier New"/>
          <w:b/>
          <w:sz w:val="24"/>
        </w:rPr>
      </w:pPr>
      <w:r>
        <w:rPr>
          <w:rFonts w:hint="eastAsia" w:ascii="宋体" w:hAnsi="宋体" w:cs="Courier New"/>
          <w:b/>
          <w:sz w:val="24"/>
        </w:rPr>
        <w:t>七</w:t>
      </w:r>
      <w:r>
        <w:rPr>
          <w:rFonts w:ascii="宋体" w:cs="Courier New"/>
          <w:b/>
          <w:sz w:val="24"/>
        </w:rPr>
        <w:t>.</w:t>
      </w:r>
      <w:r>
        <w:rPr>
          <w:rFonts w:hint="eastAsia" w:ascii="宋体" w:hAnsi="宋体" w:cs="Courier New"/>
          <w:b/>
          <w:sz w:val="24"/>
        </w:rPr>
        <w:t>转包或分包</w:t>
      </w:r>
    </w:p>
    <w:p>
      <w:pPr>
        <w:pStyle w:val="8"/>
        <w:adjustRightInd w:val="0"/>
        <w:snapToGrid w:val="0"/>
        <w:spacing w:before="120" w:after="120" w:line="360" w:lineRule="auto"/>
        <w:ind w:left="48" w:firstLine="658"/>
        <w:rPr>
          <w:rFonts w:hAnsi="宋体"/>
          <w:sz w:val="24"/>
          <w:szCs w:val="24"/>
        </w:rPr>
      </w:pPr>
      <w:r>
        <w:rPr>
          <w:rFonts w:hAnsi="宋体"/>
          <w:sz w:val="24"/>
          <w:szCs w:val="24"/>
        </w:rPr>
        <w:t>7.1</w:t>
      </w:r>
      <w:r>
        <w:rPr>
          <w:rFonts w:hint="eastAsia" w:hAnsi="宋体"/>
          <w:sz w:val="24"/>
          <w:szCs w:val="24"/>
        </w:rPr>
        <w:t>本合同范围的货物，应由乙方直接供应，不得转让他人供应；</w:t>
      </w:r>
    </w:p>
    <w:p>
      <w:pPr>
        <w:pStyle w:val="8"/>
        <w:adjustRightInd w:val="0"/>
        <w:snapToGrid w:val="0"/>
        <w:spacing w:before="120" w:after="120" w:line="360" w:lineRule="auto"/>
        <w:ind w:left="48" w:firstLine="658"/>
        <w:rPr>
          <w:rFonts w:hAnsi="宋体"/>
          <w:sz w:val="24"/>
          <w:szCs w:val="24"/>
        </w:rPr>
      </w:pPr>
      <w:r>
        <w:rPr>
          <w:rFonts w:hAnsi="宋体"/>
          <w:sz w:val="24"/>
          <w:szCs w:val="24"/>
        </w:rPr>
        <w:t>7.2</w:t>
      </w:r>
      <w:r>
        <w:rPr>
          <w:rFonts w:hint="eastAsia" w:hAnsi="宋体"/>
          <w:sz w:val="24"/>
          <w:szCs w:val="24"/>
        </w:rPr>
        <w:t>除非得到甲方的书面同意，乙方不得部分分包给他人供应。</w:t>
      </w:r>
    </w:p>
    <w:p>
      <w:pPr>
        <w:pStyle w:val="8"/>
        <w:adjustRightInd w:val="0"/>
        <w:snapToGrid w:val="0"/>
        <w:spacing w:before="120" w:after="120" w:line="360" w:lineRule="auto"/>
        <w:ind w:left="48" w:firstLine="658"/>
        <w:rPr>
          <w:rFonts w:hAnsi="宋体"/>
          <w:sz w:val="24"/>
          <w:szCs w:val="24"/>
        </w:rPr>
      </w:pPr>
      <w:r>
        <w:rPr>
          <w:rFonts w:hAnsi="宋体"/>
          <w:sz w:val="24"/>
          <w:szCs w:val="24"/>
        </w:rPr>
        <w:t>7.3</w:t>
      </w:r>
      <w:r>
        <w:rPr>
          <w:rFonts w:hint="eastAsia" w:hAnsi="宋体"/>
          <w:sz w:val="24"/>
          <w:szCs w:val="24"/>
        </w:rPr>
        <w:t>如有转让和未经甲方同意的分包行为，甲方有权给予终止合同。</w:t>
      </w:r>
    </w:p>
    <w:p>
      <w:pPr>
        <w:pStyle w:val="8"/>
        <w:adjustRightInd w:val="0"/>
        <w:snapToGrid w:val="0"/>
        <w:spacing w:before="120" w:after="120" w:line="360" w:lineRule="auto"/>
        <w:ind w:firstLine="660"/>
        <w:rPr>
          <w:rFonts w:hAnsi="宋体"/>
          <w:sz w:val="24"/>
          <w:szCs w:val="24"/>
        </w:rPr>
      </w:pPr>
      <w:r>
        <w:rPr>
          <w:rFonts w:hint="eastAsia" w:hAnsi="宋体"/>
          <w:b/>
          <w:sz w:val="24"/>
          <w:szCs w:val="24"/>
        </w:rPr>
        <w:t>八、质保期</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8.1 </w:t>
      </w:r>
      <w:r>
        <w:rPr>
          <w:rFonts w:hint="eastAsia" w:hAnsi="宋体"/>
          <w:sz w:val="24"/>
          <w:szCs w:val="24"/>
        </w:rPr>
        <w:t>质保期1年。（自交货验收合格之日起计）</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九、交货期、交货方式及交货地点</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9.1 </w:t>
      </w:r>
      <w:r>
        <w:rPr>
          <w:rFonts w:hint="eastAsia" w:hAnsi="宋体"/>
          <w:sz w:val="24"/>
          <w:szCs w:val="24"/>
        </w:rPr>
        <w:t>交货期：</w:t>
      </w:r>
      <w:r>
        <w:rPr>
          <w:rFonts w:hAnsi="宋体"/>
          <w:sz w:val="24"/>
          <w:szCs w:val="24"/>
        </w:rPr>
        <w:t>_________</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9.2 </w:t>
      </w:r>
      <w:r>
        <w:rPr>
          <w:rFonts w:hint="eastAsia" w:hAnsi="宋体"/>
          <w:sz w:val="24"/>
          <w:szCs w:val="24"/>
        </w:rPr>
        <w:t>交货方式：</w:t>
      </w:r>
      <w:r>
        <w:rPr>
          <w:rFonts w:hAnsi="宋体"/>
          <w:sz w:val="24"/>
          <w:szCs w:val="24"/>
        </w:rPr>
        <w:t>_________</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9.3 </w:t>
      </w:r>
      <w:r>
        <w:rPr>
          <w:rFonts w:hint="eastAsia" w:hAnsi="宋体"/>
          <w:sz w:val="24"/>
          <w:szCs w:val="24"/>
        </w:rPr>
        <w:t>交货地点：用户单位地点或用户指定地点。</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十、货款支付</w:t>
      </w:r>
    </w:p>
    <w:p>
      <w:pPr>
        <w:pStyle w:val="8"/>
        <w:adjustRightInd w:val="0"/>
        <w:snapToGrid w:val="0"/>
        <w:spacing w:before="120" w:after="120" w:line="360" w:lineRule="auto"/>
        <w:ind w:left="48" w:firstLine="658"/>
        <w:rPr>
          <w:rFonts w:hAnsi="宋体"/>
          <w:sz w:val="24"/>
          <w:szCs w:val="24"/>
        </w:rPr>
      </w:pPr>
      <w:r>
        <w:rPr>
          <w:rFonts w:hAnsi="宋体"/>
          <w:sz w:val="24"/>
          <w:szCs w:val="24"/>
        </w:rPr>
        <w:t>10.1</w:t>
      </w:r>
      <w:r>
        <w:rPr>
          <w:rFonts w:hint="eastAsia" w:hAnsi="宋体"/>
          <w:sz w:val="24"/>
          <w:szCs w:val="24"/>
        </w:rPr>
        <w:t>付款方式：针对国内供应货物，</w:t>
      </w:r>
      <w:r>
        <w:rPr>
          <w:rFonts w:hAnsi="宋体"/>
          <w:sz w:val="24"/>
          <w:szCs w:val="24"/>
        </w:rPr>
        <w:t>中标单位所供设备（或软件、服务）进场安装调试或服务工作完毕，经验收、检测合格后，提供全额税务发票，凭最终签字和盖章的验收合格报告，支付至合同价的95%，余5%作质保金</w:t>
      </w:r>
      <w:r>
        <w:rPr>
          <w:rFonts w:hint="eastAsia" w:hAnsi="宋体"/>
          <w:sz w:val="24"/>
          <w:szCs w:val="24"/>
        </w:rPr>
        <w:t>，质保期满后</w:t>
      </w:r>
      <w:r>
        <w:rPr>
          <w:rFonts w:hAnsi="宋体"/>
          <w:sz w:val="24"/>
          <w:szCs w:val="24"/>
        </w:rPr>
        <w:t>并经有关单位确认无质量问题后，一次性支付完毕。具体内容以最终签署的合同约定为准。</w:t>
      </w:r>
    </w:p>
    <w:p>
      <w:pPr>
        <w:pStyle w:val="8"/>
        <w:adjustRightInd w:val="0"/>
        <w:snapToGrid w:val="0"/>
        <w:spacing w:before="120" w:after="120" w:line="360" w:lineRule="auto"/>
        <w:ind w:left="1" w:firstLine="658"/>
        <w:rPr>
          <w:rFonts w:hAnsi="宋体"/>
          <w:sz w:val="24"/>
          <w:szCs w:val="24"/>
        </w:rPr>
      </w:pPr>
      <w:r>
        <w:rPr>
          <w:rFonts w:hAnsi="宋体"/>
          <w:sz w:val="24"/>
          <w:szCs w:val="24"/>
        </w:rPr>
        <w:t>针对国外供应货物（进口货物），由外贸公司开具全额发票，外贸合同中采用100%信用证，90%见单即付，10%凭最终用户方签字和盖章的验收报告支付。</w:t>
      </w:r>
    </w:p>
    <w:p>
      <w:pPr>
        <w:ind w:firstLine="482" w:firstLineChars="200"/>
        <w:rPr>
          <w:rFonts w:ascii="宋体"/>
          <w:b/>
          <w:sz w:val="24"/>
        </w:rPr>
      </w:pPr>
      <w:r>
        <w:rPr>
          <w:rFonts w:hint="eastAsia" w:ascii="宋体" w:hAnsi="宋体"/>
          <w:b/>
          <w:sz w:val="24"/>
        </w:rPr>
        <w:t>十一、税</w:t>
      </w:r>
    </w:p>
    <w:p>
      <w:pPr>
        <w:pStyle w:val="8"/>
        <w:adjustRightInd w:val="0"/>
        <w:snapToGrid w:val="0"/>
        <w:spacing w:before="120" w:after="120" w:line="360" w:lineRule="auto"/>
        <w:ind w:left="48" w:firstLine="658"/>
        <w:rPr>
          <w:rFonts w:hAnsi="宋体"/>
          <w:sz w:val="24"/>
          <w:szCs w:val="24"/>
        </w:rPr>
      </w:pPr>
      <w:r>
        <w:rPr>
          <w:rFonts w:hAnsi="宋体"/>
          <w:sz w:val="24"/>
          <w:szCs w:val="24"/>
        </w:rPr>
        <w:t>11.1</w:t>
      </w:r>
      <w:r>
        <w:rPr>
          <w:rFonts w:hint="eastAsia" w:hAnsi="宋体"/>
          <w:sz w:val="24"/>
          <w:szCs w:val="24"/>
        </w:rPr>
        <w:t>发票要求：针对国内供货的货物，乙方开具合同全额“增值税专用发票”。</w:t>
      </w:r>
    </w:p>
    <w:p>
      <w:pPr>
        <w:pStyle w:val="8"/>
        <w:adjustRightInd w:val="0"/>
        <w:snapToGrid w:val="0"/>
        <w:spacing w:before="120" w:after="120" w:line="360" w:lineRule="auto"/>
        <w:ind w:left="48" w:firstLine="658"/>
        <w:rPr>
          <w:rFonts w:hAnsi="宋体"/>
          <w:sz w:val="24"/>
          <w:szCs w:val="24"/>
        </w:rPr>
      </w:pPr>
      <w:r>
        <w:rPr>
          <w:rFonts w:hAnsi="宋体"/>
          <w:sz w:val="24"/>
          <w:szCs w:val="24"/>
        </w:rPr>
        <w:t>11.2</w:t>
      </w:r>
      <w:r>
        <w:rPr>
          <w:rFonts w:hint="eastAsia" w:hAnsi="宋体"/>
          <w:sz w:val="24"/>
          <w:szCs w:val="24"/>
        </w:rPr>
        <w:t>本合同执行中相关的一切税费均由乙方负担。</w:t>
      </w:r>
    </w:p>
    <w:p>
      <w:pPr>
        <w:pStyle w:val="8"/>
        <w:adjustRightInd w:val="0"/>
        <w:snapToGrid w:val="0"/>
        <w:spacing w:before="120" w:after="120" w:line="360" w:lineRule="auto"/>
        <w:ind w:left="1" w:firstLine="660"/>
        <w:rPr>
          <w:rFonts w:hAnsi="宋体"/>
          <w:sz w:val="24"/>
          <w:szCs w:val="24"/>
        </w:rPr>
      </w:pPr>
      <w:r>
        <w:rPr>
          <w:rFonts w:hint="eastAsia" w:hAnsi="宋体"/>
          <w:b/>
          <w:sz w:val="24"/>
          <w:szCs w:val="24"/>
        </w:rPr>
        <w:t>十二、质量保证及售后服务</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12.1 </w:t>
      </w:r>
      <w:r>
        <w:rPr>
          <w:rFonts w:hint="eastAsia" w:hAnsi="宋体"/>
          <w:sz w:val="24"/>
          <w:szCs w:val="24"/>
        </w:rPr>
        <w:t>乙方应按采购文件规定的货物性能、技术要求、质量标准向甲方提供未经使用的全新产品。</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12.2 </w:t>
      </w:r>
      <w:r>
        <w:rPr>
          <w:rFonts w:hint="eastAsia" w:hAnsi="宋体"/>
          <w:sz w:val="24"/>
          <w:szCs w:val="24"/>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rPr>
      </w:pPr>
      <w:r>
        <w:rPr>
          <w:rFonts w:hint="eastAsia"/>
          <w:sz w:val="24"/>
        </w:rPr>
        <w:t>（</w:t>
      </w:r>
      <w:r>
        <w:rPr>
          <w:sz w:val="24"/>
        </w:rPr>
        <w:t>1</w:t>
      </w:r>
      <w:r>
        <w:rPr>
          <w:rFonts w:hint="eastAsia"/>
          <w:sz w:val="24"/>
        </w:rPr>
        <w:t>）更换：由乙方承担所发生的全部费用。</w:t>
      </w:r>
    </w:p>
    <w:p>
      <w:pPr>
        <w:adjustRightInd w:val="0"/>
        <w:snapToGrid w:val="0"/>
        <w:spacing w:line="360" w:lineRule="auto"/>
        <w:ind w:firstLine="360" w:firstLineChars="150"/>
        <w:rPr>
          <w:sz w:val="24"/>
        </w:rPr>
      </w:pPr>
      <w:r>
        <w:rPr>
          <w:rFonts w:hint="eastAsia"/>
          <w:sz w:val="24"/>
        </w:rPr>
        <w:t>（</w:t>
      </w:r>
      <w:r>
        <w:rPr>
          <w:sz w:val="24"/>
        </w:rPr>
        <w:t>2</w:t>
      </w:r>
      <w:r>
        <w:rPr>
          <w:rFonts w:hint="eastAsia"/>
          <w:sz w:val="24"/>
        </w:rPr>
        <w:t>）贬值处理：由甲乙双方合议定价。</w:t>
      </w:r>
    </w:p>
    <w:p>
      <w:pPr>
        <w:adjustRightInd w:val="0"/>
        <w:snapToGrid w:val="0"/>
        <w:spacing w:line="360" w:lineRule="auto"/>
        <w:ind w:firstLine="360" w:firstLineChars="150"/>
        <w:rPr>
          <w:sz w:val="24"/>
        </w:rPr>
      </w:pPr>
      <w:r>
        <w:rPr>
          <w:rFonts w:hint="eastAsia"/>
          <w:sz w:val="24"/>
        </w:rPr>
        <w:t>（</w:t>
      </w:r>
      <w:r>
        <w:rPr>
          <w:sz w:val="24"/>
        </w:rPr>
        <w:t>3</w:t>
      </w:r>
      <w:r>
        <w:rPr>
          <w:rFonts w:hint="eastAsia"/>
          <w:sz w:val="24"/>
        </w:rPr>
        <w:t>）退货处理：乙方应退还甲方支付的合同款，同时应承担该货物的直接费用（运输、保险、检验、货款利息及银行手续费等）。</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12.3 </w:t>
      </w:r>
      <w:r>
        <w:rPr>
          <w:rFonts w:hint="eastAsia" w:hAnsi="宋体"/>
          <w:sz w:val="24"/>
          <w:szCs w:val="24"/>
        </w:rPr>
        <w:t>如在使用过程中发生质量问题，乙方在接到甲方通知后在小时内到达甲方现场。</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12.4 </w:t>
      </w:r>
      <w:r>
        <w:rPr>
          <w:rFonts w:hint="eastAsia" w:hAnsi="宋体"/>
          <w:sz w:val="24"/>
          <w:szCs w:val="24"/>
        </w:rPr>
        <w:t>在质保期内，乙方应对货物出现的质量及安全问题负责处理解决并承担一切费用。</w:t>
      </w:r>
    </w:p>
    <w:p>
      <w:pPr>
        <w:pStyle w:val="8"/>
        <w:adjustRightInd w:val="0"/>
        <w:snapToGrid w:val="0"/>
        <w:spacing w:before="120" w:after="120" w:line="360" w:lineRule="auto"/>
        <w:ind w:left="1" w:firstLine="566"/>
        <w:rPr>
          <w:rFonts w:hAnsi="宋体"/>
          <w:sz w:val="24"/>
          <w:szCs w:val="24"/>
        </w:rPr>
      </w:pPr>
      <w:r>
        <w:rPr>
          <w:rFonts w:hAnsi="宋体"/>
          <w:sz w:val="24"/>
          <w:szCs w:val="24"/>
        </w:rPr>
        <w:t>12.5</w:t>
      </w:r>
      <w:r>
        <w:rPr>
          <w:rFonts w:hint="eastAsia" w:hAnsi="宋体"/>
          <w:sz w:val="24"/>
          <w:szCs w:val="24"/>
        </w:rPr>
        <w:t>上述的货物免费保修期为</w:t>
      </w:r>
      <w:r>
        <w:rPr>
          <w:rFonts w:hAnsi="宋体"/>
          <w:sz w:val="24"/>
          <w:szCs w:val="24"/>
        </w:rPr>
        <w:t>________</w:t>
      </w:r>
      <w:r>
        <w:rPr>
          <w:rFonts w:hint="eastAsia" w:hAnsi="宋体"/>
          <w:sz w:val="24"/>
          <w:szCs w:val="24"/>
        </w:rPr>
        <w:t>年，因人为因素出现的故障不在免费保修范围内。超过保修期的机器设备，终生维修，维修时只收部件成本费。</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十三、调试和验收</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13.1 </w:t>
      </w:r>
      <w:r>
        <w:rPr>
          <w:rFonts w:hint="eastAsia" w:hAnsi="宋体"/>
          <w:sz w:val="24"/>
          <w:szCs w:val="24"/>
        </w:rPr>
        <w:t>甲方对乙方提交的货物依据采购文件上的技术规格要求和国家有关质量标准进行现场初步验收，外观、说明书符合采购文件技术要求的，给予签收，初步验收不合格的不予签收。</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13.2 </w:t>
      </w:r>
      <w:r>
        <w:rPr>
          <w:rFonts w:hint="eastAsia" w:hAnsi="宋体"/>
          <w:sz w:val="24"/>
          <w:szCs w:val="24"/>
        </w:rPr>
        <w:t>乙方交货前应对产品作出全面检查和对验收文件进行整理，并列出清单，作为甲方收货验收和使用的技术条件依据，检验的结果应随货物交甲方。</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13.3 </w:t>
      </w:r>
      <w:r>
        <w:rPr>
          <w:rFonts w:hint="eastAsia" w:hAnsi="宋体"/>
          <w:sz w:val="24"/>
          <w:szCs w:val="24"/>
        </w:rPr>
        <w:t>甲方对乙方提供的货物在使用前进行调试时，乙方需负责安装并培训甲方的使用操作人员，并协助甲方一起调试，直到符合技术要求，甲方才做最终验收。</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13.4 </w:t>
      </w:r>
      <w:r>
        <w:rPr>
          <w:rFonts w:hint="eastAsia" w:hAnsi="宋体"/>
          <w:sz w:val="24"/>
          <w:szCs w:val="24"/>
        </w:rPr>
        <w:t>对技术复杂的货物，甲方可请国家认可的专业检测机构参与初步验收及最终验收，并由其出具质量检测报告。</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13.5 </w:t>
      </w:r>
      <w:r>
        <w:rPr>
          <w:rFonts w:hint="eastAsia" w:hAnsi="宋体"/>
          <w:sz w:val="24"/>
          <w:szCs w:val="24"/>
        </w:rPr>
        <w:t>验收时乙方必须在现场，验收完毕后作出验收结果报告，验收报告须经甲方最终用户签字和部门盖章。</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十四、货物包装、发运及运输</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14.1 </w:t>
      </w:r>
      <w:r>
        <w:rPr>
          <w:rFonts w:hint="eastAsia" w:hAnsi="宋体"/>
          <w:sz w:val="24"/>
          <w:szCs w:val="24"/>
        </w:rPr>
        <w:t>乙方应在货物发运前对其进行满足运输距离、防潮、防震、防锈和防破损装卸等要求包装，以保证货物安全运达甲方指定地点。</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14.2 </w:t>
      </w:r>
      <w:r>
        <w:rPr>
          <w:rFonts w:hint="eastAsia" w:hAnsi="宋体"/>
          <w:sz w:val="24"/>
          <w:szCs w:val="24"/>
        </w:rPr>
        <w:t>使用说明书、质量检验证明书、随配附件和工具以及清单一并附于货物内。</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14.3 </w:t>
      </w:r>
      <w:r>
        <w:rPr>
          <w:rFonts w:hint="eastAsia" w:hAnsi="宋体"/>
          <w:sz w:val="24"/>
          <w:szCs w:val="24"/>
        </w:rPr>
        <w:t>乙方在货物发运手续办理完毕后</w:t>
      </w:r>
      <w:r>
        <w:rPr>
          <w:rFonts w:hAnsi="宋体"/>
          <w:sz w:val="24"/>
          <w:szCs w:val="24"/>
        </w:rPr>
        <w:t>24</w:t>
      </w:r>
      <w:r>
        <w:rPr>
          <w:rFonts w:hint="eastAsia" w:hAnsi="宋体"/>
          <w:sz w:val="24"/>
          <w:szCs w:val="24"/>
        </w:rPr>
        <w:t>小时内或货到甲方</w:t>
      </w:r>
      <w:r>
        <w:rPr>
          <w:rFonts w:hAnsi="宋体"/>
          <w:sz w:val="24"/>
          <w:szCs w:val="24"/>
        </w:rPr>
        <w:t>48</w:t>
      </w:r>
      <w:r>
        <w:rPr>
          <w:rFonts w:hint="eastAsia" w:hAnsi="宋体"/>
          <w:sz w:val="24"/>
          <w:szCs w:val="24"/>
        </w:rPr>
        <w:t>小时前通知甲方，以准备接货。</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14.4 </w:t>
      </w:r>
      <w:r>
        <w:rPr>
          <w:rFonts w:hint="eastAsia" w:hAnsi="宋体"/>
          <w:sz w:val="24"/>
          <w:szCs w:val="24"/>
        </w:rPr>
        <w:t>货物在交付甲方前发生的风险均由乙方负责。</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14.5 </w:t>
      </w:r>
      <w:r>
        <w:rPr>
          <w:rFonts w:hint="eastAsia" w:hAnsi="宋体"/>
          <w:sz w:val="24"/>
          <w:szCs w:val="24"/>
        </w:rPr>
        <w:t>货物在规定的交付期限内由乙方送达甲方指定的地点视为交付，乙方同时需通知甲方货物已送达。</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十五、违约责任</w:t>
      </w:r>
    </w:p>
    <w:p>
      <w:pPr>
        <w:pStyle w:val="8"/>
        <w:adjustRightInd w:val="0"/>
        <w:snapToGrid w:val="0"/>
        <w:spacing w:before="120" w:after="120" w:line="360" w:lineRule="auto"/>
        <w:ind w:left="1" w:firstLine="658"/>
        <w:rPr>
          <w:rFonts w:hAnsi="宋体"/>
          <w:sz w:val="24"/>
          <w:szCs w:val="24"/>
        </w:rPr>
      </w:pPr>
      <w:r>
        <w:rPr>
          <w:rFonts w:hAnsi="宋体"/>
          <w:sz w:val="24"/>
          <w:szCs w:val="24"/>
        </w:rPr>
        <w:t>15.1</w:t>
      </w:r>
      <w:r>
        <w:rPr>
          <w:rFonts w:hint="eastAsia" w:hAnsi="宋体"/>
          <w:sz w:val="24"/>
          <w:szCs w:val="24"/>
        </w:rPr>
        <w:t>乙方逾期交付货物的，乙方应按逾期交货总额每日千分之六向甲方支付违约金，由甲方从待付货款中扣除。逾期超过约定日期</w:t>
      </w:r>
      <w:r>
        <w:rPr>
          <w:rFonts w:hAnsi="宋体"/>
          <w:sz w:val="24"/>
          <w:szCs w:val="24"/>
        </w:rPr>
        <w:t>10</w:t>
      </w:r>
      <w:r>
        <w:rPr>
          <w:rFonts w:hint="eastAsia" w:hAnsi="宋体"/>
          <w:sz w:val="24"/>
          <w:szCs w:val="24"/>
        </w:rPr>
        <w:t>个工作日不能交货的，甲方可解除本合同。乙方因逾期交货或因其他违约行为导致甲方解除合同的，乙方应向甲方支付合同总值</w:t>
      </w:r>
      <w:r>
        <w:rPr>
          <w:rFonts w:hAnsi="宋体"/>
          <w:sz w:val="24"/>
          <w:szCs w:val="24"/>
        </w:rPr>
        <w:t>5%</w:t>
      </w:r>
      <w:r>
        <w:rPr>
          <w:rFonts w:hint="eastAsia" w:hAnsi="宋体"/>
          <w:sz w:val="24"/>
          <w:szCs w:val="24"/>
        </w:rPr>
        <w:t>的违约金，如造成甲方损失超过违约金的，超出部分由乙方继续承担赔偿责任。</w:t>
      </w:r>
    </w:p>
    <w:p>
      <w:pPr>
        <w:pStyle w:val="8"/>
        <w:adjustRightInd w:val="0"/>
        <w:snapToGrid w:val="0"/>
        <w:spacing w:before="120" w:after="120" w:line="360" w:lineRule="auto"/>
        <w:ind w:firstLine="658"/>
        <w:rPr>
          <w:rFonts w:hAnsi="宋体"/>
          <w:sz w:val="24"/>
          <w:szCs w:val="24"/>
        </w:rPr>
      </w:pPr>
      <w:r>
        <w:rPr>
          <w:rFonts w:hAnsi="宋体"/>
          <w:sz w:val="24"/>
          <w:szCs w:val="24"/>
        </w:rPr>
        <w:t>15.2</w:t>
      </w:r>
      <w:r>
        <w:rPr>
          <w:rFonts w:hint="eastAsia" w:hAnsi="宋体"/>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十六、廉政条款</w:t>
      </w:r>
    </w:p>
    <w:p>
      <w:pPr>
        <w:pStyle w:val="8"/>
        <w:adjustRightInd w:val="0"/>
        <w:snapToGrid w:val="0"/>
        <w:spacing w:before="120" w:after="120" w:line="360" w:lineRule="auto"/>
        <w:ind w:left="1" w:firstLine="658"/>
        <w:rPr>
          <w:rFonts w:hAnsi="宋体"/>
          <w:sz w:val="24"/>
          <w:szCs w:val="24"/>
        </w:rPr>
      </w:pPr>
      <w:r>
        <w:rPr>
          <w:rFonts w:hAnsi="宋体"/>
          <w:sz w:val="24"/>
          <w:szCs w:val="24"/>
        </w:rPr>
        <w:t>16.1</w:t>
      </w:r>
      <w:r>
        <w:rPr>
          <w:rFonts w:hint="eastAsia" w:hAnsi="宋体"/>
          <w:sz w:val="24"/>
          <w:szCs w:val="24"/>
        </w:rPr>
        <w:t>乙方必须支持甲方的廉政建设，不得向甲方相关人员提供金钱和物质上的好处，一经发现处以合同金额</w:t>
      </w:r>
      <w:r>
        <w:rPr>
          <w:rFonts w:hAnsi="宋体"/>
          <w:sz w:val="24"/>
          <w:szCs w:val="24"/>
        </w:rPr>
        <w:t>20%</w:t>
      </w:r>
      <w:r>
        <w:rPr>
          <w:rFonts w:hint="eastAsia" w:hAnsi="宋体"/>
          <w:sz w:val="24"/>
          <w:szCs w:val="24"/>
        </w:rPr>
        <w:t>的罚款。</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十七、不可抗力事件处理</w:t>
      </w:r>
    </w:p>
    <w:p>
      <w:pPr>
        <w:pStyle w:val="8"/>
        <w:adjustRightInd w:val="0"/>
        <w:snapToGrid w:val="0"/>
        <w:spacing w:before="120" w:after="120" w:line="360" w:lineRule="auto"/>
        <w:ind w:left="1" w:firstLine="658"/>
        <w:rPr>
          <w:rFonts w:hAnsi="宋体"/>
          <w:sz w:val="24"/>
          <w:szCs w:val="24"/>
        </w:rPr>
      </w:pPr>
      <w:r>
        <w:rPr>
          <w:rFonts w:hAnsi="宋体"/>
          <w:sz w:val="24"/>
          <w:szCs w:val="24"/>
        </w:rPr>
        <w:t xml:space="preserve">17.1 </w:t>
      </w:r>
      <w:r>
        <w:rPr>
          <w:rFonts w:hint="eastAsia" w:hAnsi="宋体"/>
          <w:sz w:val="24"/>
          <w:szCs w:val="24"/>
        </w:rPr>
        <w:t>在合同有效期内，任何一方因不可抗力事件导致不能履行合同，则合同履行期可延长，其延长期与不可抗力影响期相同。</w:t>
      </w:r>
    </w:p>
    <w:p>
      <w:pPr>
        <w:pStyle w:val="8"/>
        <w:adjustRightInd w:val="0"/>
        <w:snapToGrid w:val="0"/>
        <w:spacing w:before="120" w:after="120" w:line="360" w:lineRule="auto"/>
        <w:ind w:firstLine="658"/>
        <w:rPr>
          <w:rFonts w:hAnsi="宋体"/>
          <w:sz w:val="24"/>
          <w:szCs w:val="24"/>
        </w:rPr>
      </w:pPr>
      <w:r>
        <w:rPr>
          <w:rFonts w:hAnsi="宋体"/>
          <w:sz w:val="24"/>
          <w:szCs w:val="24"/>
        </w:rPr>
        <w:t xml:space="preserve">17.2 </w:t>
      </w:r>
      <w:r>
        <w:rPr>
          <w:rFonts w:hint="eastAsia" w:hAnsi="宋体"/>
          <w:sz w:val="24"/>
          <w:szCs w:val="24"/>
        </w:rPr>
        <w:t>不可抗力事件发生后，应立即通知对方，并寄送有关权威机构出具的证明。</w:t>
      </w:r>
    </w:p>
    <w:p>
      <w:pPr>
        <w:pStyle w:val="8"/>
        <w:adjustRightInd w:val="0"/>
        <w:snapToGrid w:val="0"/>
        <w:spacing w:before="120" w:after="120" w:line="360" w:lineRule="auto"/>
        <w:ind w:firstLine="658"/>
        <w:rPr>
          <w:rFonts w:hAnsi="宋体"/>
          <w:sz w:val="24"/>
          <w:szCs w:val="24"/>
        </w:rPr>
      </w:pPr>
      <w:r>
        <w:rPr>
          <w:rFonts w:hAnsi="宋体"/>
          <w:sz w:val="24"/>
          <w:szCs w:val="24"/>
        </w:rPr>
        <w:t xml:space="preserve">17.3 </w:t>
      </w:r>
      <w:r>
        <w:rPr>
          <w:rFonts w:hint="eastAsia" w:hAnsi="宋体"/>
          <w:sz w:val="24"/>
          <w:szCs w:val="24"/>
        </w:rPr>
        <w:t>不可抗力事件延续</w:t>
      </w:r>
      <w:r>
        <w:rPr>
          <w:rFonts w:hAnsi="宋体"/>
          <w:sz w:val="24"/>
          <w:szCs w:val="24"/>
        </w:rPr>
        <w:t>30</w:t>
      </w:r>
      <w:r>
        <w:rPr>
          <w:rFonts w:hint="eastAsia" w:hAnsi="宋体"/>
          <w:sz w:val="24"/>
          <w:szCs w:val="24"/>
        </w:rPr>
        <w:t>天以上，双方应通过友好协商，确定是否继续履行合同。</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十八、诉讼</w:t>
      </w:r>
    </w:p>
    <w:p>
      <w:pPr>
        <w:pStyle w:val="8"/>
        <w:adjustRightInd w:val="0"/>
        <w:snapToGrid w:val="0"/>
        <w:spacing w:before="120" w:after="120" w:line="360" w:lineRule="auto"/>
        <w:ind w:left="1" w:firstLine="658"/>
        <w:rPr>
          <w:rFonts w:hAnsi="宋体"/>
          <w:sz w:val="24"/>
          <w:szCs w:val="24"/>
        </w:rPr>
      </w:pPr>
      <w:r>
        <w:rPr>
          <w:rFonts w:hAnsi="宋体"/>
          <w:sz w:val="24"/>
          <w:szCs w:val="24"/>
        </w:rPr>
        <w:t xml:space="preserve">18.1 </w:t>
      </w:r>
      <w:r>
        <w:rPr>
          <w:rFonts w:hint="eastAsia" w:hAnsi="宋体"/>
          <w:sz w:val="24"/>
          <w:szCs w:val="24"/>
        </w:rPr>
        <w:t>双方在执行合同中所发生的一切争议，应通过协商解决。如协商不成，可向合同签订地法院起诉，合同签订地在此约定为南京市。</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十九、合同生效及其它</w:t>
      </w:r>
    </w:p>
    <w:p>
      <w:pPr>
        <w:pStyle w:val="8"/>
        <w:adjustRightInd w:val="0"/>
        <w:snapToGrid w:val="0"/>
        <w:spacing w:before="120" w:after="120" w:line="360" w:lineRule="auto"/>
        <w:ind w:firstLine="658"/>
        <w:rPr>
          <w:rFonts w:hAnsi="宋体"/>
          <w:sz w:val="24"/>
          <w:szCs w:val="24"/>
        </w:rPr>
      </w:pPr>
      <w:r>
        <w:rPr>
          <w:rFonts w:hAnsi="宋体"/>
          <w:sz w:val="24"/>
          <w:szCs w:val="24"/>
        </w:rPr>
        <w:t xml:space="preserve">19.1 </w:t>
      </w:r>
      <w:r>
        <w:rPr>
          <w:rFonts w:hint="eastAsia" w:hAnsi="宋体"/>
          <w:sz w:val="24"/>
          <w:szCs w:val="24"/>
        </w:rPr>
        <w:t>合同经双方法定代表人或授权委托代表人签字并加盖单位公章后生效。</w:t>
      </w:r>
    </w:p>
    <w:p>
      <w:pPr>
        <w:pStyle w:val="8"/>
        <w:adjustRightInd w:val="0"/>
        <w:snapToGrid w:val="0"/>
        <w:spacing w:before="120" w:after="120" w:line="360" w:lineRule="auto"/>
        <w:ind w:firstLine="658"/>
        <w:rPr>
          <w:rFonts w:hAnsi="宋体"/>
          <w:sz w:val="24"/>
          <w:szCs w:val="24"/>
        </w:rPr>
      </w:pPr>
      <w:r>
        <w:rPr>
          <w:rFonts w:hAnsi="宋体"/>
          <w:sz w:val="24"/>
          <w:szCs w:val="24"/>
        </w:rPr>
        <w:t>19.2</w:t>
      </w:r>
      <w:r>
        <w:rPr>
          <w:rFonts w:hint="eastAsia" w:hAnsi="宋体"/>
          <w:sz w:val="24"/>
          <w:szCs w:val="24"/>
        </w:rPr>
        <w:t>本合同未尽事宜，遵照《合同法》有关条文执行。</w:t>
      </w:r>
    </w:p>
    <w:p>
      <w:pPr>
        <w:pStyle w:val="8"/>
        <w:adjustRightInd w:val="0"/>
        <w:snapToGrid w:val="0"/>
        <w:spacing w:before="120" w:after="120" w:line="360" w:lineRule="auto"/>
        <w:ind w:left="1" w:firstLine="658"/>
        <w:rPr>
          <w:rFonts w:hAnsi="宋体"/>
          <w:sz w:val="24"/>
          <w:szCs w:val="24"/>
        </w:rPr>
      </w:pPr>
      <w:r>
        <w:rPr>
          <w:rFonts w:hAnsi="宋体"/>
          <w:sz w:val="24"/>
          <w:szCs w:val="24"/>
        </w:rPr>
        <w:t xml:space="preserve">19.3 </w:t>
      </w:r>
      <w:r>
        <w:rPr>
          <w:rFonts w:hint="eastAsia" w:hAnsi="宋体"/>
          <w:sz w:val="24"/>
          <w:szCs w:val="24"/>
        </w:rPr>
        <w:t>本合同正本一式四份，具有同等法律效力，甲方、乙方各执两份。</w:t>
      </w:r>
    </w:p>
    <w:p>
      <w:pPr>
        <w:pStyle w:val="8"/>
        <w:adjustRightInd w:val="0"/>
        <w:snapToGrid w:val="0"/>
        <w:spacing w:before="120" w:after="120" w:line="360" w:lineRule="auto"/>
        <w:ind w:left="420" w:leftChars="200" w:firstLine="240" w:firstLineChars="100"/>
        <w:rPr>
          <w:rFonts w:hAnsi="宋体"/>
          <w:sz w:val="24"/>
          <w:szCs w:val="24"/>
        </w:rPr>
      </w:pPr>
      <w:r>
        <w:rPr>
          <w:rFonts w:hint="eastAsia" w:hAnsi="宋体"/>
          <w:sz w:val="24"/>
          <w:szCs w:val="24"/>
        </w:rPr>
        <w:t>甲方：乙方：</w:t>
      </w:r>
    </w:p>
    <w:p>
      <w:pPr>
        <w:pStyle w:val="8"/>
        <w:adjustRightInd w:val="0"/>
        <w:snapToGrid w:val="0"/>
        <w:spacing w:before="120" w:after="120" w:line="360" w:lineRule="auto"/>
        <w:ind w:firstLine="658"/>
        <w:rPr>
          <w:rFonts w:hAnsi="宋体"/>
          <w:sz w:val="24"/>
          <w:szCs w:val="24"/>
        </w:rPr>
      </w:pPr>
      <w:r>
        <w:rPr>
          <w:rFonts w:hint="eastAsia" w:hAnsi="宋体"/>
          <w:sz w:val="24"/>
          <w:szCs w:val="24"/>
        </w:rPr>
        <w:t>地址：地址：</w:t>
      </w:r>
    </w:p>
    <w:p>
      <w:pPr>
        <w:pStyle w:val="8"/>
        <w:adjustRightInd w:val="0"/>
        <w:snapToGrid w:val="0"/>
        <w:spacing w:before="120" w:after="120" w:line="360" w:lineRule="auto"/>
        <w:ind w:firstLine="658"/>
        <w:rPr>
          <w:rFonts w:hAnsi="宋体"/>
          <w:sz w:val="24"/>
          <w:szCs w:val="24"/>
        </w:rPr>
      </w:pPr>
      <w:r>
        <w:rPr>
          <w:rFonts w:hint="eastAsia" w:hAnsi="宋体"/>
          <w:sz w:val="24"/>
          <w:szCs w:val="24"/>
        </w:rPr>
        <w:t>法定代表人或授权代表：</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项目负责人</w:t>
      </w:r>
      <w:r>
        <w:rPr>
          <w:rFonts w:hAnsi="宋体"/>
          <w:sz w:val="24"/>
          <w:szCs w:val="24"/>
        </w:rPr>
        <w:t xml:space="preserve">:                              </w:t>
      </w:r>
      <w:r>
        <w:rPr>
          <w:rFonts w:hint="eastAsia" w:hAnsi="宋体"/>
          <w:sz w:val="24"/>
          <w:szCs w:val="24"/>
        </w:rPr>
        <w:t>法定代表人或授权代表：</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项目联系人</w:t>
      </w:r>
      <w:r>
        <w:rPr>
          <w:rFonts w:hAnsi="宋体"/>
          <w:sz w:val="24"/>
          <w:szCs w:val="24"/>
        </w:rPr>
        <w:t>:</w:t>
      </w:r>
    </w:p>
    <w:p>
      <w:pPr>
        <w:pStyle w:val="8"/>
        <w:adjustRightInd w:val="0"/>
        <w:snapToGrid w:val="0"/>
        <w:spacing w:before="120" w:after="120" w:line="360" w:lineRule="auto"/>
        <w:ind w:firstLine="658"/>
        <w:rPr>
          <w:rFonts w:hAnsi="宋体"/>
          <w:sz w:val="24"/>
          <w:szCs w:val="24"/>
        </w:rPr>
      </w:pPr>
      <w:r>
        <w:rPr>
          <w:rFonts w:hint="eastAsia" w:hAnsi="宋体"/>
          <w:sz w:val="24"/>
          <w:szCs w:val="24"/>
        </w:rPr>
        <w:t>联系电话：联系电话：</w:t>
      </w:r>
    </w:p>
    <w:p>
      <w:pPr>
        <w:pStyle w:val="8"/>
        <w:adjustRightInd w:val="0"/>
        <w:snapToGrid w:val="0"/>
        <w:spacing w:before="120" w:after="120" w:line="360" w:lineRule="auto"/>
        <w:ind w:firstLine="767"/>
        <w:rPr>
          <w:rFonts w:cs="仿宋"/>
          <w:sz w:val="24"/>
        </w:rPr>
      </w:pPr>
      <w:r>
        <w:rPr>
          <w:rFonts w:hint="eastAsia"/>
          <w:sz w:val="28"/>
          <w:szCs w:val="28"/>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auto"/>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23</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F6BA3"/>
    <w:multiLevelType w:val="multilevel"/>
    <w:tmpl w:val="46AF6BA3"/>
    <w:lvl w:ilvl="0" w:tentative="0">
      <w:start w:val="1"/>
      <w:numFmt w:val="decimal"/>
      <w:lvlText w:val="%1、"/>
      <w:lvlJc w:val="left"/>
      <w:pPr>
        <w:ind w:left="375" w:hanging="3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F15"/>
    <w:rsid w:val="00537018"/>
    <w:rsid w:val="00540A3F"/>
    <w:rsid w:val="00541B97"/>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4C2B"/>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722B"/>
    <w:rsid w:val="00B972CE"/>
    <w:rsid w:val="00BA0166"/>
    <w:rsid w:val="00BA1570"/>
    <w:rsid w:val="00BA2BDC"/>
    <w:rsid w:val="00BA3F55"/>
    <w:rsid w:val="00BA4270"/>
    <w:rsid w:val="00BA508D"/>
    <w:rsid w:val="00BA524D"/>
    <w:rsid w:val="00BB0F3A"/>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2700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B68"/>
    <w:rsid w:val="00FE5C60"/>
    <w:rsid w:val="00FE7480"/>
    <w:rsid w:val="00FF0C63"/>
    <w:rsid w:val="00FF0EC6"/>
    <w:rsid w:val="00FF1DAB"/>
    <w:rsid w:val="00FF394A"/>
    <w:rsid w:val="00FF3DF8"/>
    <w:rsid w:val="067D088E"/>
    <w:rsid w:val="1FE825AC"/>
    <w:rsid w:val="2323069F"/>
    <w:rsid w:val="2CE81BAF"/>
    <w:rsid w:val="38F33167"/>
    <w:rsid w:val="44DC7F4B"/>
    <w:rsid w:val="49BE519F"/>
    <w:rsid w:val="4DAC43C0"/>
    <w:rsid w:val="533E0F74"/>
    <w:rsid w:val="567513AB"/>
    <w:rsid w:val="59FD2F58"/>
    <w:rsid w:val="6BC1702A"/>
    <w:rsid w:val="701B5E39"/>
    <w:rsid w:val="75BE6EB5"/>
    <w:rsid w:val="75DA2107"/>
    <w:rsid w:val="7EEF6C2A"/>
    <w:rsid w:val="7F074C2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9"/>
    <w:pPr>
      <w:keepNext/>
      <w:keepLines/>
      <w:spacing w:before="340" w:after="330" w:line="578" w:lineRule="auto"/>
      <w:outlineLvl w:val="0"/>
    </w:pPr>
    <w:rPr>
      <w:b/>
      <w:kern w:val="44"/>
      <w:sz w:val="44"/>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4">
    <w:name w:val="annotation text"/>
    <w:basedOn w:val="1"/>
    <w:link w:val="21"/>
    <w:qFormat/>
    <w:uiPriority w:val="99"/>
    <w:pPr>
      <w:jc w:val="left"/>
    </w:pPr>
    <w:rPr>
      <w:sz w:val="24"/>
      <w:szCs w:val="20"/>
    </w:rPr>
  </w:style>
  <w:style w:type="paragraph" w:styleId="5">
    <w:name w:val="Body Text"/>
    <w:basedOn w:val="1"/>
    <w:link w:val="40"/>
    <w:unhideWhenUsed/>
    <w:qFormat/>
    <w:locked/>
    <w:uiPriority w:val="99"/>
    <w:pPr>
      <w:spacing w:after="120"/>
    </w:pPr>
  </w:style>
  <w:style w:type="paragraph" w:styleId="6">
    <w:name w:val="Body Text Indent"/>
    <w:basedOn w:val="1"/>
    <w:link w:val="22"/>
    <w:qFormat/>
    <w:uiPriority w:val="99"/>
    <w:pPr>
      <w:ind w:firstLine="575" w:firstLineChars="274"/>
    </w:pPr>
    <w:rPr>
      <w:rFonts w:ascii="等线" w:eastAsia="等线"/>
      <w:sz w:val="22"/>
      <w:szCs w:val="20"/>
    </w:rPr>
  </w:style>
  <w:style w:type="paragraph" w:styleId="7">
    <w:name w:val="index 4"/>
    <w:basedOn w:val="1"/>
    <w:next w:val="1"/>
    <w:qFormat/>
    <w:uiPriority w:val="99"/>
    <w:pPr>
      <w:ind w:left="600" w:leftChars="600"/>
    </w:pPr>
    <w:rPr>
      <w:rFonts w:ascii="Verdana" w:hAnsi="Verdana"/>
    </w:rPr>
  </w:style>
  <w:style w:type="paragraph" w:styleId="8">
    <w:name w:val="Plain Text"/>
    <w:basedOn w:val="1"/>
    <w:link w:val="23"/>
    <w:qFormat/>
    <w:uiPriority w:val="0"/>
    <w:rPr>
      <w:rFonts w:ascii="宋体" w:hAnsi="Courier New"/>
      <w:szCs w:val="20"/>
    </w:rPr>
  </w:style>
  <w:style w:type="paragraph" w:styleId="9">
    <w:name w:val="Date"/>
    <w:basedOn w:val="1"/>
    <w:next w:val="1"/>
    <w:link w:val="24"/>
    <w:qFormat/>
    <w:uiPriority w:val="99"/>
    <w:pPr>
      <w:ind w:left="100" w:leftChars="2500"/>
    </w:pPr>
    <w:rPr>
      <w:sz w:val="24"/>
      <w:szCs w:val="20"/>
    </w:rPr>
  </w:style>
  <w:style w:type="paragraph" w:styleId="10">
    <w:name w:val="Balloon Text"/>
    <w:basedOn w:val="1"/>
    <w:link w:val="25"/>
    <w:semiHidden/>
    <w:qFormat/>
    <w:uiPriority w:val="99"/>
    <w:rPr>
      <w:kern w:val="0"/>
      <w:sz w:val="2"/>
      <w:szCs w:val="20"/>
    </w:rPr>
  </w:style>
  <w:style w:type="paragraph" w:styleId="11">
    <w:name w:val="footer"/>
    <w:basedOn w:val="1"/>
    <w:link w:val="26"/>
    <w:qFormat/>
    <w:uiPriority w:val="99"/>
    <w:pPr>
      <w:tabs>
        <w:tab w:val="center" w:pos="4153"/>
        <w:tab w:val="right" w:pos="8306"/>
      </w:tabs>
      <w:snapToGrid w:val="0"/>
      <w:jc w:val="left"/>
    </w:pPr>
    <w:rPr>
      <w:kern w:val="0"/>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4"/>
    <w:next w:val="4"/>
    <w:link w:val="28"/>
    <w:qFormat/>
    <w:uiPriority w:val="99"/>
    <w:rPr>
      <w:b/>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uiPriority w:val="99"/>
    <w:rPr>
      <w:rFonts w:cs="Times New Roman"/>
      <w:color w:val="0563C1"/>
      <w:u w:val="single"/>
    </w:rPr>
  </w:style>
  <w:style w:type="character" w:styleId="19">
    <w:name w:val="annotation reference"/>
    <w:basedOn w:val="17"/>
    <w:qFormat/>
    <w:uiPriority w:val="99"/>
    <w:rPr>
      <w:rFonts w:cs="Times New Roman"/>
      <w:sz w:val="21"/>
    </w:rPr>
  </w:style>
  <w:style w:type="character" w:customStyle="1" w:styleId="20">
    <w:name w:val="标题 1 Char"/>
    <w:link w:val="3"/>
    <w:qFormat/>
    <w:locked/>
    <w:uiPriority w:val="99"/>
    <w:rPr>
      <w:rFonts w:cs="Times New Roman"/>
      <w:b/>
      <w:kern w:val="44"/>
      <w:sz w:val="44"/>
    </w:rPr>
  </w:style>
  <w:style w:type="character" w:customStyle="1" w:styleId="21">
    <w:name w:val="批注文字 Char"/>
    <w:link w:val="4"/>
    <w:qFormat/>
    <w:locked/>
    <w:uiPriority w:val="99"/>
    <w:rPr>
      <w:rFonts w:cs="Times New Roman"/>
      <w:kern w:val="2"/>
      <w:sz w:val="24"/>
    </w:rPr>
  </w:style>
  <w:style w:type="character" w:customStyle="1" w:styleId="22">
    <w:name w:val="正文文本缩进 Char"/>
    <w:link w:val="6"/>
    <w:qFormat/>
    <w:locked/>
    <w:uiPriority w:val="99"/>
    <w:rPr>
      <w:rFonts w:ascii="等线" w:eastAsia="等线" w:cs="Times New Roman"/>
      <w:kern w:val="2"/>
      <w:sz w:val="22"/>
    </w:rPr>
  </w:style>
  <w:style w:type="character" w:customStyle="1" w:styleId="23">
    <w:name w:val="纯文本 Char"/>
    <w:link w:val="8"/>
    <w:qFormat/>
    <w:locked/>
    <w:uiPriority w:val="0"/>
    <w:rPr>
      <w:rFonts w:ascii="宋体" w:hAnsi="Courier New" w:cs="Times New Roman"/>
      <w:kern w:val="2"/>
      <w:sz w:val="21"/>
    </w:rPr>
  </w:style>
  <w:style w:type="character" w:customStyle="1" w:styleId="24">
    <w:name w:val="日期 Char"/>
    <w:link w:val="9"/>
    <w:qFormat/>
    <w:locked/>
    <w:uiPriority w:val="99"/>
    <w:rPr>
      <w:rFonts w:cs="Times New Roman"/>
      <w:kern w:val="2"/>
      <w:sz w:val="24"/>
    </w:rPr>
  </w:style>
  <w:style w:type="character" w:customStyle="1" w:styleId="25">
    <w:name w:val="批注框文本 Char"/>
    <w:link w:val="10"/>
    <w:semiHidden/>
    <w:qFormat/>
    <w:locked/>
    <w:uiPriority w:val="99"/>
    <w:rPr>
      <w:rFonts w:cs="Times New Roman"/>
      <w:sz w:val="2"/>
    </w:rPr>
  </w:style>
  <w:style w:type="character" w:customStyle="1" w:styleId="26">
    <w:name w:val="页脚 Char"/>
    <w:link w:val="11"/>
    <w:semiHidden/>
    <w:qFormat/>
    <w:locked/>
    <w:uiPriority w:val="99"/>
    <w:rPr>
      <w:rFonts w:cs="Times New Roman"/>
      <w:sz w:val="18"/>
      <w:szCs w:val="18"/>
    </w:rPr>
  </w:style>
  <w:style w:type="character" w:customStyle="1" w:styleId="27">
    <w:name w:val="页眉 Char"/>
    <w:link w:val="12"/>
    <w:qFormat/>
    <w:locked/>
    <w:uiPriority w:val="99"/>
    <w:rPr>
      <w:rFonts w:cs="Times New Roman"/>
      <w:kern w:val="2"/>
      <w:sz w:val="18"/>
    </w:rPr>
  </w:style>
  <w:style w:type="character" w:customStyle="1" w:styleId="28">
    <w:name w:val="批注主题 Char"/>
    <w:link w:val="14"/>
    <w:qFormat/>
    <w:locked/>
    <w:uiPriority w:val="99"/>
    <w:rPr>
      <w:rFonts w:cs="Times New Roman"/>
      <w:b/>
      <w:kern w:val="2"/>
      <w:sz w:val="24"/>
    </w:rPr>
  </w:style>
  <w:style w:type="paragraph" w:customStyle="1" w:styleId="29">
    <w:name w:val="Char"/>
    <w:basedOn w:val="1"/>
    <w:qFormat/>
    <w:uiPriority w:val="99"/>
    <w:pPr>
      <w:tabs>
        <w:tab w:val="left" w:pos="360"/>
      </w:tabs>
    </w:pPr>
    <w:rPr>
      <w:sz w:val="24"/>
    </w:rPr>
  </w:style>
  <w:style w:type="character" w:customStyle="1" w:styleId="30">
    <w:name w:val="列出段落 Char"/>
    <w:link w:val="31"/>
    <w:qFormat/>
    <w:locked/>
    <w:uiPriority w:val="0"/>
  </w:style>
  <w:style w:type="paragraph" w:styleId="31">
    <w:name w:val="List Paragraph"/>
    <w:basedOn w:val="1"/>
    <w:link w:val="30"/>
    <w:qFormat/>
    <w:uiPriority w:val="34"/>
    <w:pPr>
      <w:widowControl/>
      <w:ind w:firstLine="420" w:firstLineChars="200"/>
      <w:jc w:val="left"/>
    </w:pPr>
    <w:rPr>
      <w:kern w:val="0"/>
      <w:sz w:val="20"/>
      <w:szCs w:val="20"/>
    </w:rPr>
  </w:style>
  <w:style w:type="table" w:customStyle="1" w:styleId="32">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laceholder Text"/>
    <w:semiHidden/>
    <w:qFormat/>
    <w:uiPriority w:val="99"/>
    <w:rPr>
      <w:rFonts w:cs="Times New Roman"/>
      <w:color w:val="808080"/>
    </w:rPr>
  </w:style>
  <w:style w:type="paragraph" w:customStyle="1" w:styleId="34">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5">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6">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
    <w:name w:val="列出段落2"/>
    <w:basedOn w:val="1"/>
    <w:qFormat/>
    <w:uiPriority w:val="99"/>
    <w:pPr>
      <w:ind w:firstLine="420" w:firstLineChars="200"/>
    </w:pPr>
    <w:rPr>
      <w:rFonts w:ascii="Calibri" w:hAnsi="Calibri"/>
      <w:szCs w:val="22"/>
    </w:rPr>
  </w:style>
  <w:style w:type="character" w:customStyle="1" w:styleId="38">
    <w:name w:val="标题 2 Char Char Char"/>
    <w:qFormat/>
    <w:uiPriority w:val="99"/>
    <w:rPr>
      <w:rFonts w:ascii="Arial" w:hAnsi="Arial" w:eastAsia="黑体"/>
      <w:b/>
      <w:kern w:val="2"/>
      <w:sz w:val="32"/>
      <w:lang w:val="en-US" w:eastAsia="zh-CN"/>
    </w:rPr>
  </w:style>
  <w:style w:type="paragraph" w:customStyle="1" w:styleId="39">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0">
    <w:name w:val="正文文本 Char"/>
    <w:link w:val="5"/>
    <w:qFormat/>
    <w:uiPriority w:val="99"/>
    <w:rPr>
      <w:kern w:val="2"/>
      <w:sz w:val="21"/>
      <w:szCs w:val="24"/>
    </w:rPr>
  </w:style>
  <w:style w:type="paragraph" w:customStyle="1" w:styleId="41">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2">
    <w:name w:val="正文2"/>
    <w:basedOn w:val="1"/>
    <w:qFormat/>
    <w:uiPriority w:val="0"/>
    <w:pPr>
      <w:spacing w:before="156" w:line="360" w:lineRule="auto"/>
      <w:ind w:firstLine="510" w:firstLineChars="200"/>
    </w:pPr>
    <w:rPr>
      <w:sz w:val="24"/>
    </w:rPr>
  </w:style>
  <w:style w:type="paragraph" w:customStyle="1" w:styleId="43">
    <w:name w:val="Pa13"/>
    <w:basedOn w:val="1"/>
    <w:next w:val="1"/>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4">
    <w:name w:val="A9"/>
    <w:uiPriority w:val="0"/>
    <w:rPr>
      <w:rFonts w:cs="PSFEIH+StoneSans"/>
      <w:color w:val="262424"/>
      <w:sz w:val="20"/>
      <w:szCs w:val="20"/>
    </w:rPr>
  </w:style>
  <w:style w:type="paragraph" w:customStyle="1" w:styleId="45">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46">
    <w:name w:val="列出段落"/>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2CE45-8934-4D17-9967-5C6E77A5733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2032</Words>
  <Characters>11587</Characters>
  <Lines>96</Lines>
  <Paragraphs>27</Paragraphs>
  <TotalTime>19</TotalTime>
  <ScaleCrop>false</ScaleCrop>
  <LinksUpToDate>false</LinksUpToDate>
  <CharactersWithSpaces>13592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2020-04-01T01:05:00Z</dcterms:created>
  <dc:creator>微软用户</dc:creator>
  <cp:lastModifiedBy>nxdlu</cp:lastModifiedBy>
  <cp:lastPrinted>2019-11-22T01:53:00Z</cp:lastPrinted>
  <dcterms:modified xsi:type="dcterms:W3CDTF">2020-04-30T02:31:25Z</dcterms:modified>
  <dc:title>淮海工学院A8-10号楼学生宿舍家具招标书</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