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南京信息工程大学超级计算租赁服务供应商入围项目</w:t>
      </w:r>
      <w:r>
        <w:rPr>
          <w:b/>
          <w:sz w:val="44"/>
          <w:szCs w:val="44"/>
        </w:rPr>
        <w:t>招标文件</w:t>
      </w:r>
    </w:p>
    <w:p>
      <w:pPr>
        <w:jc w:val="center"/>
        <w:rPr>
          <w:b/>
          <w:sz w:val="44"/>
          <w:szCs w:val="44"/>
        </w:rPr>
      </w:pPr>
    </w:p>
    <w:p>
      <w:pPr>
        <w:adjustRightInd w:val="0"/>
        <w:snapToGrid w:val="0"/>
        <w:spacing w:line="360" w:lineRule="auto"/>
        <w:jc w:val="center"/>
        <w:rPr>
          <w:rFonts w:ascii="宋体" w:cs="仿宋"/>
          <w:sz w:val="28"/>
          <w:szCs w:val="28"/>
        </w:rPr>
      </w:pPr>
      <w:r>
        <w:rPr>
          <w:rFonts w:hint="eastAsia" w:ascii="宋体" w:hAnsi="宋体" w:cs="仿宋"/>
          <w:sz w:val="28"/>
          <w:szCs w:val="28"/>
        </w:rPr>
        <w:t>（招标编号：SBC2020016）</w:t>
      </w:r>
    </w:p>
    <w:p>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2020</w:t>
      </w:r>
      <w:r>
        <w:rPr>
          <w:rFonts w:hint="eastAsia" w:ascii="宋体" w:hAnsi="宋体" w:cs="仿宋"/>
          <w:sz w:val="28"/>
          <w:szCs w:val="28"/>
          <w:u w:val="single"/>
        </w:rPr>
        <w:t>年5月22日16:00定标发标版</w:t>
      </w:r>
      <w:r>
        <w:rPr>
          <w:rFonts w:ascii="宋体" w:hAnsi="宋体" w:cs="仿宋"/>
          <w:sz w:val="28"/>
          <w:szCs w:val="28"/>
        </w:rPr>
        <w:t>)</w:t>
      </w:r>
    </w:p>
    <w:p>
      <w:pPr>
        <w:jc w:val="center"/>
        <w:rPr>
          <w:b/>
          <w:sz w:val="28"/>
          <w:szCs w:val="28"/>
        </w:rPr>
      </w:pPr>
      <w:r>
        <w:rPr>
          <w:b/>
          <w:sz w:val="28"/>
          <w:szCs w:val="28"/>
        </w:rPr>
        <w:t xml:space="preserve"> </w:t>
      </w:r>
    </w:p>
    <w:p>
      <w:pPr>
        <w:spacing w:line="360" w:lineRule="auto"/>
        <w:ind w:firstLine="560" w:firstLineChars="200"/>
        <w:rPr>
          <w:sz w:val="28"/>
          <w:szCs w:val="28"/>
        </w:rPr>
      </w:pPr>
      <w:r>
        <w:rPr>
          <w:kern w:val="0"/>
          <w:sz w:val="28"/>
          <w:szCs w:val="28"/>
        </w:rPr>
        <w:t>为满足学校相关教学</w:t>
      </w:r>
      <w:r>
        <w:rPr>
          <w:sz w:val="28"/>
          <w:szCs w:val="28"/>
        </w:rPr>
        <w:t>科研工作需要，受校实验室与设备管理处委托，</w:t>
      </w:r>
      <w:r>
        <w:rPr>
          <w:kern w:val="0"/>
          <w:sz w:val="28"/>
          <w:szCs w:val="28"/>
        </w:rPr>
        <w:t>就</w:t>
      </w:r>
      <w:r>
        <w:rPr>
          <w:rFonts w:hint="eastAsia"/>
          <w:kern w:val="0"/>
          <w:sz w:val="28"/>
          <w:szCs w:val="28"/>
        </w:rPr>
        <w:t>超级计算服务租赁</w:t>
      </w:r>
      <w:r>
        <w:rPr>
          <w:kern w:val="0"/>
          <w:sz w:val="28"/>
          <w:szCs w:val="28"/>
        </w:rPr>
        <w:t>项目进行</w:t>
      </w:r>
      <w:r>
        <w:rPr>
          <w:sz w:val="28"/>
          <w:szCs w:val="28"/>
        </w:rPr>
        <w:t>公开招标，欢迎符合条件的供应商报名投标，现将有关情况说明如下：</w:t>
      </w:r>
    </w:p>
    <w:p>
      <w:pPr>
        <w:spacing w:line="360" w:lineRule="auto"/>
        <w:ind w:firstLine="560" w:firstLineChars="200"/>
        <w:rPr>
          <w:sz w:val="28"/>
          <w:szCs w:val="28"/>
        </w:rPr>
      </w:pPr>
    </w:p>
    <w:p>
      <w:pPr>
        <w:pStyle w:val="31"/>
        <w:spacing w:line="360" w:lineRule="auto"/>
        <w:ind w:firstLine="0" w:firstLineChars="0"/>
        <w:jc w:val="center"/>
        <w:rPr>
          <w:rFonts w:eastAsia="黑体"/>
          <w:sz w:val="28"/>
          <w:szCs w:val="28"/>
        </w:rPr>
      </w:pPr>
      <w:r>
        <w:rPr>
          <w:rFonts w:eastAsia="黑体"/>
          <w:sz w:val="28"/>
          <w:szCs w:val="28"/>
        </w:rPr>
        <w:t>一、招标项目名称及简要说明</w:t>
      </w:r>
    </w:p>
    <w:p>
      <w:pPr>
        <w:pStyle w:val="31"/>
        <w:spacing w:line="360" w:lineRule="auto"/>
        <w:ind w:firstLine="560"/>
        <w:rPr>
          <w:sz w:val="28"/>
          <w:szCs w:val="28"/>
        </w:rPr>
      </w:pPr>
      <w:r>
        <w:rPr>
          <w:sz w:val="28"/>
          <w:szCs w:val="28"/>
        </w:rPr>
        <w:t>1. 项目名称：</w:t>
      </w:r>
      <w:r>
        <w:rPr>
          <w:rFonts w:hint="eastAsia"/>
          <w:sz w:val="28"/>
          <w:szCs w:val="28"/>
        </w:rPr>
        <w:t>南京信息工程大学超级计算租赁服务供应商入围项目。</w:t>
      </w:r>
    </w:p>
    <w:p>
      <w:pPr>
        <w:adjustRightInd w:val="0"/>
        <w:snapToGrid w:val="0"/>
        <w:spacing w:line="360" w:lineRule="auto"/>
        <w:ind w:firstLine="560" w:firstLineChars="200"/>
        <w:rPr>
          <w:rFonts w:ascii="宋体" w:hAnsi="宋体" w:cs="仿宋"/>
          <w:sz w:val="28"/>
          <w:szCs w:val="28"/>
        </w:rPr>
      </w:pPr>
      <w:r>
        <w:rPr>
          <w:rFonts w:ascii="宋体" w:hAnsi="宋体" w:cs="仿宋"/>
          <w:sz w:val="28"/>
          <w:szCs w:val="28"/>
        </w:rPr>
        <w:t>2</w:t>
      </w:r>
      <w:r>
        <w:rPr>
          <w:rFonts w:ascii="宋体" w:cs="仿宋"/>
          <w:sz w:val="28"/>
          <w:szCs w:val="28"/>
        </w:rPr>
        <w:t>.</w:t>
      </w:r>
      <w:r>
        <w:rPr>
          <w:rFonts w:hint="eastAsia" w:ascii="宋体" w:hAnsi="宋体" w:cs="仿宋"/>
          <w:sz w:val="28"/>
          <w:szCs w:val="28"/>
        </w:rPr>
        <w:t>项目说明：</w:t>
      </w:r>
    </w:p>
    <w:p>
      <w:pPr>
        <w:adjustRightInd w:val="0"/>
        <w:snapToGrid w:val="0"/>
        <w:spacing w:line="360" w:lineRule="auto"/>
        <w:ind w:firstLine="560" w:firstLineChars="200"/>
        <w:rPr>
          <w:rFonts w:ascii="宋体" w:hAnsi="宋体" w:cs="仿宋"/>
          <w:sz w:val="28"/>
          <w:szCs w:val="28"/>
        </w:rPr>
      </w:pPr>
      <w:r>
        <w:rPr>
          <w:rFonts w:hint="eastAsia" w:ascii="宋体" w:hAnsi="宋体" w:cs="仿宋"/>
          <w:sz w:val="28"/>
          <w:szCs w:val="28"/>
        </w:rPr>
        <w:t>（1）本项目拟选1-3家中标单位入围我校计算租赁服务商库，优先供师生按需选用，师生亦可根据自身项目需求从其它供应商处采购</w:t>
      </w:r>
      <w:r>
        <w:rPr>
          <w:rFonts w:hint="eastAsia"/>
          <w:sz w:val="28"/>
          <w:szCs w:val="28"/>
        </w:rPr>
        <w:t>超级计算租赁服务</w:t>
      </w:r>
      <w:r>
        <w:rPr>
          <w:rFonts w:hint="eastAsia" w:ascii="宋体" w:hAnsi="宋体" w:cs="仿宋"/>
          <w:sz w:val="28"/>
          <w:szCs w:val="28"/>
        </w:rPr>
        <w:t>；</w:t>
      </w:r>
    </w:p>
    <w:p>
      <w:pPr>
        <w:pStyle w:val="39"/>
        <w:adjustRightInd w:val="0"/>
        <w:snapToGrid w:val="0"/>
        <w:spacing w:before="0" w:beforeAutospacing="0" w:after="0" w:afterAutospacing="0" w:line="360" w:lineRule="auto"/>
        <w:ind w:firstLine="560" w:firstLineChars="200"/>
        <w:rPr>
          <w:rFonts w:cs="仿宋"/>
          <w:color w:val="auto"/>
          <w:kern w:val="2"/>
          <w:sz w:val="28"/>
          <w:szCs w:val="28"/>
        </w:rPr>
      </w:pPr>
      <w:r>
        <w:rPr>
          <w:rFonts w:hint="eastAsia" w:cs="仿宋"/>
          <w:color w:val="auto"/>
          <w:kern w:val="2"/>
          <w:sz w:val="28"/>
          <w:szCs w:val="28"/>
        </w:rPr>
        <w:t>（2）本项目适用师生超级计算租赁服务年度总预算不超过9</w:t>
      </w:r>
      <w:r>
        <w:rPr>
          <w:rFonts w:cs="仿宋"/>
          <w:color w:val="auto"/>
          <w:kern w:val="2"/>
          <w:sz w:val="28"/>
          <w:szCs w:val="28"/>
        </w:rPr>
        <w:t>9</w:t>
      </w:r>
      <w:r>
        <w:rPr>
          <w:rFonts w:hint="eastAsia" w:cs="仿宋"/>
          <w:color w:val="auto"/>
          <w:kern w:val="2"/>
          <w:sz w:val="28"/>
          <w:szCs w:val="28"/>
        </w:rPr>
        <w:t>万元的计算项目；</w:t>
      </w:r>
    </w:p>
    <w:p>
      <w:pPr>
        <w:adjustRightInd w:val="0"/>
        <w:snapToGrid w:val="0"/>
        <w:spacing w:line="360" w:lineRule="auto"/>
        <w:ind w:firstLine="560" w:firstLineChars="200"/>
        <w:rPr>
          <w:rFonts w:ascii="宋体" w:hAnsi="宋体" w:cs="仿宋"/>
          <w:sz w:val="28"/>
          <w:szCs w:val="28"/>
        </w:rPr>
      </w:pPr>
      <w:r>
        <w:rPr>
          <w:rFonts w:hint="eastAsia" w:ascii="宋体" w:hAnsi="宋体" w:cs="仿宋"/>
          <w:sz w:val="28"/>
          <w:szCs w:val="28"/>
        </w:rPr>
        <w:t>（3）本项目合同期为3年；</w:t>
      </w:r>
    </w:p>
    <w:p>
      <w:pPr>
        <w:adjustRightInd w:val="0"/>
        <w:snapToGrid w:val="0"/>
        <w:spacing w:line="360" w:lineRule="auto"/>
        <w:ind w:firstLine="560" w:firstLineChars="200"/>
        <w:rPr>
          <w:rFonts w:ascii="宋体" w:cs="仿宋"/>
          <w:sz w:val="28"/>
          <w:szCs w:val="28"/>
        </w:rPr>
      </w:pPr>
      <w:r>
        <w:rPr>
          <w:rFonts w:hint="eastAsia" w:ascii="宋体" w:hAnsi="宋体" w:cs="仿宋"/>
          <w:sz w:val="28"/>
          <w:szCs w:val="28"/>
        </w:rPr>
        <w:t>（4）</w:t>
      </w:r>
      <w:r>
        <w:rPr>
          <w:rFonts w:hint="eastAsia" w:ascii="宋体" w:hAnsi="宋体"/>
          <w:sz w:val="28"/>
          <w:szCs w:val="28"/>
        </w:rPr>
        <w:t>本次招标</w:t>
      </w:r>
      <w:r>
        <w:rPr>
          <w:rFonts w:hint="eastAsia" w:ascii="宋体" w:hAnsi="宋体" w:cs="仿宋"/>
          <w:sz w:val="28"/>
          <w:szCs w:val="28"/>
        </w:rPr>
        <w:t>项目必须由中标单位自行完成，严禁转包和擅自分包。否则我院有权单方面终止本合同的执行，并且中标人支付按合同价款</w:t>
      </w:r>
      <w:r>
        <w:rPr>
          <w:rFonts w:ascii="宋体" w:hAnsi="宋体" w:cs="仿宋"/>
          <w:sz w:val="28"/>
          <w:szCs w:val="28"/>
        </w:rPr>
        <w:t>20%</w:t>
      </w:r>
      <w:r>
        <w:rPr>
          <w:rFonts w:hint="eastAsia" w:ascii="宋体" w:hAnsi="宋体" w:cs="仿宋"/>
          <w:sz w:val="28"/>
          <w:szCs w:val="28"/>
        </w:rPr>
        <w:t>的违约金，由此所造成的一切后果和经济损失均由中标人自行负责和承担。</w:t>
      </w:r>
    </w:p>
    <w:p>
      <w:pPr>
        <w:spacing w:line="360" w:lineRule="auto"/>
        <w:ind w:firstLine="570"/>
        <w:jc w:val="left"/>
        <w:rPr>
          <w:rFonts w:ascii="宋体"/>
          <w:sz w:val="28"/>
          <w:szCs w:val="28"/>
        </w:rPr>
      </w:pPr>
      <w:r>
        <w:rPr>
          <w:rFonts w:ascii="宋体" w:hAnsi="宋体"/>
          <w:sz w:val="28"/>
          <w:szCs w:val="28"/>
        </w:rPr>
        <w:t>3.</w:t>
      </w:r>
      <w:bookmarkStart w:id="0"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HYPERLINK "https://bulletin.nuist.edu.cn/779/list.htm"</w:instrText>
      </w:r>
      <w:r>
        <w:fldChar w:fldCharType="separate"/>
      </w:r>
      <w:r>
        <w:rPr>
          <w:rStyle w:val="18"/>
          <w:b/>
          <w:color w:val="auto"/>
          <w:sz w:val="24"/>
        </w:rPr>
        <w:t>https://bulletin.nuist.edu.cn/779/lis</w:t>
      </w:r>
      <w:r>
        <w:rPr>
          <w:rStyle w:val="18"/>
          <w:color w:val="auto"/>
          <w:sz w:val="24"/>
        </w:rPr>
        <w:t>t.htm</w:t>
      </w:r>
      <w:r>
        <w:fldChar w:fldCharType="end"/>
      </w:r>
      <w:r>
        <w:rPr>
          <w:rFonts w:hint="eastAsia" w:ascii="宋体" w:hAnsi="宋体"/>
          <w:sz w:val="28"/>
          <w:szCs w:val="28"/>
        </w:rPr>
        <w:t>和</w:t>
      </w:r>
      <w:r>
        <w:fldChar w:fldCharType="begin"/>
      </w:r>
      <w:r>
        <w:instrText xml:space="preserve">HYPERLINK "http://zbc.nuist.edu.cn"</w:instrText>
      </w:r>
      <w:r>
        <w:fldChar w:fldCharType="separate"/>
      </w:r>
      <w:r>
        <w:rPr>
          <w:rFonts w:ascii="宋体" w:hAnsi="宋体"/>
          <w:sz w:val="24"/>
          <w:szCs w:val="28"/>
        </w:rPr>
        <w:t>zbc.nuist.edu.cn</w:t>
      </w:r>
      <w: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0"/>
    <w:p>
      <w:pPr>
        <w:spacing w:line="360" w:lineRule="auto"/>
        <w:ind w:firstLine="570"/>
        <w:jc w:val="left"/>
        <w:rPr>
          <w:rFonts w:ascii="宋体" w:cs="宋体"/>
          <w:sz w:val="28"/>
          <w:szCs w:val="28"/>
        </w:rPr>
      </w:pPr>
      <w:r>
        <w:rPr>
          <w:rFonts w:ascii="宋体" w:hAnsi="宋体"/>
          <w:sz w:val="28"/>
          <w:szCs w:val="28"/>
        </w:rPr>
        <w:t>4.</w:t>
      </w:r>
      <w:bookmarkStart w:id="1" w:name="_Hlk9866054"/>
      <w:r>
        <w:rPr>
          <w:rFonts w:hint="eastAsia" w:ascii="宋体" w:hAnsi="宋体"/>
          <w:sz w:val="28"/>
          <w:szCs w:val="28"/>
        </w:rPr>
        <w:t>招标文件由我校采购人、项目归口管理部门和财务处联合起草；经学校相关职能部门会审通过形成正式招标文件。同时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份纸质的正式招标文件，由财务处负责人和招标科工作人员同时签字并加盖财务处骑缝章后，分别交财务处、项目归口管理部门（或采购人）、审计处各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1"/>
    <w:p>
      <w:pPr>
        <w:spacing w:line="360" w:lineRule="auto"/>
        <w:ind w:firstLine="570"/>
        <w:jc w:val="left"/>
        <w:rPr>
          <w:rFonts w:ascii="宋体" w:hAnsi="宋体"/>
          <w:sz w:val="28"/>
          <w:szCs w:val="28"/>
        </w:rPr>
      </w:pPr>
      <w:r>
        <w:rPr>
          <w:rFonts w:ascii="宋体" w:hAnsi="宋体"/>
          <w:sz w:val="28"/>
          <w:szCs w:val="28"/>
        </w:rPr>
        <w:t>5.</w:t>
      </w:r>
      <w:r>
        <w:rPr>
          <w:rFonts w:hint="eastAsia" w:ascii="宋体" w:hAnsi="宋体"/>
          <w:sz w:val="28"/>
          <w:szCs w:val="28"/>
        </w:rPr>
        <w:t>正式的答疑回复文件也按上述方式处理留存。</w:t>
      </w:r>
    </w:p>
    <w:p>
      <w:pPr>
        <w:pStyle w:val="39"/>
        <w:adjustRightInd w:val="0"/>
        <w:snapToGrid w:val="0"/>
        <w:spacing w:before="0" w:beforeAutospacing="0" w:after="0" w:afterAutospacing="0" w:line="360" w:lineRule="auto"/>
        <w:ind w:firstLine="560" w:firstLineChars="200"/>
        <w:rPr>
          <w:rFonts w:cs="Times New Roman"/>
          <w:color w:val="auto"/>
          <w:kern w:val="2"/>
          <w:sz w:val="28"/>
          <w:szCs w:val="28"/>
        </w:rPr>
      </w:pPr>
      <w:r>
        <w:rPr>
          <w:rFonts w:cs="Times New Roman"/>
          <w:color w:val="auto"/>
          <w:kern w:val="2"/>
          <w:sz w:val="28"/>
          <w:szCs w:val="28"/>
        </w:rPr>
        <w:t>6.</w:t>
      </w:r>
      <w:r>
        <w:rPr>
          <w:rFonts w:hint="eastAsia" w:cs="Times New Roman"/>
          <w:color w:val="auto"/>
          <w:kern w:val="2"/>
          <w:sz w:val="28"/>
          <w:szCs w:val="28"/>
        </w:rPr>
        <w:t>投标有效期：自开标之日起9</w:t>
      </w:r>
      <w:r>
        <w:rPr>
          <w:rFonts w:cs="Times New Roman"/>
          <w:color w:val="auto"/>
          <w:kern w:val="2"/>
          <w:sz w:val="28"/>
          <w:szCs w:val="28"/>
        </w:rPr>
        <w:t>0</w:t>
      </w:r>
      <w:r>
        <w:rPr>
          <w:rFonts w:hint="eastAsia" w:cs="Times New Roman"/>
          <w:color w:val="auto"/>
          <w:kern w:val="2"/>
          <w:sz w:val="28"/>
          <w:szCs w:val="28"/>
        </w:rPr>
        <w:t>天内投标有效。</w:t>
      </w:r>
    </w:p>
    <w:p>
      <w:pPr>
        <w:pStyle w:val="39"/>
        <w:adjustRightInd w:val="0"/>
        <w:snapToGrid w:val="0"/>
        <w:spacing w:before="0" w:beforeAutospacing="0" w:after="0" w:afterAutospacing="0" w:line="360" w:lineRule="auto"/>
        <w:ind w:firstLine="560" w:firstLineChars="200"/>
        <w:rPr>
          <w:rFonts w:cs="Times New Roman"/>
          <w:color w:val="auto"/>
          <w:sz w:val="28"/>
          <w:szCs w:val="28"/>
        </w:rPr>
      </w:pPr>
      <w:r>
        <w:rPr>
          <w:rFonts w:hint="eastAsia" w:cs="Times New Roman"/>
          <w:color w:val="auto"/>
          <w:kern w:val="2"/>
          <w:sz w:val="28"/>
          <w:szCs w:val="28"/>
        </w:rPr>
        <w:t>7.</w:t>
      </w:r>
      <w:r>
        <w:rPr>
          <w:rFonts w:hint="eastAsia" w:cs="Times New Roman"/>
          <w:color w:val="auto"/>
          <w:sz w:val="28"/>
          <w:szCs w:val="28"/>
        </w:rPr>
        <w:t>招标过程接受学校纪委办监督检查。</w:t>
      </w:r>
    </w:p>
    <w:p>
      <w:pPr>
        <w:adjustRightInd w:val="0"/>
        <w:snapToGrid w:val="0"/>
        <w:spacing w:beforeLines="100" w:afterLines="100" w:line="360" w:lineRule="auto"/>
        <w:jc w:val="center"/>
        <w:rPr>
          <w:rFonts w:ascii="宋体" w:cs="仿宋"/>
          <w:b/>
          <w:bCs/>
          <w:sz w:val="28"/>
          <w:szCs w:val="28"/>
        </w:rPr>
      </w:pPr>
      <w:r>
        <w:rPr>
          <w:rFonts w:hint="eastAsia" w:ascii="宋体" w:hAnsi="宋体" w:cs="仿宋"/>
          <w:b/>
          <w:bCs/>
          <w:sz w:val="28"/>
          <w:szCs w:val="28"/>
        </w:rPr>
        <w:t>二、</w:t>
      </w:r>
      <w:r>
        <w:rPr>
          <w:rFonts w:ascii="宋体" w:hAnsi="宋体" w:cs="仿宋"/>
          <w:b/>
          <w:bCs/>
          <w:sz w:val="28"/>
          <w:szCs w:val="28"/>
        </w:rPr>
        <w:t xml:space="preserve"> </w:t>
      </w:r>
      <w:r>
        <w:rPr>
          <w:rFonts w:hint="eastAsia" w:ascii="宋体" w:hAnsi="宋体" w:cs="仿宋"/>
          <w:b/>
          <w:bCs/>
          <w:sz w:val="28"/>
          <w:szCs w:val="28"/>
        </w:rPr>
        <w:t>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kern w:val="0"/>
          <w:sz w:val="28"/>
          <w:szCs w:val="28"/>
        </w:rPr>
      </w:pPr>
      <w:r>
        <w:rPr>
          <w:rFonts w:hint="eastAsia" w:ascii="宋体" w:hAnsi="宋体" w:cs="Arial"/>
          <w:sz w:val="28"/>
          <w:szCs w:val="28"/>
        </w:rPr>
        <w:t>（一）参加政府采购的供应商应当具备政府采购法</w:t>
      </w:r>
      <w:r>
        <w:rPr>
          <w:rFonts w:ascii="宋体" w:hAnsi="宋体" w:cs="Arial"/>
          <w:sz w:val="28"/>
          <w:szCs w:val="28"/>
        </w:rPr>
        <w:t>第二十二条</w:t>
      </w:r>
      <w:r>
        <w:rPr>
          <w:rFonts w:hint="eastAsia" w:ascii="宋体" w:hAnsi="宋体" w:cs="Arial"/>
          <w:sz w:val="28"/>
          <w:szCs w:val="28"/>
        </w:rPr>
        <w:t>第一款</w:t>
      </w:r>
      <w:r>
        <w:rPr>
          <w:rFonts w:ascii="宋体" w:hAnsi="宋体" w:cs="Arial"/>
          <w:sz w:val="28"/>
          <w:szCs w:val="28"/>
        </w:rPr>
        <w:t>规定</w:t>
      </w:r>
      <w:r>
        <w:rPr>
          <w:rFonts w:hint="eastAsia" w:ascii="宋体" w:hAnsi="宋体" w:cs="Arial"/>
          <w:sz w:val="28"/>
          <w:szCs w:val="28"/>
        </w:rPr>
        <w:t>的条件，并依照政府采购法实施条例第十七条规定提供下列材料：</w:t>
      </w:r>
    </w:p>
    <w:p>
      <w:pPr>
        <w:adjustRightInd w:val="0"/>
        <w:snapToGrid w:val="0"/>
        <w:spacing w:line="360" w:lineRule="auto"/>
        <w:ind w:firstLine="560" w:firstLineChars="200"/>
        <w:rPr>
          <w:rFonts w:ascii="宋体" w:hAnsi="宋体"/>
          <w:sz w:val="28"/>
          <w:szCs w:val="28"/>
        </w:rPr>
      </w:pPr>
      <w:r>
        <w:rPr>
          <w:rFonts w:hint="eastAsia" w:ascii="宋体" w:hAnsi="宋体" w:cs="Arial"/>
          <w:sz w:val="28"/>
          <w:szCs w:val="28"/>
        </w:rPr>
        <w:t>1.具有独立承担民事责任的能力</w:t>
      </w:r>
      <w:r>
        <w:rPr>
          <w:rFonts w:hint="eastAsia" w:ascii="宋体" w:hAnsi="宋体"/>
          <w:sz w:val="28"/>
          <w:szCs w:val="28"/>
        </w:rPr>
        <w:t>：须为独立法人企业，需提供企业法人营业执照；</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2.具有良好的商业信誉和健全的财务会计制度</w:t>
      </w:r>
      <w:r>
        <w:rPr>
          <w:rFonts w:hint="eastAsia" w:ascii="宋体" w:hAnsi="宋体"/>
          <w:sz w:val="28"/>
          <w:szCs w:val="28"/>
        </w:rPr>
        <w:t>：需提供参加本次投标活动前近六个月内（2019年11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4.有依法缴纳税收和社会保障资金的良好记录</w:t>
      </w:r>
      <w:r>
        <w:rPr>
          <w:rFonts w:hint="eastAsia" w:ascii="宋体" w:hAnsi="宋体"/>
          <w:sz w:val="28"/>
          <w:szCs w:val="28"/>
        </w:rPr>
        <w:t>：提供参加本次投标活动前近六个月内（2019年11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5.参加政府采购活动前三年内，在经营活动中没有重大违法记录</w:t>
      </w:r>
      <w:r>
        <w:rPr>
          <w:rFonts w:hint="eastAsia" w:ascii="宋体" w:hAnsi="宋体"/>
          <w:sz w:val="28"/>
          <w:szCs w:val="28"/>
        </w:rPr>
        <w:t>：需提供参加本次投标活动前3年内在经营活动中没有重大违法记录的书面声明；</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6.法律、行政法规规定的其他条件：无。</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（二）投标人不得存在下列情形之一</w:t>
      </w:r>
      <w:r>
        <w:rPr>
          <w:rFonts w:hint="eastAsia" w:ascii="宋体" w:hAnsi="宋体"/>
          <w:b/>
          <w:sz w:val="28"/>
          <w:szCs w:val="28"/>
        </w:rPr>
        <w:t>（提供加盖投标人公章的承诺书）</w:t>
      </w:r>
      <w:r>
        <w:rPr>
          <w:rFonts w:hint="eastAsia" w:ascii="宋体" w:hAnsi="宋体" w:cs="宋体"/>
          <w:kern w:val="0"/>
          <w:sz w:val="28"/>
          <w:szCs w:val="28"/>
        </w:rPr>
        <w:t>：</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（1）为招标人不具有独立法人资格的附属机构（单位）；</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（2）与招标人存在利害关系可能影响招标公正性的；</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（3）单位负责人为同一人或者存在控股、管理关系的不同单位；</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（三）</w:t>
      </w:r>
      <w:r>
        <w:rPr>
          <w:rFonts w:hint="eastAsia" w:ascii="宋体" w:hAnsi="宋体" w:cs="宋体"/>
          <w:bCs/>
          <w:kern w:val="0"/>
          <w:sz w:val="28"/>
          <w:szCs w:val="28"/>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sz w:val="28"/>
          <w:szCs w:val="28"/>
        </w:rPr>
        <w:t>1.供应商被“信用中国”网站（www.creditchina.gov.cn）、“中国政府采购网"(www.ccgp.gov.cn)列入失信被执行人、重大税收违法案件当事人名单、政府采购严重违法失信行为记录名单</w:t>
      </w:r>
      <w:r>
        <w:rPr>
          <w:rFonts w:hint="eastAsia" w:ascii="宋体" w:hAnsi="宋体" w:cs="宋体"/>
          <w:b/>
          <w:sz w:val="28"/>
          <w:szCs w:val="28"/>
        </w:rPr>
        <w:t>（提供网站截图并加盖单位公章）</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w:t>
      </w:r>
      <w:r>
        <w:rPr>
          <w:rFonts w:ascii="宋体" w:hAnsi="宋体" w:cs="宋体"/>
          <w:sz w:val="28"/>
          <w:szCs w:val="28"/>
        </w:rPr>
        <w:t>2</w:t>
      </w: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hint="eastAsia" w:ascii="宋体" w:hAnsi="宋体" w:cs="宋体"/>
          <w:sz w:val="28"/>
          <w:szCs w:val="28"/>
        </w:rPr>
      </w:pPr>
      <w:r>
        <w:rPr>
          <w:rFonts w:hint="eastAsia" w:ascii="宋体" w:hAnsi="宋体" w:cs="宋体"/>
          <w:sz w:val="28"/>
          <w:szCs w:val="28"/>
        </w:rPr>
        <w:t>五、本项目为交钥匙工程，报价为货物（含服务）到招标文件指定的地点安装完毕并验收合格后的最终报价。投标人的报价应将服务费、代理费、运输费、上下力费、合理利润、国家相关税费（含关税）及其他所有费用包含在内，一旦确定中标，不得另行提出其他费用要求。</w:t>
      </w:r>
    </w:p>
    <w:p>
      <w:pPr>
        <w:spacing w:line="360" w:lineRule="auto"/>
        <w:ind w:firstLine="548" w:firstLineChars="196"/>
        <w:rPr>
          <w:rFonts w:ascii="宋体" w:cs="宋体"/>
          <w:sz w:val="28"/>
          <w:szCs w:val="28"/>
        </w:rPr>
      </w:pPr>
      <w:r>
        <w:rPr>
          <w:rFonts w:hint="eastAsia" w:ascii="宋体" w:hAnsi="宋体" w:cs="宋体"/>
          <w:sz w:val="28"/>
          <w:szCs w:val="28"/>
        </w:rPr>
        <w:t>六、本项目只接受人民币报价。</w:t>
      </w:r>
    </w:p>
    <w:p>
      <w:pPr>
        <w:spacing w:beforeLines="100" w:afterLines="100" w:line="360" w:lineRule="auto"/>
        <w:ind w:firstLine="548" w:firstLineChars="196"/>
        <w:jc w:val="center"/>
        <w:rPr>
          <w:rFonts w:ascii="黑体" w:hAnsi="黑体" w:eastAsia="黑体" w:cs="宋体"/>
          <w:sz w:val="28"/>
          <w:szCs w:val="28"/>
        </w:rPr>
      </w:pPr>
      <w:bookmarkStart w:id="2" w:name="_Hlk9866140"/>
      <w:r>
        <w:rPr>
          <w:rFonts w:hint="eastAsia" w:ascii="黑体" w:hAnsi="黑体" w:eastAsia="黑体" w:cs="宋体"/>
          <w:sz w:val="28"/>
          <w:szCs w:val="28"/>
        </w:rPr>
        <w:t>三、对投标文件的要求</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投标人根据我校招标公告向我校财务处招标科提出报名后，从我处取得正式招标文件（纸质或电子版），并按招标文件的要求认真编制投标文件。</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投标文件一正四副，正、副本均须列出目录，内容不得有插行、涂抹、粘贴等，并打印装订成册。</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w:t>
      </w:r>
      <w:r>
        <w:rPr>
          <w:rFonts w:hint="eastAsia" w:ascii="宋体" w:hAnsi="宋体" w:cs="宋体"/>
          <w:b/>
          <w:bCs/>
          <w:sz w:val="28"/>
          <w:szCs w:val="28"/>
        </w:rPr>
        <w:t>所有材料必须加盖投标单位公章</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）投标价格明细表（附件</w:t>
      </w:r>
      <w:r>
        <w:rPr>
          <w:rFonts w:ascii="宋体" w:hAnsi="宋体" w:cs="宋体"/>
          <w:sz w:val="28"/>
          <w:szCs w:val="28"/>
        </w:rPr>
        <w:t>3</w:t>
      </w:r>
      <w:r>
        <w:rPr>
          <w:rFonts w:hint="eastAsia" w:ascii="宋体" w:hAnsi="宋体" w:cs="宋体"/>
          <w:sz w:val="28"/>
          <w:szCs w:val="28"/>
        </w:rPr>
        <w:t>）；</w:t>
      </w:r>
      <w:bookmarkStart w:id="9" w:name="_GoBack"/>
      <w:bookmarkEnd w:id="9"/>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）产品服务方案；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）产品销售授权书或代理证书（如系代理公司的）；</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lang w:val="en-US" w:eastAsia="zh-CN"/>
        </w:rPr>
        <w:t xml:space="preserve"> </w:t>
      </w:r>
      <w:r>
        <w:rPr>
          <w:rFonts w:hint="eastAsia" w:ascii="宋体" w:hAnsi="宋体" w:cs="宋体"/>
          <w:sz w:val="28"/>
          <w:szCs w:val="28"/>
        </w:rPr>
        <w:t>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投标人必须投本标书所有标段的服务，不允许分标段投标；标书中服务标段必须满足所有参数要求，其余标段标</w:t>
      </w:r>
      <w:r>
        <w:rPr>
          <w:rFonts w:hint="eastAsia" w:ascii="宋体" w:hAnsi="宋体" w:cs="Arial"/>
          <w:kern w:val="0"/>
          <w:sz w:val="18"/>
          <w:szCs w:val="18"/>
        </w:rPr>
        <w:t>★</w:t>
      </w:r>
      <w:r>
        <w:rPr>
          <w:rFonts w:hint="eastAsia"/>
          <w:sz w:val="28"/>
          <w:szCs w:val="28"/>
        </w:rPr>
        <w:t>的参数必须满足，否则视为无效标书；中标后在签订合同前必须提供原厂质保书，否则视为无效标书。</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2"/>
    <w:p>
      <w:pPr>
        <w:spacing w:beforeLines="100" w:afterLines="100" w:line="360" w:lineRule="auto"/>
        <w:ind w:firstLine="548" w:firstLineChars="196"/>
        <w:jc w:val="center"/>
        <w:rPr>
          <w:rFonts w:ascii="黑体" w:hAnsi="黑体" w:eastAsia="黑体" w:cs="宋体"/>
          <w:sz w:val="28"/>
          <w:szCs w:val="28"/>
        </w:rPr>
      </w:pPr>
      <w:bookmarkStart w:id="3" w:name="_Hlk9866206"/>
      <w:r>
        <w:rPr>
          <w:rFonts w:hint="eastAsia" w:ascii="黑体" w:hAnsi="黑体" w:eastAsia="黑体" w:cs="宋体"/>
          <w:sz w:val="28"/>
          <w:szCs w:val="28"/>
        </w:rPr>
        <w:t>四、开标程序</w:t>
      </w:r>
    </w:p>
    <w:bookmarkEnd w:id="3"/>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招标文件给出评标办法（见附件4）</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财务处工作人员在投标人的见证下唱标。投标人或投标人代表在唱标结果上签名确认。如投标人均未参加唱标，则由财务处工作人员和评标专家组组长、采购人代表共同签名确认。重要项目另请纪委办代表签字。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w:t>
      </w:r>
      <w:r>
        <w:rPr>
          <w:rFonts w:ascii="宋体" w:hAnsi="宋体" w:cs="宋体"/>
          <w:sz w:val="28"/>
          <w:szCs w:val="28"/>
        </w:rPr>
        <w:t xml:space="preserve">  </w:t>
      </w:r>
      <w:r>
        <w:rPr>
          <w:rFonts w:hint="eastAsia" w:ascii="宋体" w:hAnsi="宋体" w:cs="宋体"/>
          <w:sz w:val="28"/>
          <w:szCs w:val="28"/>
        </w:rPr>
        <w:t>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财务处根据评标专家组综合排序，在学校网站和财务处招标科网站对拟中标单位进行公示。公示结束，无异议，确定中标单位。</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w:t>
      </w:r>
      <w:r>
        <w:rPr>
          <w:rFonts w:hint="eastAsia" w:ascii="宋体" w:hAnsi="宋体" w:cs="宋体"/>
          <w:sz w:val="28"/>
          <w:szCs w:val="28"/>
        </w:rPr>
        <w:t>个及以上非核心指标未能满足的；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cs="宋体"/>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rPr>
        <w:t>“</w:t>
      </w:r>
      <w:r>
        <w:rPr>
          <w:rFonts w:ascii="宋体" w:hAnsi="宋体" w:cs="宋体"/>
          <w:b/>
          <w:sz w:val="28"/>
          <w:szCs w:val="28"/>
        </w:rPr>
        <w:t>SBC20</w:t>
      </w:r>
      <w:r>
        <w:rPr>
          <w:rFonts w:hint="eastAsia" w:ascii="宋体" w:hAnsi="宋体" w:cs="宋体"/>
          <w:b/>
          <w:sz w:val="28"/>
          <w:szCs w:val="28"/>
        </w:rPr>
        <w:t>20016</w:t>
      </w:r>
      <w:r>
        <w:rPr>
          <w:rFonts w:ascii="宋体" w:hAnsi="宋体" w:cs="宋体"/>
          <w:b/>
          <w:sz w:val="28"/>
          <w:szCs w:val="28"/>
        </w:rPr>
        <w:t xml:space="preserve"> </w:t>
      </w:r>
      <w:r>
        <w:rPr>
          <w:rFonts w:hint="eastAsia" w:ascii="宋体" w:hAnsi="宋体" w:cs="宋体"/>
          <w:b/>
          <w:sz w:val="28"/>
          <w:szCs w:val="28"/>
        </w:rPr>
        <w:t>资料费”</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本着“质量第一、价格合理、服务优异、保障有力”的原则，由采购人、项目归口管理部门和财务处从报价得分、技术的分、服务、业绩、信誉得分五个方面提出评标办法（见附件4）。</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个工作日内，前来我处领取的《中标通知书》（一式二份）。</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pPr>
        <w:spacing w:line="360" w:lineRule="auto"/>
        <w:ind w:firstLine="548" w:firstLineChars="196"/>
        <w:rPr>
          <w:rFonts w:ascii="宋体" w:cs="宋体"/>
          <w:sz w:val="28"/>
          <w:szCs w:val="28"/>
        </w:rPr>
      </w:pPr>
      <w:r>
        <w:rPr>
          <w:rFonts w:ascii="宋体" w:hAnsi="宋体" w:cs="宋体"/>
          <w:sz w:val="28"/>
          <w:szCs w:val="28"/>
        </w:rPr>
        <w:t xml:space="preserve"> 2.</w:t>
      </w:r>
      <w:r>
        <w:rPr>
          <w:rFonts w:hint="eastAsia" w:ascii="宋体" w:hAnsi="宋体" w:cs="宋体"/>
          <w:sz w:val="28"/>
          <w:szCs w:val="28"/>
        </w:rPr>
        <w:t>服务地点：南京信息工程大学校内。</w:t>
      </w:r>
    </w:p>
    <w:p>
      <w:pPr>
        <w:spacing w:line="360" w:lineRule="auto"/>
        <w:ind w:firstLine="548" w:firstLineChars="196"/>
        <w:rPr>
          <w:rFonts w:ascii="宋体" w:hAnsi="宋体" w:cs="宋体"/>
          <w:sz w:val="28"/>
          <w:szCs w:val="28"/>
        </w:rPr>
      </w:pPr>
      <w:r>
        <w:rPr>
          <w:rFonts w:ascii="宋体" w:hAnsi="宋体" w:cs="宋体"/>
          <w:sz w:val="28"/>
          <w:szCs w:val="28"/>
        </w:rPr>
        <w:t xml:space="preserve"> 3.</w:t>
      </w:r>
      <w:r>
        <w:rPr>
          <w:rFonts w:hint="eastAsia" w:ascii="宋体" w:hAnsi="宋体" w:cs="宋体"/>
          <w:sz w:val="28"/>
          <w:szCs w:val="28"/>
        </w:rPr>
        <w:t>付款方式：</w:t>
      </w:r>
    </w:p>
    <w:p>
      <w:pPr>
        <w:spacing w:line="360" w:lineRule="auto"/>
        <w:ind w:firstLine="548" w:firstLineChars="196"/>
        <w:rPr>
          <w:rFonts w:ascii="宋体" w:hAnsi="宋体" w:cs="宋体"/>
          <w:sz w:val="28"/>
          <w:szCs w:val="28"/>
        </w:rPr>
      </w:pPr>
      <w:r>
        <w:rPr>
          <w:rFonts w:hint="eastAsia" w:ascii="宋体" w:hAnsi="宋体" w:cs="宋体"/>
          <w:sz w:val="28"/>
          <w:szCs w:val="28"/>
        </w:rPr>
        <w:t>付款方式：由用户单位的用户根据自己计算需求选择任一中标单位，依据中标价格和服务先签订机时付费协议，并约定付款方式。</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cs="宋体"/>
          <w:sz w:val="28"/>
          <w:szCs w:val="28"/>
          <w:highlight w:val="none"/>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）我处不接收现金或支付宝等方式交费。各投标人务必通过单位银行基本账户提前将资料费汇至我校以下账号：户名：南京信息工程大学；账号：</w:t>
      </w:r>
      <w:r>
        <w:rPr>
          <w:rFonts w:ascii="宋体" w:hAnsi="宋体" w:cs="宋体"/>
          <w:sz w:val="28"/>
          <w:szCs w:val="28"/>
        </w:rPr>
        <w:t>10115401040000228</w:t>
      </w:r>
      <w:r>
        <w:rPr>
          <w:rFonts w:hint="eastAsia" w:ascii="宋体" w:hAnsi="宋体" w:cs="宋体"/>
          <w:sz w:val="28"/>
          <w:szCs w:val="28"/>
        </w:rPr>
        <w:t>；开户银行：中国农业银行南京盘城支行。请各投标人务必在转账留言栏备注填写</w:t>
      </w:r>
      <w:r>
        <w:rPr>
          <w:rFonts w:hint="eastAsia" w:ascii="宋体" w:hAnsi="宋体" w:cs="宋体"/>
          <w:b/>
          <w:sz w:val="28"/>
          <w:szCs w:val="28"/>
        </w:rPr>
        <w:t>“</w:t>
      </w:r>
      <w:r>
        <w:rPr>
          <w:rFonts w:ascii="宋体" w:hAnsi="宋体" w:cs="宋体"/>
          <w:b/>
          <w:sz w:val="28"/>
          <w:szCs w:val="28"/>
        </w:rPr>
        <w:t>SBC20</w:t>
      </w:r>
      <w:r>
        <w:rPr>
          <w:rFonts w:hint="eastAsia" w:ascii="宋体" w:hAnsi="宋体" w:cs="宋体"/>
          <w:b/>
          <w:sz w:val="28"/>
          <w:szCs w:val="28"/>
        </w:rPr>
        <w:t>20016资料费”</w:t>
      </w:r>
      <w:r>
        <w:rPr>
          <w:rFonts w:hint="eastAsia" w:ascii="宋体" w:hAnsi="宋体" w:cs="宋体"/>
          <w:sz w:val="28"/>
          <w:szCs w:val="28"/>
        </w:rPr>
        <w:t>字样，</w:t>
      </w:r>
      <w:r>
        <w:rPr>
          <w:rFonts w:hint="eastAsia" w:ascii="宋体" w:hAnsi="宋体" w:cs="宋体"/>
          <w:sz w:val="28"/>
          <w:szCs w:val="28"/>
          <w:highlight w:val="none"/>
        </w:rPr>
        <w:t>并尽量将投标单位的纳税识别号一并备注在转账留言栏中</w:t>
      </w:r>
      <w:r>
        <w:rPr>
          <w:rFonts w:hint="eastAsia" w:ascii="宋体" w:hAnsi="宋体" w:cs="宋体"/>
          <w:sz w:val="28"/>
          <w:szCs w:val="28"/>
          <w:highlight w:val="none"/>
          <w:lang w:eastAsia="zh-CN"/>
        </w:rPr>
        <w:t>，</w:t>
      </w:r>
      <w:r>
        <w:rPr>
          <w:rFonts w:hint="eastAsia" w:ascii="宋体" w:hAnsi="宋体" w:cs="宋体"/>
          <w:sz w:val="28"/>
          <w:szCs w:val="28"/>
          <w:highlight w:val="none"/>
        </w:rPr>
        <w:t>以便</w:t>
      </w:r>
      <w:r>
        <w:rPr>
          <w:rFonts w:hint="eastAsia" w:ascii="宋体" w:hAnsi="宋体" w:cs="宋体"/>
          <w:sz w:val="28"/>
          <w:szCs w:val="28"/>
          <w:highlight w:val="none"/>
          <w:lang w:val="en-US" w:eastAsia="zh-CN"/>
        </w:rPr>
        <w:t>开</w:t>
      </w:r>
      <w:r>
        <w:rPr>
          <w:rFonts w:hint="eastAsia" w:ascii="宋体" w:hAnsi="宋体" w:cs="宋体"/>
          <w:sz w:val="28"/>
          <w:szCs w:val="28"/>
          <w:highlight w:val="none"/>
        </w:rPr>
        <w:t>票和对账</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请各单位在报名时将</w:t>
      </w:r>
      <w:r>
        <w:rPr>
          <w:rFonts w:hint="eastAsia" w:ascii="宋体" w:hAnsi="宋体" w:cs="宋体"/>
          <w:sz w:val="28"/>
          <w:szCs w:val="28"/>
          <w:highlight w:val="none"/>
        </w:rPr>
        <w:t>转账回单复印件务必放入《投标文件》中（无此证明，一律作为无效标处理）。</w:t>
      </w:r>
    </w:p>
    <w:p>
      <w:pPr>
        <w:spacing w:line="360" w:lineRule="auto"/>
        <w:ind w:firstLine="551" w:firstLineChars="196"/>
        <w:rPr>
          <w:rFonts w:ascii="宋体" w:cs="宋体"/>
          <w:sz w:val="28"/>
          <w:szCs w:val="28"/>
        </w:rPr>
      </w:pPr>
      <w:r>
        <w:rPr>
          <w:rFonts w:hint="eastAsia" w:ascii="宋体" w:hAnsi="宋体" w:cs="宋体"/>
          <w:b/>
          <w:bCs/>
          <w:sz w:val="28"/>
          <w:szCs w:val="28"/>
          <w:highlight w:val="none"/>
        </w:rPr>
        <w:t>（</w:t>
      </w:r>
      <w:r>
        <w:rPr>
          <w:rFonts w:ascii="宋体" w:hAnsi="宋体" w:cs="宋体"/>
          <w:b/>
          <w:bCs/>
          <w:sz w:val="28"/>
          <w:szCs w:val="28"/>
          <w:highlight w:val="none"/>
        </w:rPr>
        <w:t>2</w:t>
      </w:r>
      <w:r>
        <w:rPr>
          <w:rFonts w:hint="eastAsia" w:ascii="宋体" w:hAnsi="宋体" w:cs="宋体"/>
          <w:b/>
          <w:bCs/>
          <w:sz w:val="28"/>
          <w:szCs w:val="28"/>
          <w:highlight w:val="none"/>
        </w:rPr>
        <w:t>）</w:t>
      </w:r>
      <w:r>
        <w:rPr>
          <w:rFonts w:hint="eastAsia" w:ascii="宋体" w:hAnsi="宋体" w:cs="宋体"/>
          <w:b/>
          <w:bCs/>
          <w:sz w:val="28"/>
          <w:szCs w:val="28"/>
          <w:highlight w:val="none"/>
          <w:lang w:val="en-US" w:eastAsia="zh-CN"/>
        </w:rPr>
        <w:t>我校提供电</w:t>
      </w:r>
      <w:r>
        <w:rPr>
          <w:rFonts w:hint="eastAsia" w:ascii="宋体" w:hAnsi="宋体" w:cs="宋体"/>
          <w:b/>
          <w:bCs/>
          <w:sz w:val="28"/>
          <w:szCs w:val="28"/>
          <w:highlight w:val="none"/>
          <w:lang w:val="en-US" w:eastAsia="zh-CN"/>
        </w:rPr>
        <w:t>子普通发票，招标科定期到财务处财务科对账（时间约半个月）。请投标单位在邮件报名时提供单位纳税人识别号，并确保联系人手机号及邮箱状态正常，以便接收电子发票信息。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履约保证金（或投标保证金）：（人民币大写）：</w:t>
      </w:r>
      <w:r>
        <w:rPr>
          <w:rFonts w:hint="eastAsia" w:ascii="宋体" w:hAnsi="宋体" w:cs="宋体"/>
          <w:sz w:val="28"/>
          <w:szCs w:val="28"/>
          <w:u w:val="single"/>
        </w:rPr>
        <w:t>本项目不收履约保证金。</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spacing w:beforeLines="100" w:afterLines="100" w:line="360" w:lineRule="auto"/>
        <w:jc w:val="center"/>
        <w:rPr>
          <w:rFonts w:ascii="黑体" w:hAnsi="黑体" w:eastAsia="黑体"/>
          <w:sz w:val="28"/>
          <w:szCs w:val="28"/>
        </w:rPr>
      </w:pPr>
      <w:bookmarkStart w:id="4"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答疑时间</w:t>
      </w:r>
    </w:p>
    <w:p>
      <w:pPr>
        <w:spacing w:line="360" w:lineRule="auto"/>
        <w:rPr>
          <w:rFonts w:ascii="宋体"/>
          <w:sz w:val="28"/>
          <w:szCs w:val="28"/>
        </w:rPr>
      </w:pPr>
      <w:r>
        <w:rPr>
          <w:rFonts w:ascii="宋体" w:hAnsi="宋体"/>
          <w:sz w:val="28"/>
          <w:szCs w:val="28"/>
        </w:rPr>
        <w:t xml:space="preserve">   </w:t>
      </w: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sz w:val="28"/>
          <w:szCs w:val="28"/>
          <w:u w:val="single"/>
        </w:rPr>
        <w:t>20</w:t>
      </w:r>
      <w:r>
        <w:rPr>
          <w:rFonts w:hint="eastAsia" w:ascii="宋体" w:hAnsi="宋体"/>
          <w:sz w:val="28"/>
          <w:szCs w:val="28"/>
          <w:u w:val="single"/>
        </w:rPr>
        <w:t>20年5月28日</w:t>
      </w:r>
      <w:r>
        <w:rPr>
          <w:rFonts w:ascii="宋体" w:hAnsi="宋体"/>
          <w:sz w:val="28"/>
          <w:szCs w:val="28"/>
          <w:u w:val="single"/>
        </w:rPr>
        <w:t>11</w:t>
      </w:r>
      <w:r>
        <w:rPr>
          <w:rFonts w:hint="eastAsia" w:ascii="宋体" w:hAnsi="宋体"/>
          <w:sz w:val="28"/>
          <w:szCs w:val="28"/>
          <w:u w:val="single"/>
        </w:rPr>
        <w:t>：</w:t>
      </w:r>
      <w:r>
        <w:rPr>
          <w:rFonts w:ascii="宋体" w:hAnsi="宋体"/>
          <w:sz w:val="28"/>
          <w:szCs w:val="28"/>
          <w:u w:val="single"/>
        </w:rPr>
        <w:t>3</w:t>
      </w:r>
      <w:r>
        <w:fldChar w:fldCharType="begin"/>
      </w:r>
      <w:r>
        <w:instrText xml:space="preserve"> HYPERLINK "mailto:30前将问题一律以word格式或txt格式发至89523765@qq.com" </w:instrText>
      </w:r>
      <w:r>
        <w:fldChar w:fldCharType="separate"/>
      </w:r>
      <w:r>
        <w:rPr>
          <w:rFonts w:ascii="宋体"/>
          <w:sz w:val="28"/>
          <w:szCs w:val="28"/>
          <w:u w:val="single"/>
        </w:rPr>
        <w:t>0</w:t>
      </w:r>
      <w:r>
        <w:rPr>
          <w:rFonts w:hint="eastAsia" w:ascii="宋体" w:hAnsi="宋体"/>
          <w:sz w:val="28"/>
          <w:szCs w:val="28"/>
        </w:rPr>
        <w:t>前将问题以</w:t>
      </w:r>
      <w:r>
        <w:rPr>
          <w:rFonts w:ascii="宋体" w:hAnsi="宋体"/>
          <w:sz w:val="28"/>
          <w:szCs w:val="28"/>
        </w:rPr>
        <w:t>word</w:t>
      </w:r>
      <w:r>
        <w:rPr>
          <w:rFonts w:hint="eastAsia" w:ascii="宋体" w:hAnsi="宋体"/>
          <w:sz w:val="28"/>
          <w:szCs w:val="28"/>
        </w:rPr>
        <w:t>格式或</w:t>
      </w:r>
      <w:r>
        <w:rPr>
          <w:rFonts w:ascii="宋体" w:hAnsi="宋体"/>
          <w:sz w:val="28"/>
          <w:szCs w:val="28"/>
        </w:rPr>
        <w:t>txt</w:t>
      </w:r>
      <w:r>
        <w:rPr>
          <w:rFonts w:hint="eastAsia" w:ascii="宋体" w:hAnsi="宋体"/>
          <w:sz w:val="28"/>
          <w:szCs w:val="28"/>
        </w:rPr>
        <w:t>格式发至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（因财务处招标科人手少，为减少所提问题的文字二次输入工作量，质疑函请勿以</w:t>
      </w:r>
      <w:r>
        <w:rPr>
          <w:rFonts w:ascii="宋体" w:hAnsi="宋体"/>
          <w:sz w:val="28"/>
          <w:szCs w:val="28"/>
        </w:rPr>
        <w:t>JPG</w:t>
      </w:r>
      <w:r>
        <w:rPr>
          <w:rFonts w:hint="eastAsia" w:ascii="宋体" w:hAnsi="宋体"/>
          <w:sz w:val="28"/>
          <w:szCs w:val="28"/>
        </w:rPr>
        <w:t>或</w:t>
      </w:r>
      <w:r>
        <w:rPr>
          <w:rFonts w:ascii="宋体" w:hAnsi="宋体"/>
          <w:sz w:val="28"/>
          <w:szCs w:val="28"/>
        </w:rPr>
        <w:t>PDF</w:t>
      </w:r>
      <w:r>
        <w:rPr>
          <w:rFonts w:hint="eastAsia" w:ascii="宋体" w:hAnsi="宋体"/>
          <w:sz w:val="28"/>
          <w:szCs w:val="28"/>
        </w:rPr>
        <w:t>格式，对</w:t>
      </w:r>
      <w:r>
        <w:rPr>
          <w:rFonts w:ascii="宋体" w:hAnsi="宋体"/>
          <w:sz w:val="28"/>
          <w:szCs w:val="28"/>
        </w:rPr>
        <w:t>JPG</w:t>
      </w:r>
      <w:r>
        <w:rPr>
          <w:rFonts w:hint="eastAsia" w:ascii="宋体" w:hAnsi="宋体"/>
          <w:sz w:val="28"/>
          <w:szCs w:val="28"/>
        </w:rPr>
        <w:t>和</w:t>
      </w:r>
      <w:r>
        <w:rPr>
          <w:rFonts w:ascii="宋体" w:hAnsi="宋体"/>
          <w:sz w:val="28"/>
          <w:szCs w:val="28"/>
        </w:rPr>
        <w:t>PDF</w:t>
      </w:r>
      <w:r>
        <w:rPr>
          <w:rFonts w:hint="eastAsia" w:ascii="宋体" w:hAnsi="宋体"/>
          <w:sz w:val="28"/>
          <w:szCs w:val="28"/>
        </w:rPr>
        <w:t>格式的附件一律删除，不予采纳，敬请谅解）</w:t>
      </w:r>
      <w:r>
        <w:rPr>
          <w:rFonts w:hint="eastAsia" w:ascii="宋体"/>
          <w:sz w:val="28"/>
          <w:szCs w:val="28"/>
        </w:rPr>
        <w:t>。</w:t>
      </w:r>
    </w:p>
    <w:p>
      <w:pPr>
        <w:spacing w:line="360" w:lineRule="auto"/>
        <w:rPr>
          <w:rFonts w:ascii="宋体"/>
          <w:sz w:val="28"/>
          <w:szCs w:val="28"/>
        </w:rPr>
      </w:pPr>
      <w:r>
        <w:rPr>
          <w:rFonts w:ascii="宋体" w:hAnsi="宋体"/>
          <w:sz w:val="28"/>
          <w:szCs w:val="28"/>
        </w:rPr>
        <w:t xml:space="preserve">   </w:t>
      </w: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）我校项目归口管理部门将通过财务处招标科向各投标人统一进行书面（或电子版）答疑回复。</w:t>
      </w:r>
    </w:p>
    <w:p>
      <w:pPr>
        <w:spacing w:line="360" w:lineRule="auto"/>
        <w:ind w:firstLine="549"/>
        <w:rPr>
          <w:rFonts w:ascii="宋体" w:hAnsi="宋体"/>
          <w:sz w:val="28"/>
          <w:szCs w:val="28"/>
        </w:rPr>
      </w:pPr>
      <w:r>
        <w:rPr>
          <w:rFonts w:ascii="宋体" w:hAnsi="宋体"/>
          <w:sz w:val="28"/>
          <w:szCs w:val="28"/>
        </w:rPr>
        <w:t>4.</w:t>
      </w:r>
      <w:r>
        <w:rPr>
          <w:rFonts w:hint="eastAsia" w:ascii="宋体" w:hAnsi="宋体"/>
          <w:sz w:val="28"/>
          <w:szCs w:val="28"/>
        </w:rPr>
        <w:t>投标文件送达</w:t>
      </w:r>
    </w:p>
    <w:p>
      <w:pPr>
        <w:spacing w:line="360" w:lineRule="auto"/>
        <w:ind w:firstLine="280" w:firstLineChars="1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，邮寄材料务必于投标截止时间前送达我处，请各投标单位自行安排邮寄时间，投标截止时间后，招标人不受理任何投标文件。（友情提醒：疫情期间快递耗时可能比平时长，请各投标单位予以充分考虑）。</w:t>
      </w:r>
      <w:r>
        <w:rPr>
          <w:rFonts w:hint="eastAsia" w:ascii="宋体" w:hAnsi="宋体"/>
          <w:b/>
          <w:sz w:val="28"/>
          <w:szCs w:val="28"/>
        </w:rPr>
        <w:t>（若后期有调整，将会将调整信息发送到各投标单位报名邮箱，请各投标单位在投标前密切关注报名邮箱）</w:t>
      </w:r>
    </w:p>
    <w:p>
      <w:pPr>
        <w:widowControl/>
        <w:spacing w:line="360" w:lineRule="auto"/>
        <w:ind w:firstLine="280" w:firstLineChars="100"/>
        <w:rPr>
          <w:rFonts w:ascii="宋体" w:hAnsi="宋体"/>
          <w:sz w:val="28"/>
          <w:szCs w:val="28"/>
        </w:rPr>
      </w:pPr>
      <w:r>
        <w:rPr>
          <w:rFonts w:hint="eastAsia" w:ascii="宋体" w:hAnsi="宋体"/>
          <w:sz w:val="28"/>
          <w:szCs w:val="28"/>
        </w:rPr>
        <w:t>（2）投标截止时间：2020年6月1</w:t>
      </w:r>
      <w:r>
        <w:rPr>
          <w:rFonts w:hint="eastAsia" w:ascii="宋体" w:hAnsi="宋体"/>
          <w:sz w:val="28"/>
          <w:szCs w:val="28"/>
          <w:lang w:val="en-US" w:eastAsia="zh-CN"/>
        </w:rPr>
        <w:t>2</w:t>
      </w:r>
      <w:r>
        <w:rPr>
          <w:rFonts w:hint="eastAsia" w:ascii="宋体" w:hAnsi="宋体"/>
          <w:sz w:val="28"/>
          <w:szCs w:val="28"/>
        </w:rPr>
        <w:t>日09：00。</w:t>
      </w:r>
      <w:bookmarkStart w:id="5" w:name="_Hlk32349437"/>
    </w:p>
    <w:bookmarkEnd w:id="5"/>
    <w:p>
      <w:pPr>
        <w:widowControl/>
        <w:adjustRightInd w:val="0"/>
        <w:snapToGrid w:val="0"/>
        <w:spacing w:line="360" w:lineRule="auto"/>
        <w:ind w:firstLine="280" w:firstLineChars="100"/>
        <w:rPr>
          <w:rFonts w:ascii="宋体" w:hAnsi="宋体"/>
          <w:sz w:val="28"/>
          <w:szCs w:val="28"/>
        </w:rPr>
      </w:pPr>
      <w:r>
        <w:rPr>
          <w:rFonts w:hint="eastAsia" w:ascii="宋体" w:hAnsi="宋体"/>
          <w:sz w:val="28"/>
          <w:szCs w:val="28"/>
        </w:rPr>
        <w:t>（3）邮寄送达地点：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财务处招标科。联系人：马老师、罗老师、方老师；联系电话：025-58731441。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rPr>
        <w:t>（1）开标、唱标：2020年6月1</w:t>
      </w:r>
      <w:r>
        <w:rPr>
          <w:rFonts w:hint="eastAsia" w:ascii="宋体" w:hAnsi="宋体"/>
          <w:sz w:val="28"/>
          <w:szCs w:val="28"/>
          <w:lang w:val="en-US" w:eastAsia="zh-CN"/>
        </w:rPr>
        <w:t>2</w:t>
      </w:r>
      <w:r>
        <w:rPr>
          <w:rFonts w:hint="eastAsia" w:ascii="宋体" w:hAnsi="宋体"/>
          <w:sz w:val="28"/>
          <w:szCs w:val="28"/>
        </w:rPr>
        <w:t>日09：00；(不安排公开开标、唱标，由财务处招标科工作人员在我校纪委办监督见证下进行，开标、唱标工作全程视频监控并录像)。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 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）财务处招标科（招投标管理业务单位）：联系电话：</w:t>
      </w:r>
      <w:r>
        <w:rPr>
          <w:rFonts w:ascii="宋体" w:hAnsi="宋体"/>
          <w:sz w:val="28"/>
          <w:szCs w:val="28"/>
        </w:rPr>
        <w:t>025-58731441</w:t>
      </w:r>
      <w:r>
        <w:rPr>
          <w:rFonts w:hint="eastAsia" w:ascii="宋体" w:hAnsi="宋体"/>
          <w:sz w:val="28"/>
          <w:szCs w:val="28"/>
        </w:rPr>
        <w:t>，联系人：马老师、罗老师、方老师；</w:t>
      </w:r>
    </w:p>
    <w:p>
      <w:pPr>
        <w:adjustRightInd w:val="0"/>
        <w:snapToGrid w:val="0"/>
        <w:spacing w:line="360" w:lineRule="auto"/>
        <w:ind w:firstLine="560" w:firstLineChars="200"/>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w:t>
      </w:r>
      <w:bookmarkEnd w:id="4"/>
      <w:r>
        <w:rPr>
          <w:rFonts w:hint="eastAsia" w:ascii="宋体" w:hAnsi="宋体"/>
          <w:sz w:val="28"/>
          <w:szCs w:val="28"/>
        </w:rPr>
        <w:t>用户单位联系人及联系电话：13</w:t>
      </w:r>
      <w:r>
        <w:rPr>
          <w:rFonts w:ascii="宋体" w:hAnsi="宋体"/>
          <w:sz w:val="28"/>
          <w:szCs w:val="28"/>
        </w:rPr>
        <w:t>813395600</w:t>
      </w:r>
      <w:r>
        <w:rPr>
          <w:rFonts w:hint="eastAsia" w:ascii="宋体" w:hAnsi="宋体"/>
          <w:sz w:val="28"/>
          <w:szCs w:val="28"/>
        </w:rPr>
        <w:t>（邓老师）。</w:t>
      </w:r>
    </w:p>
    <w:p>
      <w:pPr>
        <w:spacing w:line="360" w:lineRule="auto"/>
        <w:rPr>
          <w:rFonts w:ascii="宋体"/>
          <w:sz w:val="28"/>
          <w:szCs w:val="28"/>
        </w:rPr>
      </w:pPr>
    </w:p>
    <w:p>
      <w:pPr>
        <w:tabs>
          <w:tab w:val="left" w:pos="1260"/>
        </w:tabs>
        <w:spacing w:line="360" w:lineRule="auto"/>
        <w:ind w:left="1959" w:leftChars="933" w:firstLine="2530" w:firstLineChars="900"/>
        <w:rPr>
          <w:rFonts w:ascii="宋体"/>
          <w:b/>
          <w:sz w:val="28"/>
          <w:szCs w:val="28"/>
        </w:rPr>
      </w:pPr>
      <w:bookmarkStart w:id="6" w:name="_Hlk9866962"/>
      <w:r>
        <w:rPr>
          <w:rFonts w:hint="eastAsia" w:ascii="宋体" w:hAnsi="宋体"/>
          <w:b/>
          <w:sz w:val="28"/>
          <w:szCs w:val="28"/>
        </w:rPr>
        <w:t>南京信息工程大学财务处</w:t>
      </w:r>
    </w:p>
    <w:p>
      <w:pPr>
        <w:pStyle w:val="9"/>
        <w:spacing w:line="360" w:lineRule="auto"/>
        <w:ind w:left="99" w:leftChars="47" w:firstLine="4900" w:firstLineChars="1750"/>
        <w:rPr>
          <w:rStyle w:val="38"/>
          <w:rFonts w:ascii="宋体" w:hAnsi="Times New Roman" w:eastAsia="宋体"/>
          <w:b w:val="0"/>
          <w:sz w:val="28"/>
          <w:szCs w:val="28"/>
        </w:rPr>
      </w:pPr>
      <w:r>
        <w:rPr>
          <w:rStyle w:val="38"/>
          <w:rFonts w:ascii="宋体" w:hAnsi="宋体" w:eastAsia="宋体"/>
          <w:b w:val="0"/>
          <w:sz w:val="28"/>
          <w:szCs w:val="28"/>
        </w:rPr>
        <w:t>20</w:t>
      </w:r>
      <w:r>
        <w:rPr>
          <w:rStyle w:val="38"/>
          <w:rFonts w:hint="eastAsia" w:ascii="宋体" w:hAnsi="宋体" w:eastAsia="宋体"/>
          <w:b w:val="0"/>
          <w:sz w:val="28"/>
          <w:szCs w:val="28"/>
        </w:rPr>
        <w:t>20年5月22日</w:t>
      </w:r>
    </w:p>
    <w:bookmarkEnd w:id="6"/>
    <w:p>
      <w:pPr>
        <w:pStyle w:val="8"/>
        <w:adjustRightInd w:val="0"/>
        <w:snapToGrid w:val="0"/>
        <w:spacing w:before="120" w:after="120" w:line="360" w:lineRule="auto"/>
        <w:rPr>
          <w:rFonts w:ascii="Times New Roman" w:hAnsi="Times New Roman"/>
          <w:sz w:val="28"/>
          <w:szCs w:val="28"/>
        </w:rPr>
      </w:pPr>
      <w:r>
        <w:rPr>
          <w:rStyle w:val="38"/>
          <w:rFonts w:ascii="宋体" w:hAnsi="Times New Roman" w:eastAsia="宋体"/>
          <w:b w:val="0"/>
          <w:sz w:val="28"/>
          <w:szCs w:val="28"/>
        </w:rPr>
        <w:br w:type="page"/>
      </w:r>
      <w:r>
        <w:rPr>
          <w:rFonts w:ascii="Times New Roman" w:hAnsi="Times New Roman"/>
          <w:sz w:val="28"/>
          <w:szCs w:val="28"/>
        </w:rPr>
        <w:t>附件1：</w:t>
      </w:r>
    </w:p>
    <w:p>
      <w:pPr>
        <w:spacing w:line="360" w:lineRule="auto"/>
        <w:ind w:left="180"/>
        <w:jc w:val="center"/>
        <w:rPr>
          <w:b/>
          <w:sz w:val="28"/>
          <w:szCs w:val="28"/>
        </w:rPr>
      </w:pPr>
      <w:r>
        <w:rPr>
          <w:b/>
          <w:sz w:val="28"/>
          <w:szCs w:val="28"/>
        </w:rPr>
        <w:t>招标项目</w:t>
      </w:r>
      <w:r>
        <w:rPr>
          <w:rFonts w:hint="eastAsia"/>
          <w:b/>
          <w:sz w:val="28"/>
          <w:szCs w:val="28"/>
        </w:rPr>
        <w:t>内容清单</w:t>
      </w:r>
      <w:r>
        <w:rPr>
          <w:b/>
          <w:sz w:val="28"/>
          <w:szCs w:val="28"/>
        </w:rPr>
        <w:t>、主要技术要求及其他要求</w:t>
      </w:r>
    </w:p>
    <w:p>
      <w:pPr>
        <w:rPr>
          <w:b/>
          <w:kern w:val="0"/>
          <w:sz w:val="24"/>
        </w:rPr>
      </w:pPr>
    </w:p>
    <w:p>
      <w:pPr>
        <w:rPr>
          <w:sz w:val="24"/>
        </w:rPr>
      </w:pPr>
      <w:r>
        <w:rPr>
          <w:b/>
          <w:kern w:val="0"/>
          <w:sz w:val="24"/>
        </w:rPr>
        <w:t>1 主要配置或技术参数</w:t>
      </w:r>
      <w:r>
        <w:rPr>
          <w:b/>
          <w:sz w:val="24"/>
        </w:rPr>
        <w:t>：（标注“</w:t>
      </w:r>
      <w:r>
        <w:rPr>
          <w:rFonts w:ascii="Segoe UI Symbol" w:hAnsi="Segoe UI Symbol" w:cs="Segoe UI Symbol"/>
          <w:kern w:val="0"/>
          <w:sz w:val="24"/>
        </w:rPr>
        <w:t>★</w:t>
      </w:r>
      <w:r>
        <w:rPr>
          <w:b/>
          <w:sz w:val="24"/>
        </w:rPr>
        <w:t>”指标为必须满足项，不满足按</w:t>
      </w:r>
      <w:r>
        <w:rPr>
          <w:rFonts w:hint="eastAsia"/>
          <w:b/>
          <w:sz w:val="24"/>
        </w:rPr>
        <w:t>无效</w:t>
      </w:r>
      <w:r>
        <w:rPr>
          <w:b/>
          <w:sz w:val="24"/>
        </w:rPr>
        <w:t>标处理。）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703"/>
        <w:gridCol w:w="6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jc w:val="center"/>
              <w:rPr>
                <w:b/>
                <w:szCs w:val="21"/>
              </w:rPr>
            </w:pPr>
            <w:r>
              <w:rPr>
                <w:rFonts w:hint="eastAsia"/>
                <w:b/>
                <w:szCs w:val="21"/>
              </w:rPr>
              <w:t>序号</w:t>
            </w:r>
          </w:p>
        </w:tc>
        <w:tc>
          <w:tcPr>
            <w:tcW w:w="1703" w:type="dxa"/>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jc w:val="center"/>
              <w:rPr>
                <w:b/>
                <w:szCs w:val="21"/>
              </w:rPr>
            </w:pPr>
            <w:r>
              <w:rPr>
                <w:rFonts w:hint="eastAsia"/>
                <w:b/>
                <w:szCs w:val="21"/>
              </w:rPr>
              <w:t>服务内容</w:t>
            </w:r>
          </w:p>
        </w:tc>
        <w:tc>
          <w:tcPr>
            <w:tcW w:w="6003" w:type="dxa"/>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jc w:val="center"/>
              <w:rPr>
                <w:b/>
                <w:szCs w:val="21"/>
              </w:rPr>
            </w:pPr>
            <w:r>
              <w:rPr>
                <w:rFonts w:hint="eastAsia"/>
                <w:b/>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16" w:type="dxa"/>
            <w:vMerge w:val="restart"/>
            <w:tcBorders>
              <w:top w:val="single" w:color="auto" w:sz="4" w:space="0"/>
              <w:left w:val="single" w:color="auto" w:sz="4" w:space="0"/>
              <w:right w:val="single" w:color="auto" w:sz="4" w:space="0"/>
              <w:tl2br w:val="nil"/>
              <w:tr2bl w:val="nil"/>
            </w:tcBorders>
            <w:vAlign w:val="center"/>
          </w:tcPr>
          <w:p>
            <w:pPr>
              <w:spacing w:line="288" w:lineRule="auto"/>
              <w:jc w:val="center"/>
              <w:rPr>
                <w:szCs w:val="21"/>
              </w:rPr>
            </w:pPr>
            <w:r>
              <w:rPr>
                <w:rFonts w:hint="eastAsia"/>
                <w:szCs w:val="21"/>
              </w:rPr>
              <w:t>1</w:t>
            </w:r>
          </w:p>
        </w:tc>
        <w:tc>
          <w:tcPr>
            <w:tcW w:w="1703" w:type="dxa"/>
            <w:vMerge w:val="restart"/>
            <w:tcBorders>
              <w:top w:val="single" w:color="auto" w:sz="4" w:space="0"/>
              <w:left w:val="single" w:color="auto" w:sz="4" w:space="0"/>
              <w:right w:val="single" w:color="auto" w:sz="4" w:space="0"/>
              <w:tl2br w:val="nil"/>
              <w:tr2bl w:val="nil"/>
            </w:tcBorders>
            <w:vAlign w:val="center"/>
          </w:tcPr>
          <w:p>
            <w:pPr>
              <w:spacing w:line="288" w:lineRule="auto"/>
              <w:rPr>
                <w:szCs w:val="21"/>
              </w:rPr>
            </w:pPr>
            <w:r>
              <w:rPr>
                <w:rFonts w:hint="eastAsia"/>
                <w:szCs w:val="21"/>
              </w:rPr>
              <w:t>收费单价</w:t>
            </w:r>
          </w:p>
        </w:tc>
        <w:tc>
          <w:tcPr>
            <w:tcW w:w="6003" w:type="dxa"/>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szCs w:val="21"/>
              </w:rPr>
            </w:pPr>
            <w:r>
              <w:rPr>
                <w:szCs w:val="21"/>
              </w:rPr>
              <w:t>1.1</w:t>
            </w:r>
            <w:r>
              <w:rPr>
                <w:rFonts w:ascii="Segoe UI Symbol" w:hAnsi="Segoe UI Symbol" w:cs="Segoe UI Symbol"/>
                <w:kern w:val="0"/>
                <w:sz w:val="24"/>
              </w:rPr>
              <w:t>★</w:t>
            </w:r>
            <w:r>
              <w:rPr>
                <w:rFonts w:hint="eastAsia"/>
                <w:szCs w:val="21"/>
              </w:rPr>
              <w:t>计算机时费不高于0</w:t>
            </w:r>
            <w:r>
              <w:rPr>
                <w:szCs w:val="21"/>
              </w:rPr>
              <w:t>.1</w:t>
            </w:r>
            <w:r>
              <w:rPr>
                <w:rFonts w:hint="eastAsia"/>
                <w:szCs w:val="21"/>
              </w:rPr>
              <w:t>元/核•小时。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16" w:type="dxa"/>
            <w:vMerge w:val="continue"/>
            <w:tcBorders>
              <w:left w:val="single" w:color="auto" w:sz="4" w:space="0"/>
              <w:bottom w:val="single" w:color="auto" w:sz="4" w:space="0"/>
              <w:right w:val="single" w:color="auto" w:sz="4" w:space="0"/>
              <w:tl2br w:val="nil"/>
              <w:tr2bl w:val="nil"/>
            </w:tcBorders>
            <w:vAlign w:val="center"/>
          </w:tcPr>
          <w:p>
            <w:pPr>
              <w:spacing w:line="288" w:lineRule="auto"/>
              <w:jc w:val="center"/>
              <w:rPr>
                <w:szCs w:val="21"/>
              </w:rPr>
            </w:pPr>
          </w:p>
        </w:tc>
        <w:tc>
          <w:tcPr>
            <w:tcW w:w="1703" w:type="dxa"/>
            <w:vMerge w:val="continue"/>
            <w:tcBorders>
              <w:left w:val="single" w:color="auto" w:sz="4" w:space="0"/>
              <w:bottom w:val="single" w:color="auto" w:sz="4" w:space="0"/>
              <w:right w:val="single" w:color="auto" w:sz="4" w:space="0"/>
              <w:tl2br w:val="nil"/>
              <w:tr2bl w:val="nil"/>
            </w:tcBorders>
            <w:vAlign w:val="center"/>
          </w:tcPr>
          <w:p>
            <w:pPr>
              <w:spacing w:line="288" w:lineRule="auto"/>
              <w:rPr>
                <w:szCs w:val="21"/>
              </w:rPr>
            </w:pPr>
          </w:p>
        </w:tc>
        <w:tc>
          <w:tcPr>
            <w:tcW w:w="6003" w:type="dxa"/>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szCs w:val="21"/>
              </w:rPr>
            </w:pPr>
            <w:r>
              <w:rPr>
                <w:szCs w:val="21"/>
              </w:rPr>
              <w:t>1.2</w:t>
            </w:r>
            <w:r>
              <w:rPr>
                <w:rFonts w:ascii="Segoe UI Symbol" w:hAnsi="Segoe UI Symbol" w:cs="Segoe UI Symbol"/>
                <w:kern w:val="0"/>
                <w:sz w:val="24"/>
              </w:rPr>
              <w:t>★</w:t>
            </w:r>
            <w:r>
              <w:rPr>
                <w:rFonts w:hint="eastAsia"/>
                <w:szCs w:val="21"/>
              </w:rPr>
              <w:t>存储租赁不高于1</w:t>
            </w:r>
            <w:r>
              <w:rPr>
                <w:szCs w:val="21"/>
              </w:rPr>
              <w:t>000</w:t>
            </w:r>
            <w:r>
              <w:rPr>
                <w:rFonts w:hint="eastAsia"/>
                <w:szCs w:val="21"/>
              </w:rPr>
              <w:t>元/</w:t>
            </w:r>
            <w:r>
              <w:rPr>
                <w:szCs w:val="21"/>
              </w:rPr>
              <w:t>TB</w:t>
            </w:r>
            <w:r>
              <w:rPr>
                <w:rFonts w:hint="eastAsia"/>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jc w:val="center"/>
              <w:rPr>
                <w:szCs w:val="21"/>
              </w:rPr>
            </w:pPr>
            <w:r>
              <w:rPr>
                <w:rFonts w:hint="eastAsia"/>
                <w:szCs w:val="21"/>
              </w:rPr>
              <w:t>2</w:t>
            </w:r>
          </w:p>
        </w:tc>
        <w:tc>
          <w:tcPr>
            <w:tcW w:w="170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b/>
                <w:szCs w:val="21"/>
              </w:rPr>
            </w:pPr>
            <w:r>
              <w:rPr>
                <w:rFonts w:hint="eastAsia"/>
                <w:szCs w:val="21"/>
              </w:rPr>
              <w:t>配置要求</w:t>
            </w:r>
          </w:p>
        </w:tc>
        <w:tc>
          <w:tcPr>
            <w:tcW w:w="6003" w:type="dxa"/>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szCs w:val="21"/>
              </w:rPr>
            </w:pPr>
            <w:r>
              <w:rPr>
                <w:szCs w:val="21"/>
              </w:rPr>
              <w:t>2</w:t>
            </w:r>
            <w:r>
              <w:rPr>
                <w:rFonts w:hint="eastAsia"/>
                <w:szCs w:val="21"/>
              </w:rPr>
              <w:t>.1最大资源规模：可支持</w:t>
            </w:r>
            <w:r>
              <w:rPr>
                <w:szCs w:val="21"/>
              </w:rPr>
              <w:t>35</w:t>
            </w:r>
            <w:r>
              <w:rPr>
                <w:rFonts w:hint="eastAsia"/>
                <w:szCs w:val="21"/>
              </w:rPr>
              <w:t>000核CPU大规模并行计算。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jc w:val="center"/>
              <w:rPr>
                <w:szCs w:val="21"/>
              </w:rPr>
            </w:pPr>
          </w:p>
        </w:tc>
        <w:tc>
          <w:tcPr>
            <w:tcW w:w="17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szCs w:val="21"/>
              </w:rPr>
            </w:pPr>
          </w:p>
        </w:tc>
        <w:tc>
          <w:tcPr>
            <w:tcW w:w="6003" w:type="dxa"/>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szCs w:val="21"/>
              </w:rPr>
            </w:pPr>
            <w:r>
              <w:rPr>
                <w:szCs w:val="21"/>
              </w:rPr>
              <w:t>2</w:t>
            </w:r>
            <w:r>
              <w:rPr>
                <w:rFonts w:hint="eastAsia"/>
                <w:szCs w:val="21"/>
              </w:rPr>
              <w:t>.2 计算性能：计算节点C</w:t>
            </w:r>
            <w:r>
              <w:rPr>
                <w:szCs w:val="21"/>
              </w:rPr>
              <w:t>PU</w:t>
            </w:r>
            <w:r>
              <w:rPr>
                <w:rFonts w:hint="eastAsia"/>
                <w:szCs w:val="21"/>
              </w:rPr>
              <w:t>不少于2颗，每个C</w:t>
            </w:r>
            <w:r>
              <w:rPr>
                <w:szCs w:val="21"/>
              </w:rPr>
              <w:t>PU</w:t>
            </w:r>
            <w:r>
              <w:rPr>
                <w:rFonts w:hint="eastAsia"/>
                <w:szCs w:val="21"/>
              </w:rPr>
              <w:t>不少于6核芯。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jc w:val="center"/>
              <w:rPr>
                <w:szCs w:val="21"/>
              </w:rPr>
            </w:pPr>
          </w:p>
        </w:tc>
        <w:tc>
          <w:tcPr>
            <w:tcW w:w="17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b/>
                <w:szCs w:val="21"/>
              </w:rPr>
            </w:pPr>
          </w:p>
        </w:tc>
        <w:tc>
          <w:tcPr>
            <w:tcW w:w="6003" w:type="dxa"/>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szCs w:val="21"/>
              </w:rPr>
            </w:pPr>
            <w:r>
              <w:rPr>
                <w:szCs w:val="21"/>
              </w:rPr>
              <w:t>2</w:t>
            </w:r>
            <w:r>
              <w:rPr>
                <w:rFonts w:hint="eastAsia"/>
                <w:szCs w:val="21"/>
              </w:rPr>
              <w:t>.3 处理器：主频不低于</w:t>
            </w:r>
            <w:r>
              <w:rPr>
                <w:szCs w:val="21"/>
              </w:rPr>
              <w:t>2.2GHz</w:t>
            </w:r>
            <w:r>
              <w:rPr>
                <w:rFonts w:hint="eastAsia"/>
                <w:szCs w:val="21"/>
              </w:rPr>
              <w:t>（推荐使用</w:t>
            </w:r>
            <w:r>
              <w:rPr>
                <w:szCs w:val="21"/>
              </w:rPr>
              <w:t>Intel</w:t>
            </w:r>
            <w:r>
              <w:rPr>
                <w:rFonts w:hint="eastAsia"/>
                <w:szCs w:val="21"/>
              </w:rPr>
              <w:t>至强系列芯片）。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jc w:val="center"/>
              <w:rPr>
                <w:szCs w:val="21"/>
              </w:rPr>
            </w:pPr>
          </w:p>
        </w:tc>
        <w:tc>
          <w:tcPr>
            <w:tcW w:w="17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b/>
                <w:szCs w:val="21"/>
              </w:rPr>
            </w:pPr>
          </w:p>
        </w:tc>
        <w:tc>
          <w:tcPr>
            <w:tcW w:w="6003" w:type="dxa"/>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szCs w:val="21"/>
              </w:rPr>
            </w:pPr>
            <w:r>
              <w:rPr>
                <w:rFonts w:ascii="Segoe UI Symbol" w:hAnsi="Segoe UI Symbol" w:cs="Segoe UI Symbol"/>
                <w:kern w:val="0"/>
                <w:sz w:val="24"/>
              </w:rPr>
              <w:t>★</w:t>
            </w:r>
            <w:r>
              <w:rPr>
                <w:szCs w:val="21"/>
              </w:rPr>
              <w:t>2</w:t>
            </w:r>
            <w:r>
              <w:rPr>
                <w:rFonts w:hint="eastAsia"/>
                <w:szCs w:val="21"/>
              </w:rPr>
              <w:t>.4内存：CPU单核对应内存不低于2.66GB。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jc w:val="center"/>
              <w:rPr>
                <w:szCs w:val="21"/>
              </w:rPr>
            </w:pPr>
          </w:p>
        </w:tc>
        <w:tc>
          <w:tcPr>
            <w:tcW w:w="17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b/>
                <w:szCs w:val="21"/>
              </w:rPr>
            </w:pPr>
          </w:p>
        </w:tc>
        <w:tc>
          <w:tcPr>
            <w:tcW w:w="6003" w:type="dxa"/>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b/>
                <w:szCs w:val="21"/>
              </w:rPr>
            </w:pPr>
            <w:r>
              <w:rPr>
                <w:szCs w:val="21"/>
              </w:rPr>
              <w:t>2</w:t>
            </w:r>
            <w:r>
              <w:rPr>
                <w:rFonts w:hint="eastAsia"/>
                <w:szCs w:val="21"/>
              </w:rPr>
              <w:t>.</w:t>
            </w:r>
            <w:r>
              <w:rPr>
                <w:szCs w:val="21"/>
              </w:rPr>
              <w:t>5</w:t>
            </w:r>
            <w:r>
              <w:rPr>
                <w:rFonts w:hint="eastAsia"/>
                <w:szCs w:val="21"/>
              </w:rPr>
              <w:t>网络互连：国产自主定制的高速互连或Infiniband，宽带不低于5</w:t>
            </w:r>
            <w:r>
              <w:rPr>
                <w:szCs w:val="21"/>
              </w:rPr>
              <w:t>6</w:t>
            </w:r>
            <w:r>
              <w:rPr>
                <w:rFonts w:hint="eastAsia"/>
                <w:szCs w:val="21"/>
              </w:rPr>
              <w:t>Gb/s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jc w:val="center"/>
              <w:rPr>
                <w:szCs w:val="21"/>
              </w:rPr>
            </w:pPr>
          </w:p>
        </w:tc>
        <w:tc>
          <w:tcPr>
            <w:tcW w:w="17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b/>
                <w:szCs w:val="21"/>
              </w:rPr>
            </w:pPr>
          </w:p>
        </w:tc>
        <w:tc>
          <w:tcPr>
            <w:tcW w:w="6003" w:type="dxa"/>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b/>
                <w:szCs w:val="21"/>
              </w:rPr>
            </w:pPr>
            <w:r>
              <w:rPr>
                <w:szCs w:val="21"/>
              </w:rPr>
              <w:t>2</w:t>
            </w:r>
            <w:r>
              <w:rPr>
                <w:rFonts w:hint="eastAsia"/>
                <w:szCs w:val="21"/>
              </w:rPr>
              <w:t>.</w:t>
            </w:r>
            <w:r>
              <w:rPr>
                <w:szCs w:val="21"/>
              </w:rPr>
              <w:t>6</w:t>
            </w:r>
            <w:r>
              <w:rPr>
                <w:rFonts w:hint="eastAsia"/>
                <w:szCs w:val="21"/>
              </w:rPr>
              <w:t>操作系统：Linux64操作系统。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jc w:val="center"/>
              <w:rPr>
                <w:szCs w:val="21"/>
              </w:rPr>
            </w:pPr>
          </w:p>
        </w:tc>
        <w:tc>
          <w:tcPr>
            <w:tcW w:w="17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b/>
                <w:szCs w:val="21"/>
              </w:rPr>
            </w:pPr>
          </w:p>
        </w:tc>
        <w:tc>
          <w:tcPr>
            <w:tcW w:w="6003" w:type="dxa"/>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szCs w:val="21"/>
              </w:rPr>
            </w:pPr>
            <w:r>
              <w:rPr>
                <w:szCs w:val="21"/>
              </w:rPr>
              <w:t>2</w:t>
            </w:r>
            <w:r>
              <w:rPr>
                <w:rFonts w:hint="eastAsia"/>
                <w:szCs w:val="21"/>
              </w:rPr>
              <w:t>.</w:t>
            </w:r>
            <w:r>
              <w:rPr>
                <w:szCs w:val="21"/>
              </w:rPr>
              <w:t>7</w:t>
            </w:r>
            <w:r>
              <w:rPr>
                <w:rFonts w:hint="eastAsia"/>
                <w:szCs w:val="21"/>
              </w:rPr>
              <w:t>节假日不停机。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jc w:val="center"/>
              <w:rPr>
                <w:szCs w:val="21"/>
              </w:rPr>
            </w:pPr>
          </w:p>
        </w:tc>
        <w:tc>
          <w:tcPr>
            <w:tcW w:w="17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b/>
                <w:szCs w:val="21"/>
              </w:rPr>
            </w:pPr>
          </w:p>
        </w:tc>
        <w:tc>
          <w:tcPr>
            <w:tcW w:w="6003" w:type="dxa"/>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b/>
                <w:szCs w:val="21"/>
              </w:rPr>
            </w:pPr>
            <w:r>
              <w:rPr>
                <w:szCs w:val="21"/>
              </w:rPr>
              <w:t>2</w:t>
            </w:r>
            <w:r>
              <w:rPr>
                <w:rFonts w:hint="eastAsia"/>
                <w:szCs w:val="21"/>
              </w:rPr>
              <w:t>.</w:t>
            </w:r>
            <w:r>
              <w:rPr>
                <w:szCs w:val="21"/>
              </w:rPr>
              <w:t>8</w:t>
            </w:r>
            <w:r>
              <w:rPr>
                <w:rFonts w:hint="eastAsia"/>
                <w:szCs w:val="21"/>
              </w:rPr>
              <w:t xml:space="preserve"> 提供随时查询机时使用量的网页或者系统，即将使用完毕有提醒功能。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restart"/>
            <w:tcBorders>
              <w:top w:val="single" w:color="auto" w:sz="4" w:space="0"/>
              <w:left w:val="single" w:color="auto" w:sz="4" w:space="0"/>
              <w:right w:val="single" w:color="auto" w:sz="4" w:space="0"/>
              <w:tl2br w:val="nil"/>
              <w:tr2bl w:val="nil"/>
            </w:tcBorders>
            <w:vAlign w:val="center"/>
          </w:tcPr>
          <w:p>
            <w:pPr>
              <w:spacing w:line="288" w:lineRule="auto"/>
              <w:jc w:val="center"/>
              <w:rPr>
                <w:szCs w:val="21"/>
              </w:rPr>
            </w:pPr>
            <w:r>
              <w:rPr>
                <w:szCs w:val="21"/>
              </w:rPr>
              <w:t>3</w:t>
            </w:r>
          </w:p>
        </w:tc>
        <w:tc>
          <w:tcPr>
            <w:tcW w:w="1703" w:type="dxa"/>
            <w:vMerge w:val="restart"/>
            <w:tcBorders>
              <w:top w:val="single" w:color="auto" w:sz="4" w:space="0"/>
              <w:left w:val="single" w:color="auto" w:sz="4" w:space="0"/>
              <w:right w:val="single" w:color="auto" w:sz="4" w:space="0"/>
              <w:tl2br w:val="nil"/>
              <w:tr2bl w:val="nil"/>
            </w:tcBorders>
            <w:vAlign w:val="center"/>
          </w:tcPr>
          <w:p>
            <w:pPr>
              <w:spacing w:line="288" w:lineRule="auto"/>
              <w:rPr>
                <w:b/>
                <w:szCs w:val="21"/>
              </w:rPr>
            </w:pPr>
            <w:r>
              <w:rPr>
                <w:rFonts w:hint="eastAsia"/>
                <w:szCs w:val="21"/>
              </w:rPr>
              <w:t>存储资源</w:t>
            </w:r>
          </w:p>
        </w:tc>
        <w:tc>
          <w:tcPr>
            <w:tcW w:w="6003" w:type="dxa"/>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szCs w:val="21"/>
              </w:rPr>
            </w:pPr>
            <w:r>
              <w:rPr>
                <w:rFonts w:ascii="Segoe UI Symbol" w:hAnsi="Segoe UI Symbol" w:cs="Segoe UI Symbol"/>
                <w:kern w:val="0"/>
                <w:sz w:val="24"/>
              </w:rPr>
              <w:t>★</w:t>
            </w:r>
            <w:r>
              <w:rPr>
                <w:szCs w:val="21"/>
              </w:rPr>
              <w:t>3</w:t>
            </w:r>
            <w:r>
              <w:rPr>
                <w:rFonts w:hint="eastAsia"/>
                <w:szCs w:val="21"/>
              </w:rPr>
              <w:t>.1分布式存储，每个用户免费存储空间不少于5</w:t>
            </w:r>
            <w:r>
              <w:rPr>
                <w:szCs w:val="21"/>
              </w:rPr>
              <w:t>00</w:t>
            </w:r>
            <w:r>
              <w:rPr>
                <w:rFonts w:hint="eastAsia"/>
                <w:szCs w:val="21"/>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tcBorders>
              <w:left w:val="single" w:color="auto" w:sz="4" w:space="0"/>
              <w:right w:val="single" w:color="auto" w:sz="4" w:space="0"/>
              <w:tl2br w:val="nil"/>
              <w:tr2bl w:val="nil"/>
            </w:tcBorders>
            <w:vAlign w:val="center"/>
          </w:tcPr>
          <w:p>
            <w:pPr>
              <w:spacing w:line="288" w:lineRule="auto"/>
              <w:jc w:val="center"/>
              <w:rPr>
                <w:szCs w:val="21"/>
              </w:rPr>
            </w:pPr>
          </w:p>
        </w:tc>
        <w:tc>
          <w:tcPr>
            <w:tcW w:w="1703" w:type="dxa"/>
            <w:vMerge w:val="continue"/>
            <w:tcBorders>
              <w:left w:val="single" w:color="auto" w:sz="4" w:space="0"/>
              <w:right w:val="single" w:color="auto" w:sz="4" w:space="0"/>
              <w:tl2br w:val="nil"/>
              <w:tr2bl w:val="nil"/>
            </w:tcBorders>
            <w:vAlign w:val="center"/>
          </w:tcPr>
          <w:p>
            <w:pPr>
              <w:spacing w:line="288" w:lineRule="auto"/>
              <w:rPr>
                <w:szCs w:val="21"/>
              </w:rPr>
            </w:pPr>
          </w:p>
        </w:tc>
        <w:tc>
          <w:tcPr>
            <w:tcW w:w="6003" w:type="dxa"/>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szCs w:val="21"/>
              </w:rPr>
            </w:pPr>
            <w:r>
              <w:rPr>
                <w:szCs w:val="21"/>
              </w:rPr>
              <w:t>3</w:t>
            </w:r>
            <w:r>
              <w:rPr>
                <w:rFonts w:hint="eastAsia"/>
                <w:szCs w:val="21"/>
              </w:rPr>
              <w:t>.2支持存储容量可随时扩展，存储总容量不少于1PB。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tcBorders>
              <w:left w:val="single" w:color="auto" w:sz="4" w:space="0"/>
              <w:bottom w:val="single" w:color="auto" w:sz="4" w:space="0"/>
              <w:right w:val="single" w:color="auto" w:sz="4" w:space="0"/>
              <w:tl2br w:val="nil"/>
              <w:tr2bl w:val="nil"/>
            </w:tcBorders>
            <w:vAlign w:val="center"/>
          </w:tcPr>
          <w:p>
            <w:pPr>
              <w:spacing w:line="288" w:lineRule="auto"/>
              <w:jc w:val="center"/>
              <w:rPr>
                <w:szCs w:val="21"/>
              </w:rPr>
            </w:pPr>
          </w:p>
        </w:tc>
        <w:tc>
          <w:tcPr>
            <w:tcW w:w="1703" w:type="dxa"/>
            <w:vMerge w:val="continue"/>
            <w:tcBorders>
              <w:left w:val="single" w:color="auto" w:sz="4" w:space="0"/>
              <w:bottom w:val="single" w:color="auto" w:sz="4" w:space="0"/>
              <w:right w:val="single" w:color="auto" w:sz="4" w:space="0"/>
              <w:tl2br w:val="nil"/>
              <w:tr2bl w:val="nil"/>
            </w:tcBorders>
            <w:vAlign w:val="center"/>
          </w:tcPr>
          <w:p>
            <w:pPr>
              <w:spacing w:line="288" w:lineRule="auto"/>
              <w:rPr>
                <w:szCs w:val="21"/>
              </w:rPr>
            </w:pPr>
          </w:p>
        </w:tc>
        <w:tc>
          <w:tcPr>
            <w:tcW w:w="6003" w:type="dxa"/>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szCs w:val="21"/>
              </w:rPr>
            </w:pPr>
            <w:r>
              <w:rPr>
                <w:szCs w:val="21"/>
              </w:rPr>
              <w:t>3</w:t>
            </w:r>
            <w:r>
              <w:rPr>
                <w:rFonts w:hint="eastAsia"/>
                <w:szCs w:val="21"/>
              </w:rPr>
              <w:t>.3提供免费人工挂盘服务。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jc w:val="center"/>
              <w:rPr>
                <w:szCs w:val="21"/>
              </w:rPr>
            </w:pPr>
            <w:r>
              <w:rPr>
                <w:rFonts w:hint="eastAsia"/>
                <w:szCs w:val="21"/>
              </w:rPr>
              <w:t>4</w:t>
            </w:r>
          </w:p>
        </w:tc>
        <w:tc>
          <w:tcPr>
            <w:tcW w:w="1703" w:type="dxa"/>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szCs w:val="21"/>
              </w:rPr>
            </w:pPr>
            <w:r>
              <w:rPr>
                <w:rFonts w:hint="eastAsia"/>
                <w:szCs w:val="21"/>
              </w:rPr>
              <w:t>使用方式</w:t>
            </w:r>
          </w:p>
        </w:tc>
        <w:tc>
          <w:tcPr>
            <w:tcW w:w="6003" w:type="dxa"/>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szCs w:val="21"/>
              </w:rPr>
            </w:pPr>
            <w:r>
              <w:rPr>
                <w:rFonts w:hint="eastAsia"/>
                <w:szCs w:val="21"/>
              </w:rPr>
              <w:t>4</w:t>
            </w:r>
            <w:r>
              <w:rPr>
                <w:szCs w:val="21"/>
              </w:rPr>
              <w:t>.1</w:t>
            </w:r>
            <w:r>
              <w:rPr>
                <w:rFonts w:hint="eastAsia"/>
                <w:szCs w:val="21"/>
              </w:rPr>
              <w:t>远程在线登陆及使用。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16" w:type="dxa"/>
            <w:vMerge w:val="restart"/>
            <w:tcBorders>
              <w:top w:val="single" w:color="auto" w:sz="4" w:space="0"/>
              <w:left w:val="single" w:color="auto" w:sz="4" w:space="0"/>
              <w:right w:val="single" w:color="auto" w:sz="4" w:space="0"/>
              <w:tl2br w:val="nil"/>
              <w:tr2bl w:val="nil"/>
            </w:tcBorders>
            <w:vAlign w:val="center"/>
          </w:tcPr>
          <w:p>
            <w:pPr>
              <w:spacing w:line="288" w:lineRule="auto"/>
              <w:jc w:val="center"/>
              <w:rPr>
                <w:szCs w:val="21"/>
              </w:rPr>
            </w:pPr>
            <w:r>
              <w:rPr>
                <w:rFonts w:hint="eastAsia"/>
                <w:szCs w:val="21"/>
              </w:rPr>
              <w:t>5</w:t>
            </w:r>
          </w:p>
        </w:tc>
        <w:tc>
          <w:tcPr>
            <w:tcW w:w="1703" w:type="dxa"/>
            <w:vMerge w:val="restart"/>
            <w:tcBorders>
              <w:top w:val="single" w:color="auto" w:sz="4" w:space="0"/>
              <w:left w:val="single" w:color="auto" w:sz="4" w:space="0"/>
              <w:right w:val="single" w:color="auto" w:sz="4" w:space="0"/>
              <w:tl2br w:val="nil"/>
              <w:tr2bl w:val="nil"/>
            </w:tcBorders>
            <w:vAlign w:val="center"/>
          </w:tcPr>
          <w:p>
            <w:pPr>
              <w:rPr>
                <w:szCs w:val="21"/>
              </w:rPr>
            </w:pPr>
            <w:r>
              <w:rPr>
                <w:rFonts w:hint="eastAsia" w:ascii="宋体" w:hAnsi="宋体"/>
                <w:szCs w:val="21"/>
              </w:rPr>
              <w:t>售后服务</w:t>
            </w:r>
          </w:p>
        </w:tc>
        <w:tc>
          <w:tcPr>
            <w:tcW w:w="6003" w:type="dxa"/>
            <w:tcBorders>
              <w:top w:val="single" w:color="auto" w:sz="4" w:space="0"/>
              <w:left w:val="single" w:color="auto" w:sz="4" w:space="0"/>
              <w:bottom w:val="single" w:color="auto" w:sz="4" w:space="0"/>
              <w:right w:val="single" w:color="auto" w:sz="4" w:space="0"/>
              <w:tl2br w:val="nil"/>
              <w:tr2bl w:val="nil"/>
            </w:tcBorders>
            <w:vAlign w:val="center"/>
          </w:tcPr>
          <w:p>
            <w:pPr>
              <w:spacing w:after="240"/>
              <w:rPr>
                <w:szCs w:val="21"/>
              </w:rPr>
            </w:pPr>
            <w:r>
              <w:rPr>
                <w:rFonts w:ascii="宋体" w:hAnsi="宋体"/>
                <w:szCs w:val="21"/>
              </w:rPr>
              <w:t>5</w:t>
            </w:r>
            <w:r>
              <w:rPr>
                <w:rFonts w:hint="eastAsia" w:ascii="宋体" w:hAnsi="宋体"/>
                <w:szCs w:val="21"/>
              </w:rPr>
              <w:t>.1合同期内或机时未用完期间，都提供免费售后服务。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tcBorders>
              <w:left w:val="single" w:color="auto" w:sz="4" w:space="0"/>
              <w:right w:val="single" w:color="auto" w:sz="4" w:space="0"/>
              <w:tl2br w:val="nil"/>
              <w:tr2bl w:val="nil"/>
            </w:tcBorders>
            <w:vAlign w:val="center"/>
          </w:tcPr>
          <w:p>
            <w:pPr>
              <w:spacing w:line="288" w:lineRule="auto"/>
              <w:jc w:val="center"/>
              <w:rPr>
                <w:szCs w:val="21"/>
              </w:rPr>
            </w:pPr>
          </w:p>
        </w:tc>
        <w:tc>
          <w:tcPr>
            <w:tcW w:w="1703" w:type="dxa"/>
            <w:vMerge w:val="continue"/>
            <w:tcBorders>
              <w:left w:val="single" w:color="auto" w:sz="4" w:space="0"/>
              <w:right w:val="single" w:color="auto" w:sz="4" w:space="0"/>
              <w:tl2br w:val="nil"/>
              <w:tr2bl w:val="nil"/>
            </w:tcBorders>
            <w:vAlign w:val="center"/>
          </w:tcPr>
          <w:p>
            <w:pPr>
              <w:rPr>
                <w:rFonts w:ascii="宋体" w:hAnsi="宋体"/>
                <w:szCs w:val="21"/>
              </w:rPr>
            </w:pPr>
          </w:p>
        </w:tc>
        <w:tc>
          <w:tcPr>
            <w:tcW w:w="6003" w:type="dxa"/>
            <w:tcBorders>
              <w:top w:val="single" w:color="auto" w:sz="4" w:space="0"/>
              <w:left w:val="single" w:color="auto" w:sz="4" w:space="0"/>
              <w:bottom w:val="single" w:color="auto" w:sz="4" w:space="0"/>
              <w:right w:val="single" w:color="auto" w:sz="4" w:space="0"/>
              <w:tl2br w:val="nil"/>
              <w:tr2bl w:val="nil"/>
            </w:tcBorders>
            <w:vAlign w:val="center"/>
          </w:tcPr>
          <w:p>
            <w:pPr>
              <w:spacing w:after="240"/>
              <w:rPr>
                <w:rFonts w:ascii="宋体" w:hAnsi="宋体"/>
                <w:szCs w:val="21"/>
              </w:rPr>
            </w:pPr>
            <w:r>
              <w:rPr>
                <w:rFonts w:ascii="宋体" w:hAnsi="宋体"/>
                <w:szCs w:val="21"/>
              </w:rPr>
              <w:t>5</w:t>
            </w:r>
            <w:r>
              <w:rPr>
                <w:rFonts w:hint="eastAsia" w:ascii="宋体" w:hAnsi="宋体"/>
                <w:szCs w:val="21"/>
              </w:rPr>
              <w:t>.2免费提供系统使用手册及相关的技术文档。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tcBorders>
              <w:left w:val="single" w:color="auto" w:sz="4" w:space="0"/>
              <w:right w:val="single" w:color="auto" w:sz="4" w:space="0"/>
              <w:tl2br w:val="nil"/>
              <w:tr2bl w:val="nil"/>
            </w:tcBorders>
            <w:vAlign w:val="center"/>
          </w:tcPr>
          <w:p>
            <w:pPr>
              <w:spacing w:line="288" w:lineRule="auto"/>
              <w:jc w:val="center"/>
              <w:rPr>
                <w:szCs w:val="21"/>
              </w:rPr>
            </w:pPr>
          </w:p>
        </w:tc>
        <w:tc>
          <w:tcPr>
            <w:tcW w:w="1703" w:type="dxa"/>
            <w:vMerge w:val="continue"/>
            <w:tcBorders>
              <w:left w:val="single" w:color="auto" w:sz="4" w:space="0"/>
              <w:right w:val="single" w:color="auto" w:sz="4" w:space="0"/>
              <w:tl2br w:val="nil"/>
              <w:tr2bl w:val="nil"/>
            </w:tcBorders>
            <w:vAlign w:val="center"/>
          </w:tcPr>
          <w:p>
            <w:pPr>
              <w:rPr>
                <w:szCs w:val="21"/>
              </w:rPr>
            </w:pPr>
          </w:p>
        </w:tc>
        <w:tc>
          <w:tcPr>
            <w:tcW w:w="6003" w:type="dxa"/>
            <w:tcBorders>
              <w:top w:val="single" w:color="auto" w:sz="4" w:space="0"/>
              <w:left w:val="single" w:color="auto" w:sz="4" w:space="0"/>
              <w:bottom w:val="single" w:color="auto" w:sz="4" w:space="0"/>
              <w:right w:val="single" w:color="auto" w:sz="4" w:space="0"/>
              <w:tl2br w:val="nil"/>
              <w:tr2bl w:val="nil"/>
            </w:tcBorders>
            <w:vAlign w:val="center"/>
          </w:tcPr>
          <w:p>
            <w:pPr>
              <w:rPr>
                <w:szCs w:val="21"/>
              </w:rPr>
            </w:pPr>
            <w:r>
              <w:rPr>
                <w:szCs w:val="21"/>
              </w:rPr>
              <w:t>5</w:t>
            </w:r>
            <w:r>
              <w:rPr>
                <w:rFonts w:hint="eastAsia" w:ascii="宋体" w:hAnsi="宋体"/>
                <w:szCs w:val="21"/>
              </w:rPr>
              <w:t>.3合同期内免费为用户部署应用软件及调试给予必要的技术支持，提供超算使用方法培训。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tcBorders>
              <w:left w:val="single" w:color="auto" w:sz="4" w:space="0"/>
              <w:bottom w:val="single" w:color="auto" w:sz="4" w:space="0"/>
              <w:right w:val="single" w:color="auto" w:sz="4" w:space="0"/>
              <w:tl2br w:val="nil"/>
              <w:tr2bl w:val="nil"/>
            </w:tcBorders>
            <w:vAlign w:val="center"/>
          </w:tcPr>
          <w:p>
            <w:pPr>
              <w:spacing w:line="288" w:lineRule="auto"/>
              <w:jc w:val="center"/>
              <w:rPr>
                <w:szCs w:val="21"/>
              </w:rPr>
            </w:pPr>
          </w:p>
        </w:tc>
        <w:tc>
          <w:tcPr>
            <w:tcW w:w="1703" w:type="dxa"/>
            <w:vMerge w:val="continue"/>
            <w:tcBorders>
              <w:left w:val="single" w:color="auto" w:sz="4" w:space="0"/>
              <w:bottom w:val="single" w:color="auto" w:sz="4" w:space="0"/>
              <w:right w:val="single" w:color="auto" w:sz="4" w:space="0"/>
              <w:tl2br w:val="nil"/>
              <w:tr2bl w:val="nil"/>
            </w:tcBorders>
            <w:vAlign w:val="center"/>
          </w:tcPr>
          <w:p>
            <w:pPr>
              <w:rPr>
                <w:szCs w:val="21"/>
              </w:rPr>
            </w:pPr>
          </w:p>
        </w:tc>
        <w:tc>
          <w:tcPr>
            <w:tcW w:w="600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szCs w:val="21"/>
              </w:rPr>
            </w:pPr>
            <w:r>
              <w:rPr>
                <w:szCs w:val="21"/>
              </w:rPr>
              <w:t>5</w:t>
            </w:r>
            <w:r>
              <w:rPr>
                <w:rFonts w:hint="eastAsia" w:ascii="宋体" w:hAnsi="宋体"/>
                <w:szCs w:val="21"/>
              </w:rPr>
              <w:t>.4合同期内免费提供周期报表和机时消费账单，可定制周报、月报、年报等各类使用报告。</w:t>
            </w:r>
          </w:p>
        </w:tc>
      </w:tr>
    </w:tbl>
    <w:p>
      <w:pPr>
        <w:keepNext/>
        <w:keepLines/>
        <w:spacing w:line="360" w:lineRule="auto"/>
        <w:outlineLvl w:val="3"/>
        <w:rPr>
          <w:b/>
          <w:bCs/>
          <w:sz w:val="24"/>
        </w:rPr>
      </w:pPr>
      <w:r>
        <w:rPr>
          <w:b/>
          <w:bCs/>
          <w:sz w:val="24"/>
        </w:rPr>
        <w:t>2. 安装、调试、及</w:t>
      </w:r>
      <w:r>
        <w:rPr>
          <w:rFonts w:hint="eastAsia"/>
          <w:b/>
          <w:bCs/>
          <w:sz w:val="24"/>
        </w:rPr>
        <w:t>培训</w:t>
      </w:r>
      <w:r>
        <w:rPr>
          <w:b/>
          <w:bCs/>
          <w:sz w:val="24"/>
        </w:rPr>
        <w:t xml:space="preserve"> </w:t>
      </w:r>
    </w:p>
    <w:p>
      <w:pPr>
        <w:spacing w:line="360" w:lineRule="auto"/>
        <w:ind w:firstLine="480" w:firstLineChars="200"/>
        <w:rPr>
          <w:sz w:val="24"/>
        </w:rPr>
      </w:pPr>
      <w:r>
        <w:rPr>
          <w:sz w:val="24"/>
        </w:rPr>
        <w:t>2.1安装</w:t>
      </w:r>
      <w:r>
        <w:rPr>
          <w:rFonts w:hint="eastAsia"/>
          <w:sz w:val="24"/>
        </w:rPr>
        <w:t>及</w:t>
      </w:r>
      <w:r>
        <w:rPr>
          <w:sz w:val="24"/>
        </w:rPr>
        <w:t>调试</w:t>
      </w:r>
    </w:p>
    <w:p>
      <w:pPr>
        <w:spacing w:line="360" w:lineRule="auto"/>
        <w:ind w:firstLine="480" w:firstLineChars="200"/>
        <w:rPr>
          <w:sz w:val="24"/>
        </w:rPr>
      </w:pPr>
      <w:r>
        <w:rPr>
          <w:rFonts w:hint="eastAsia"/>
          <w:sz w:val="24"/>
        </w:rPr>
        <w:t>在开通测试账户后，安排相关工作人员就计算需要的软件进行安装，并在安装完成后，协助进行调试，确保软件包安装无误，符合使用要求；</w:t>
      </w:r>
    </w:p>
    <w:p>
      <w:pPr>
        <w:spacing w:line="360" w:lineRule="auto"/>
        <w:ind w:firstLine="480" w:firstLineChars="200"/>
        <w:rPr>
          <w:sz w:val="24"/>
        </w:rPr>
      </w:pPr>
      <w:r>
        <w:rPr>
          <w:sz w:val="24"/>
        </w:rPr>
        <w:t>2.2人员培训（操作、维护等）</w:t>
      </w:r>
    </w:p>
    <w:p>
      <w:pPr>
        <w:spacing w:line="360" w:lineRule="auto"/>
        <w:ind w:firstLine="480" w:firstLineChars="200"/>
        <w:rPr>
          <w:sz w:val="24"/>
        </w:rPr>
      </w:pPr>
      <w:r>
        <w:rPr>
          <w:rFonts w:hint="eastAsia"/>
          <w:sz w:val="24"/>
        </w:rPr>
        <w:t>在软件安装、调试过程中，可以按照需要安排相关工作人员就计算资源的使用</w:t>
      </w:r>
      <w:r>
        <w:rPr>
          <w:sz w:val="24"/>
        </w:rPr>
        <w:t>及维护对</w:t>
      </w:r>
      <w:r>
        <w:rPr>
          <w:rFonts w:hint="eastAsia"/>
          <w:sz w:val="24"/>
        </w:rPr>
        <w:t>使用人员</w:t>
      </w:r>
      <w:r>
        <w:rPr>
          <w:sz w:val="24"/>
        </w:rPr>
        <w:t>进行现场培训</w:t>
      </w:r>
      <w:r>
        <w:rPr>
          <w:rFonts w:hint="eastAsia"/>
          <w:sz w:val="24"/>
        </w:rPr>
        <w:t>，直</w:t>
      </w:r>
      <w:r>
        <w:rPr>
          <w:sz w:val="24"/>
        </w:rPr>
        <w:t>至</w:t>
      </w:r>
      <w:r>
        <w:rPr>
          <w:rFonts w:hint="eastAsia"/>
          <w:sz w:val="24"/>
        </w:rPr>
        <w:t>使用方</w:t>
      </w:r>
      <w:r>
        <w:rPr>
          <w:sz w:val="24"/>
        </w:rPr>
        <w:t>能够独立掌握</w:t>
      </w:r>
      <w:r>
        <w:rPr>
          <w:rFonts w:hint="eastAsia"/>
          <w:sz w:val="24"/>
        </w:rPr>
        <w:t>。</w:t>
      </w:r>
    </w:p>
    <w:p>
      <w:pPr>
        <w:keepNext/>
        <w:keepLines/>
        <w:spacing w:line="360" w:lineRule="auto"/>
        <w:outlineLvl w:val="3"/>
        <w:rPr>
          <w:b/>
          <w:bCs/>
          <w:sz w:val="24"/>
        </w:rPr>
      </w:pPr>
      <w:r>
        <w:rPr>
          <w:b/>
          <w:bCs/>
          <w:sz w:val="24"/>
        </w:rPr>
        <w:t>3. 售后技术服务</w:t>
      </w:r>
    </w:p>
    <w:p>
      <w:pPr>
        <w:spacing w:line="360" w:lineRule="auto"/>
        <w:ind w:firstLine="480" w:firstLineChars="200"/>
        <w:rPr>
          <w:sz w:val="24"/>
        </w:rPr>
      </w:pPr>
      <w:r>
        <w:rPr>
          <w:sz w:val="24"/>
        </w:rPr>
        <w:t>3.1软件升级</w:t>
      </w:r>
    </w:p>
    <w:p>
      <w:pPr>
        <w:spacing w:line="360" w:lineRule="auto"/>
        <w:ind w:firstLine="480" w:firstLineChars="200"/>
        <w:rPr>
          <w:sz w:val="24"/>
        </w:rPr>
      </w:pPr>
      <w:r>
        <w:rPr>
          <w:sz w:val="24"/>
        </w:rPr>
        <w:t>在硬件支持的前提下，应用软件免费升级</w:t>
      </w:r>
      <w:r>
        <w:rPr>
          <w:rFonts w:hint="eastAsia"/>
          <w:sz w:val="24"/>
        </w:rPr>
        <w:t>。</w:t>
      </w:r>
    </w:p>
    <w:p>
      <w:pPr>
        <w:spacing w:line="360" w:lineRule="auto"/>
        <w:ind w:firstLine="480" w:firstLineChars="200"/>
        <w:rPr>
          <w:sz w:val="24"/>
        </w:rPr>
      </w:pPr>
      <w:r>
        <w:rPr>
          <w:sz w:val="24"/>
        </w:rPr>
        <w:t>3.2</w:t>
      </w:r>
      <w:r>
        <w:rPr>
          <w:rFonts w:hint="eastAsia"/>
          <w:sz w:val="24"/>
        </w:rPr>
        <w:t>维护</w:t>
      </w:r>
      <w:r>
        <w:rPr>
          <w:sz w:val="24"/>
        </w:rPr>
        <w:t>响应时间</w:t>
      </w:r>
    </w:p>
    <w:p>
      <w:pPr>
        <w:spacing w:line="360" w:lineRule="auto"/>
        <w:ind w:firstLine="480" w:firstLineChars="200"/>
        <w:rPr>
          <w:sz w:val="24"/>
        </w:rPr>
      </w:pPr>
      <w:r>
        <w:rPr>
          <w:sz w:val="24"/>
        </w:rPr>
        <w:t>在4小时内对用户的服务要求做出响应，一般问题应在48小时内解决故障，重大问题或其他一时无法迅速解决的问题应在3天内解决或提出明确、可行的解决方法或方案</w:t>
      </w:r>
      <w:r>
        <w:rPr>
          <w:rFonts w:hint="eastAsia"/>
          <w:sz w:val="24"/>
        </w:rPr>
        <w:t>。</w:t>
      </w:r>
    </w:p>
    <w:p>
      <w:pPr>
        <w:spacing w:line="360" w:lineRule="auto"/>
        <w:ind w:firstLine="480" w:firstLineChars="200"/>
        <w:rPr>
          <w:sz w:val="24"/>
        </w:rPr>
      </w:pPr>
      <w:r>
        <w:rPr>
          <w:sz w:val="24"/>
        </w:rPr>
        <w:t>3.3 投标产品市场基础</w:t>
      </w:r>
    </w:p>
    <w:p>
      <w:pPr>
        <w:spacing w:line="360" w:lineRule="auto"/>
        <w:ind w:firstLine="480" w:firstLineChars="200"/>
        <w:rPr>
          <w:sz w:val="24"/>
        </w:rPr>
      </w:pPr>
      <w:r>
        <w:rPr>
          <w:sz w:val="24"/>
        </w:rPr>
        <w:t>本次招标所有技术指标必须以官方网站以及产品</w:t>
      </w:r>
      <w:r>
        <w:rPr>
          <w:rFonts w:hint="eastAsia"/>
          <w:sz w:val="24"/>
        </w:rPr>
        <w:t>说明</w:t>
      </w:r>
      <w:r>
        <w:rPr>
          <w:sz w:val="24"/>
        </w:rPr>
        <w:t>为准。</w:t>
      </w:r>
    </w:p>
    <w:p>
      <w:pPr>
        <w:spacing w:line="360" w:lineRule="auto"/>
        <w:ind w:firstLine="480" w:firstLineChars="200"/>
        <w:rPr>
          <w:sz w:val="24"/>
        </w:rPr>
      </w:pPr>
      <w:r>
        <w:rPr>
          <w:sz w:val="24"/>
        </w:rPr>
        <w:t>3.4 资料</w:t>
      </w:r>
    </w:p>
    <w:p>
      <w:pPr>
        <w:spacing w:line="360" w:lineRule="auto"/>
        <w:ind w:firstLine="480" w:firstLineChars="200"/>
        <w:rPr>
          <w:sz w:val="24"/>
        </w:rPr>
      </w:pPr>
      <w:r>
        <w:rPr>
          <w:sz w:val="24"/>
        </w:rPr>
        <w:t>供应商能够提供的全部技术资料，随</w:t>
      </w:r>
      <w:r>
        <w:rPr>
          <w:rFonts w:hint="eastAsia"/>
          <w:sz w:val="24"/>
        </w:rPr>
        <w:t>时</w:t>
      </w:r>
      <w:r>
        <w:rPr>
          <w:sz w:val="24"/>
        </w:rPr>
        <w:t>提供产品使用</w:t>
      </w:r>
      <w:r>
        <w:rPr>
          <w:rFonts w:hint="eastAsia"/>
          <w:sz w:val="24"/>
        </w:rPr>
        <w:t>手册和其他相关文件</w:t>
      </w:r>
      <w:r>
        <w:rPr>
          <w:sz w:val="24"/>
        </w:rPr>
        <w:t>。</w:t>
      </w:r>
    </w:p>
    <w:p>
      <w:pPr>
        <w:widowControl/>
        <w:jc w:val="left"/>
        <w:rPr>
          <w:rFonts w:hAnsi="宋体"/>
          <w:b/>
          <w:sz w:val="28"/>
          <w:szCs w:val="28"/>
        </w:rPr>
      </w:pPr>
      <w:bookmarkStart w:id="7" w:name="_Toc462564147"/>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36"/>
          <w:szCs w:val="36"/>
        </w:rPr>
      </w:pPr>
      <w:r>
        <w:rPr>
          <w:rFonts w:hAnsi="宋体"/>
          <w:b/>
          <w:sz w:val="28"/>
          <w:szCs w:val="28"/>
        </w:rPr>
        <w:br w:type="page"/>
      </w: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8"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w:t>
      </w:r>
      <w:r>
        <w:rPr>
          <w:rFonts w:hint="eastAsia" w:ascii="宋体" w:hAnsi="宋体"/>
          <w:sz w:val="24"/>
          <w:u w:val="single"/>
          <w:lang w:val="zh-CN"/>
        </w:rPr>
        <w:t xml:space="preserve">                   </w:t>
      </w:r>
      <w:r>
        <w:rPr>
          <w:rFonts w:hint="eastAsia" w:ascii="宋体" w:hAnsi="宋体"/>
          <w:sz w:val="24"/>
          <w:lang w:val="zh-CN"/>
        </w:rPr>
        <w:t>（项目名称）</w:t>
      </w:r>
      <w:r>
        <w:rPr>
          <w:rFonts w:hint="eastAsia" w:ascii="宋体" w:hAnsi="宋体"/>
          <w:b/>
          <w:sz w:val="24"/>
          <w:u w:val="single"/>
          <w:lang w:val="zh-CN"/>
        </w:rPr>
        <w:t xml:space="preserve">        </w:t>
      </w:r>
      <w:r>
        <w:rPr>
          <w:rFonts w:hint="eastAsia" w:ascii="宋体" w:hAnsi="宋体"/>
          <w:sz w:val="24"/>
          <w:lang w:val="zh-CN"/>
        </w:rPr>
        <w:t>（项目编号）投标邀请，正式授权下述签字人</w:t>
      </w:r>
      <w:r>
        <w:rPr>
          <w:rFonts w:hint="eastAsia" w:ascii="宋体" w:hAnsi="宋体"/>
          <w:sz w:val="24"/>
          <w:u w:val="single"/>
          <w:lang w:val="zh-CN"/>
        </w:rPr>
        <w:t xml:space="preserve">        </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 xml:space="preserve">代表投标人 </w:t>
      </w:r>
      <w:r>
        <w:rPr>
          <w:rFonts w:hint="eastAsia" w:ascii="宋体" w:hAnsi="宋体"/>
          <w:sz w:val="24"/>
          <w:u w:val="single"/>
          <w:lang w:val="zh-CN"/>
        </w:rPr>
        <w:t xml:space="preserve">        </w:t>
      </w:r>
      <w:r>
        <w:rPr>
          <w:rFonts w:hint="eastAsia" w:ascii="宋体" w:hAnsi="宋体"/>
          <w:sz w:val="24"/>
          <w:lang w:val="zh-CN"/>
        </w:rPr>
        <w:t>（投标人名称），提交投标文件。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按招标要求，我们的投标总报价为：计算机时费</w:t>
      </w:r>
      <w:r>
        <w:rPr>
          <w:rFonts w:hint="eastAsia" w:ascii="宋体" w:hAnsi="宋体"/>
          <w:sz w:val="24"/>
          <w:u w:val="single"/>
          <w:lang w:val="zh-CN"/>
        </w:rPr>
        <w:tab/>
      </w:r>
      <w:r>
        <w:rPr>
          <w:rFonts w:hint="eastAsia" w:ascii="宋体" w:hAnsi="宋体"/>
          <w:sz w:val="24"/>
          <w:u w:val="single"/>
          <w:lang w:val="zh-CN"/>
        </w:rPr>
        <w:tab/>
      </w:r>
      <w:r>
        <w:rPr>
          <w:rFonts w:hint="eastAsia" w:ascii="宋体" w:hAnsi="宋体"/>
          <w:sz w:val="24"/>
          <w:lang w:val="zh-CN"/>
        </w:rPr>
        <w:t>元/核•小时；存储租用费</w:t>
      </w:r>
      <w:r>
        <w:rPr>
          <w:rFonts w:hint="eastAsia" w:ascii="宋体" w:hAnsi="宋体"/>
          <w:sz w:val="24"/>
          <w:u w:val="single"/>
          <w:lang w:val="zh-CN"/>
        </w:rPr>
        <w:tab/>
      </w:r>
      <w:r>
        <w:rPr>
          <w:rFonts w:hint="eastAsia" w:ascii="宋体" w:hAnsi="宋体"/>
          <w:sz w:val="24"/>
          <w:u w:val="single"/>
          <w:lang w:val="zh-CN"/>
        </w:rPr>
        <w:tab/>
      </w:r>
      <w:r>
        <w:rPr>
          <w:rFonts w:hint="eastAsia" w:ascii="宋体" w:hAnsi="宋体"/>
          <w:sz w:val="24"/>
          <w:lang w:val="zh-CN"/>
        </w:rPr>
        <w:t>元/TB•年；每个用户免费存储空间</w:t>
      </w:r>
      <w:r>
        <w:rPr>
          <w:rFonts w:hint="eastAsia" w:ascii="宋体" w:hAnsi="宋体"/>
          <w:sz w:val="24"/>
          <w:u w:val="single"/>
          <w:lang w:val="zh-CN"/>
        </w:rPr>
        <w:tab/>
      </w:r>
      <w:r>
        <w:rPr>
          <w:rFonts w:hint="eastAsia" w:ascii="宋体" w:hAnsi="宋体"/>
          <w:sz w:val="24"/>
          <w:u w:val="single"/>
          <w:lang w:val="zh-CN"/>
        </w:rPr>
        <w:tab/>
      </w:r>
      <w:r>
        <w:rPr>
          <w:rFonts w:hint="eastAsia" w:ascii="宋体" w:hAnsi="宋体"/>
          <w:sz w:val="24"/>
          <w:lang w:val="zh-CN"/>
        </w:rPr>
        <w:t>GB。</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hint="eastAsia" w:ascii="宋体" w:hAnsi="宋体"/>
          <w:sz w:val="24"/>
          <w:u w:val="single"/>
          <w:lang w:val="zh-CN"/>
        </w:rPr>
        <w:t xml:space="preserve">         </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r>
        <w:rPr>
          <w:rFonts w:hint="eastAsia" w:ascii="宋体" w:hAnsi="宋体"/>
          <w:sz w:val="24"/>
          <w:u w:val="single"/>
          <w:lang w:val="zh-CN"/>
        </w:rPr>
        <w:t xml:space="preserve">         </w:t>
      </w:r>
      <w:r>
        <w:rPr>
          <w:rFonts w:hint="eastAsia" w:ascii="宋体" w:hAnsi="宋体"/>
          <w:sz w:val="24"/>
          <w:lang w:val="zh-CN"/>
        </w:rPr>
        <w:t>。</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p>
    <w:p>
      <w:pPr>
        <w:spacing w:line="360" w:lineRule="auto"/>
        <w:jc w:val="center"/>
        <w:rPr>
          <w:rFonts w:ascii="宋体"/>
          <w:sz w:val="44"/>
          <w:szCs w:val="44"/>
        </w:rPr>
      </w:pPr>
      <w:r>
        <w:rPr>
          <w:rFonts w:hint="eastAsia" w:ascii="宋体" w:hAnsi="宋体"/>
          <w:sz w:val="44"/>
          <w:szCs w:val="44"/>
        </w:rPr>
        <w:t>投标项目报价明细表</w:t>
      </w:r>
    </w:p>
    <w:p>
      <w:pPr>
        <w:spacing w:line="360" w:lineRule="auto"/>
        <w:rPr>
          <w:rFonts w:ascii="宋体"/>
          <w:sz w:val="28"/>
          <w:szCs w:val="28"/>
          <w:u w:val="single"/>
        </w:rPr>
      </w:pPr>
      <w:r>
        <w:rPr>
          <w:rFonts w:hint="eastAsia" w:ascii="宋体" w:hAnsi="宋体"/>
          <w:sz w:val="28"/>
          <w:szCs w:val="28"/>
        </w:rPr>
        <w:t>投标人</w:t>
      </w:r>
      <w:r>
        <w:rPr>
          <w:rFonts w:ascii="宋体" w:hAnsi="宋体"/>
          <w:sz w:val="28"/>
          <w:szCs w:val="28"/>
        </w:rPr>
        <w:t xml:space="preserve"> </w:t>
      </w:r>
    </w:p>
    <w:p>
      <w:pPr>
        <w:spacing w:line="360" w:lineRule="auto"/>
        <w:rPr>
          <w:rFonts w:ascii="宋体"/>
          <w:sz w:val="28"/>
          <w:szCs w:val="28"/>
          <w:u w:val="single"/>
        </w:rPr>
      </w:pPr>
      <w:r>
        <w:rPr>
          <w:rFonts w:hint="eastAsia" w:ascii="宋体" w:hAnsi="宋体"/>
          <w:sz w:val="28"/>
          <w:szCs w:val="28"/>
        </w:rPr>
        <w:t>招标编号及分包号</w:t>
      </w:r>
      <w:r>
        <w:rPr>
          <w:rFonts w:ascii="宋体" w:hAnsi="宋体"/>
          <w:sz w:val="28"/>
          <w:szCs w:val="28"/>
        </w:rPr>
        <w:t xml:space="preserve"> </w:t>
      </w:r>
    </w:p>
    <w:p>
      <w:pPr>
        <w:spacing w:line="360" w:lineRule="auto"/>
        <w:rPr>
          <w:rFonts w:ascii="宋体"/>
          <w:sz w:val="28"/>
          <w:szCs w:val="28"/>
          <w:u w:val="single"/>
        </w:rPr>
      </w:pPr>
      <w:r>
        <w:rPr>
          <w:rFonts w:hint="eastAsia" w:ascii="宋体" w:hAnsi="宋体"/>
          <w:sz w:val="28"/>
          <w:szCs w:val="28"/>
        </w:rPr>
        <w:t>投标报价</w:t>
      </w:r>
      <w:r>
        <w:rPr>
          <w:rFonts w:ascii="宋体" w:hAnsi="宋体"/>
          <w:sz w:val="28"/>
          <w:szCs w:val="28"/>
        </w:rPr>
        <w:t xml:space="preserve"> </w:t>
      </w:r>
      <w:r>
        <w:rPr>
          <w:rFonts w:hint="eastAsia" w:ascii="宋体" w:hAnsi="宋体"/>
          <w:sz w:val="28"/>
          <w:szCs w:val="28"/>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3188"/>
        <w:gridCol w:w="106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tcPr>
          <w:p>
            <w:pPr>
              <w:spacing w:line="360" w:lineRule="auto"/>
              <w:jc w:val="center"/>
              <w:rPr>
                <w:b/>
                <w:bCs/>
                <w:szCs w:val="21"/>
              </w:rPr>
            </w:pPr>
            <w:r>
              <w:rPr>
                <w:rFonts w:hint="eastAsia"/>
                <w:b/>
                <w:bCs/>
                <w:szCs w:val="21"/>
              </w:rPr>
              <w:t>序号</w:t>
            </w:r>
          </w:p>
        </w:tc>
        <w:tc>
          <w:tcPr>
            <w:tcW w:w="3188" w:type="dxa"/>
          </w:tcPr>
          <w:p>
            <w:pPr>
              <w:spacing w:line="360" w:lineRule="auto"/>
              <w:jc w:val="center"/>
              <w:rPr>
                <w:b/>
                <w:bCs/>
                <w:szCs w:val="21"/>
              </w:rPr>
            </w:pPr>
            <w:r>
              <w:rPr>
                <w:rFonts w:hint="eastAsia"/>
                <w:b/>
                <w:bCs/>
                <w:szCs w:val="21"/>
              </w:rPr>
              <w:t>货物名称</w:t>
            </w:r>
          </w:p>
        </w:tc>
        <w:tc>
          <w:tcPr>
            <w:tcW w:w="1063" w:type="dxa"/>
          </w:tcPr>
          <w:p>
            <w:pPr>
              <w:spacing w:line="360" w:lineRule="auto"/>
              <w:jc w:val="center"/>
              <w:rPr>
                <w:b/>
                <w:bCs/>
                <w:szCs w:val="21"/>
              </w:rPr>
            </w:pPr>
            <w:r>
              <w:rPr>
                <w:rFonts w:hint="eastAsia"/>
                <w:b/>
                <w:bCs/>
                <w:szCs w:val="21"/>
              </w:rPr>
              <w:t>单价</w:t>
            </w:r>
          </w:p>
        </w:tc>
        <w:tc>
          <w:tcPr>
            <w:tcW w:w="1275" w:type="dxa"/>
          </w:tcPr>
          <w:p>
            <w:pPr>
              <w:spacing w:line="360" w:lineRule="auto"/>
              <w:jc w:val="center"/>
              <w:rPr>
                <w:b/>
                <w:bCs/>
                <w:szCs w:val="21"/>
              </w:rPr>
            </w:pPr>
            <w:r>
              <w:rPr>
                <w:rFonts w:hint="eastAsia"/>
                <w:b/>
                <w:bCs/>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tcPr>
          <w:p>
            <w:pPr>
              <w:spacing w:line="360" w:lineRule="auto"/>
              <w:jc w:val="center"/>
              <w:rPr>
                <w:b/>
                <w:bCs/>
                <w:szCs w:val="21"/>
              </w:rPr>
            </w:pPr>
            <w:r>
              <w:rPr>
                <w:rFonts w:hint="eastAsia"/>
                <w:b/>
                <w:bCs/>
                <w:szCs w:val="21"/>
              </w:rPr>
              <w:t>1</w:t>
            </w:r>
          </w:p>
        </w:tc>
        <w:tc>
          <w:tcPr>
            <w:tcW w:w="3188" w:type="dxa"/>
          </w:tcPr>
          <w:p>
            <w:pPr>
              <w:spacing w:line="360" w:lineRule="auto"/>
              <w:jc w:val="center"/>
              <w:rPr>
                <w:bCs/>
                <w:szCs w:val="21"/>
              </w:rPr>
            </w:pPr>
            <w:r>
              <w:rPr>
                <w:rFonts w:hint="eastAsia"/>
                <w:bCs/>
                <w:szCs w:val="21"/>
              </w:rPr>
              <w:t>计算机时费</w:t>
            </w:r>
          </w:p>
        </w:tc>
        <w:tc>
          <w:tcPr>
            <w:tcW w:w="1063" w:type="dxa"/>
          </w:tcPr>
          <w:p>
            <w:pPr>
              <w:spacing w:line="360" w:lineRule="auto"/>
              <w:jc w:val="center"/>
              <w:rPr>
                <w:bCs/>
                <w:szCs w:val="21"/>
              </w:rPr>
            </w:pPr>
          </w:p>
        </w:tc>
        <w:tc>
          <w:tcPr>
            <w:tcW w:w="1275" w:type="dxa"/>
          </w:tcPr>
          <w:p>
            <w:pPr>
              <w:spacing w:line="360" w:lineRule="auto"/>
              <w:jc w:val="center"/>
              <w:rPr>
                <w:bCs/>
                <w:szCs w:val="21"/>
              </w:rPr>
            </w:pPr>
            <w:r>
              <w:rPr>
                <w:rFonts w:hint="eastAsia"/>
                <w:szCs w:val="21"/>
              </w:rPr>
              <w:t>元/核</w:t>
            </w:r>
            <w:r>
              <w:rPr>
                <w:rFonts w:hint="eastAsia" w:ascii="宋体" w:hAnsi="宋体"/>
                <w:szCs w:val="21"/>
              </w:rPr>
              <w:t>·</w:t>
            </w:r>
            <w:r>
              <w:rPr>
                <w:szCs w:val="21"/>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tcPr>
          <w:p>
            <w:pPr>
              <w:spacing w:line="360" w:lineRule="auto"/>
              <w:jc w:val="center"/>
              <w:rPr>
                <w:b/>
                <w:bCs/>
                <w:szCs w:val="21"/>
              </w:rPr>
            </w:pPr>
            <w:r>
              <w:rPr>
                <w:rFonts w:hint="eastAsia"/>
                <w:b/>
                <w:bCs/>
                <w:szCs w:val="21"/>
              </w:rPr>
              <w:t>2</w:t>
            </w:r>
          </w:p>
        </w:tc>
        <w:tc>
          <w:tcPr>
            <w:tcW w:w="3188" w:type="dxa"/>
          </w:tcPr>
          <w:p>
            <w:pPr>
              <w:spacing w:line="360" w:lineRule="auto"/>
              <w:jc w:val="center"/>
              <w:rPr>
                <w:bCs/>
                <w:szCs w:val="21"/>
              </w:rPr>
            </w:pPr>
            <w:r>
              <w:rPr>
                <w:rFonts w:hint="eastAsia"/>
                <w:bCs/>
                <w:szCs w:val="21"/>
              </w:rPr>
              <w:t>存储租用费</w:t>
            </w:r>
          </w:p>
        </w:tc>
        <w:tc>
          <w:tcPr>
            <w:tcW w:w="1063" w:type="dxa"/>
          </w:tcPr>
          <w:p>
            <w:pPr>
              <w:spacing w:line="360" w:lineRule="auto"/>
              <w:jc w:val="center"/>
              <w:rPr>
                <w:bCs/>
                <w:szCs w:val="21"/>
              </w:rPr>
            </w:pPr>
          </w:p>
        </w:tc>
        <w:tc>
          <w:tcPr>
            <w:tcW w:w="1275" w:type="dxa"/>
          </w:tcPr>
          <w:p>
            <w:pPr>
              <w:spacing w:line="360" w:lineRule="auto"/>
              <w:jc w:val="center"/>
              <w:rPr>
                <w:bCs/>
                <w:szCs w:val="21"/>
              </w:rPr>
            </w:pPr>
            <w:r>
              <w:rPr>
                <w:rFonts w:hint="eastAsia"/>
                <w:szCs w:val="21"/>
              </w:rPr>
              <w:t>元/TB</w:t>
            </w:r>
            <w:r>
              <w:rPr>
                <w:rFonts w:hint="eastAsia" w:ascii="宋体" w:hAnsi="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tcPr>
          <w:p>
            <w:pPr>
              <w:spacing w:line="360" w:lineRule="auto"/>
              <w:jc w:val="center"/>
              <w:rPr>
                <w:b/>
                <w:bCs/>
                <w:szCs w:val="21"/>
              </w:rPr>
            </w:pPr>
            <w:r>
              <w:rPr>
                <w:rFonts w:hint="eastAsia"/>
                <w:b/>
                <w:bCs/>
                <w:szCs w:val="21"/>
              </w:rPr>
              <w:t>3</w:t>
            </w:r>
          </w:p>
        </w:tc>
        <w:tc>
          <w:tcPr>
            <w:tcW w:w="3188" w:type="dxa"/>
          </w:tcPr>
          <w:p>
            <w:pPr>
              <w:spacing w:line="360" w:lineRule="auto"/>
              <w:jc w:val="center"/>
              <w:rPr>
                <w:bCs/>
                <w:szCs w:val="21"/>
              </w:rPr>
            </w:pPr>
            <w:r>
              <w:rPr>
                <w:rFonts w:hint="eastAsia"/>
                <w:bCs/>
                <w:szCs w:val="21"/>
              </w:rPr>
              <w:t>每个用户免费存储空间</w:t>
            </w:r>
          </w:p>
        </w:tc>
        <w:tc>
          <w:tcPr>
            <w:tcW w:w="1063" w:type="dxa"/>
          </w:tcPr>
          <w:p>
            <w:pPr>
              <w:spacing w:line="360" w:lineRule="auto"/>
              <w:jc w:val="center"/>
              <w:rPr>
                <w:bCs/>
                <w:szCs w:val="21"/>
              </w:rPr>
            </w:pPr>
          </w:p>
        </w:tc>
        <w:tc>
          <w:tcPr>
            <w:tcW w:w="1275" w:type="dxa"/>
          </w:tcPr>
          <w:p>
            <w:pPr>
              <w:spacing w:line="360" w:lineRule="auto"/>
              <w:jc w:val="center"/>
              <w:rPr>
                <w:bCs/>
                <w:szCs w:val="21"/>
              </w:rPr>
            </w:pPr>
            <w:r>
              <w:rPr>
                <w:rFonts w:hint="eastAsia"/>
                <w:bCs/>
                <w:szCs w:val="21"/>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tcPr>
          <w:p>
            <w:pPr>
              <w:spacing w:line="360" w:lineRule="auto"/>
              <w:jc w:val="center"/>
              <w:rPr>
                <w:b/>
                <w:bCs/>
                <w:strike/>
                <w:szCs w:val="21"/>
              </w:rPr>
            </w:pPr>
            <w:r>
              <w:rPr>
                <w:rFonts w:hint="eastAsia"/>
                <w:b/>
                <w:bCs/>
                <w:strike/>
                <w:szCs w:val="21"/>
              </w:rPr>
              <w:t>4</w:t>
            </w:r>
          </w:p>
        </w:tc>
        <w:tc>
          <w:tcPr>
            <w:tcW w:w="3188" w:type="dxa"/>
          </w:tcPr>
          <w:p>
            <w:pPr>
              <w:spacing w:line="360" w:lineRule="auto"/>
              <w:jc w:val="center"/>
              <w:rPr>
                <w:bCs/>
                <w:szCs w:val="21"/>
              </w:rPr>
            </w:pPr>
            <w:r>
              <w:rPr>
                <w:rFonts w:hint="eastAsia"/>
                <w:bCs/>
                <w:szCs w:val="21"/>
              </w:rPr>
              <w:t>服务期三年</w:t>
            </w:r>
          </w:p>
        </w:tc>
        <w:tc>
          <w:tcPr>
            <w:tcW w:w="1063" w:type="dxa"/>
          </w:tcPr>
          <w:p>
            <w:pPr>
              <w:spacing w:line="360" w:lineRule="auto"/>
              <w:jc w:val="center"/>
              <w:rPr>
                <w:bCs/>
                <w:strike/>
                <w:szCs w:val="21"/>
              </w:rPr>
            </w:pPr>
          </w:p>
        </w:tc>
        <w:tc>
          <w:tcPr>
            <w:tcW w:w="1275" w:type="dxa"/>
          </w:tcPr>
          <w:p>
            <w:pPr>
              <w:spacing w:line="360" w:lineRule="auto"/>
              <w:jc w:val="center"/>
              <w:rPr>
                <w:bCs/>
                <w:strike/>
                <w:szCs w:val="21"/>
              </w:rPr>
            </w:pPr>
          </w:p>
        </w:tc>
      </w:tr>
    </w:tbl>
    <w:p>
      <w:pPr>
        <w:spacing w:line="360" w:lineRule="auto"/>
        <w:rPr>
          <w:rFonts w:ascii="宋体"/>
          <w:sz w:val="28"/>
          <w:szCs w:val="28"/>
        </w:rPr>
      </w:pPr>
      <w:r>
        <w:rPr>
          <w:rFonts w:hint="eastAsia" w:ascii="宋体" w:hAnsi="宋体"/>
          <w:sz w:val="28"/>
          <w:szCs w:val="28"/>
        </w:rPr>
        <w:t>（可续页）</w:t>
      </w:r>
    </w:p>
    <w:p>
      <w:pPr>
        <w:spacing w:line="360" w:lineRule="auto"/>
        <w:rPr>
          <w:rFonts w:ascii="宋体"/>
          <w:sz w:val="28"/>
          <w:szCs w:val="28"/>
        </w:rPr>
      </w:pPr>
    </w:p>
    <w:p>
      <w:pPr>
        <w:spacing w:line="360" w:lineRule="auto"/>
        <w:rPr>
          <w:rFonts w:ascii="宋体"/>
          <w:sz w:val="28"/>
          <w:szCs w:val="28"/>
          <w:u w:val="single"/>
        </w:rPr>
      </w:pPr>
      <w:r>
        <w:rPr>
          <w:rFonts w:ascii="宋体" w:hAnsi="宋体"/>
          <w:sz w:val="28"/>
          <w:szCs w:val="28"/>
        </w:rPr>
        <w:t xml:space="preserve">                                      </w:t>
      </w:r>
      <w:r>
        <w:rPr>
          <w:rFonts w:hint="eastAsia" w:ascii="宋体" w:hAnsi="宋体"/>
          <w:sz w:val="28"/>
          <w:szCs w:val="28"/>
        </w:rPr>
        <w:t>单位盖章：</w:t>
      </w:r>
    </w:p>
    <w:p>
      <w:pPr>
        <w:spacing w:line="360" w:lineRule="auto"/>
        <w:rPr>
          <w:rFonts w:ascii="宋体"/>
          <w:sz w:val="28"/>
          <w:szCs w:val="28"/>
          <w:u w:val="single"/>
        </w:rPr>
      </w:pPr>
      <w:r>
        <w:rPr>
          <w:rFonts w:ascii="宋体" w:hAnsi="宋体"/>
          <w:sz w:val="28"/>
          <w:szCs w:val="28"/>
        </w:rPr>
        <w:t xml:space="preserve">                                      </w:t>
      </w:r>
      <w:r>
        <w:rPr>
          <w:rFonts w:hint="eastAsia" w:ascii="宋体" w:hAnsi="宋体"/>
          <w:sz w:val="28"/>
          <w:szCs w:val="28"/>
        </w:rPr>
        <w:t>授权代表签字：</w:t>
      </w:r>
      <w:r>
        <w:rPr>
          <w:rFonts w:ascii="宋体" w:hAnsi="宋体"/>
          <w:sz w:val="28"/>
          <w:szCs w:val="28"/>
        </w:rPr>
        <w:t xml:space="preserve"> </w:t>
      </w:r>
    </w:p>
    <w:p>
      <w:pPr>
        <w:spacing w:line="360" w:lineRule="auto"/>
        <w:rPr>
          <w:rFonts w:ascii="宋体"/>
          <w:sz w:val="28"/>
          <w:szCs w:val="28"/>
        </w:rPr>
      </w:pPr>
    </w:p>
    <w:p>
      <w:pPr>
        <w:spacing w:line="360" w:lineRule="auto"/>
        <w:rPr>
          <w:rFonts w:ascii="宋体"/>
          <w:sz w:val="28"/>
          <w:szCs w:val="28"/>
        </w:rPr>
      </w:pP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jc w:val="left"/>
        <w:rPr>
          <w:b/>
          <w:sz w:val="28"/>
          <w:szCs w:val="28"/>
        </w:rPr>
      </w:pPr>
    </w:p>
    <w:bookmarkEnd w:id="7"/>
    <w:bookmarkEnd w:id="8"/>
    <w:p>
      <w:pPr>
        <w:widowControl/>
        <w:jc w:val="left"/>
        <w:rPr>
          <w:rFonts w:ascii="宋体" w:cs="仿宋"/>
          <w:b/>
          <w:bCs/>
          <w:sz w:val="28"/>
          <w:szCs w:val="28"/>
        </w:rPr>
      </w:pPr>
    </w:p>
    <w:p>
      <w:pPr>
        <w:widowControl/>
        <w:jc w:val="left"/>
        <w:rPr>
          <w:rFonts w:ascii="宋体" w:cs="仿宋"/>
          <w:b/>
          <w:bCs/>
          <w:sz w:val="28"/>
          <w:szCs w:val="28"/>
        </w:rPr>
      </w:pPr>
    </w:p>
    <w:p>
      <w:pPr>
        <w:widowControl/>
        <w:jc w:val="left"/>
        <w:rPr>
          <w:rFonts w:ascii="宋体" w:cs="仿宋"/>
          <w:b/>
          <w:bCs/>
          <w:sz w:val="28"/>
          <w:szCs w:val="28"/>
        </w:rPr>
      </w:pPr>
    </w:p>
    <w:p>
      <w:pPr>
        <w:widowControl/>
        <w:jc w:val="left"/>
        <w:rPr>
          <w:rFonts w:ascii="宋体" w:cs="仿宋"/>
          <w:b/>
          <w:bCs/>
          <w:sz w:val="28"/>
          <w:szCs w:val="28"/>
        </w:rPr>
      </w:pPr>
    </w:p>
    <w:p>
      <w:pPr>
        <w:widowControl/>
        <w:jc w:val="left"/>
        <w:rPr>
          <w:rFonts w:ascii="宋体" w:cs="仿宋"/>
          <w:b/>
          <w:bCs/>
          <w:sz w:val="28"/>
          <w:szCs w:val="28"/>
        </w:rPr>
      </w:pPr>
    </w:p>
    <w:p>
      <w:pPr>
        <w:widowControl/>
        <w:jc w:val="left"/>
        <w:rPr>
          <w:rFonts w:ascii="宋体" w:cs="仿宋"/>
          <w:b/>
          <w:bCs/>
          <w:sz w:val="28"/>
          <w:szCs w:val="28"/>
        </w:rPr>
      </w:pPr>
    </w:p>
    <w:p>
      <w:pPr>
        <w:widowControl/>
        <w:jc w:val="left"/>
        <w:rPr>
          <w:rFonts w:ascii="宋体" w:cs="仿宋"/>
          <w:b/>
          <w:bCs/>
          <w:sz w:val="28"/>
          <w:szCs w:val="28"/>
        </w:rPr>
      </w:pPr>
    </w:p>
    <w:p>
      <w:pPr>
        <w:adjustRightInd w:val="0"/>
        <w:snapToGrid w:val="0"/>
        <w:spacing w:line="360" w:lineRule="auto"/>
        <w:rPr>
          <w:rFonts w:ascii="宋体"/>
          <w:sz w:val="24"/>
        </w:rPr>
      </w:pPr>
      <w:r>
        <w:rPr>
          <w:rFonts w:hint="eastAsia" w:ascii="宋体" w:hAnsi="宋体" w:cs="仿宋"/>
          <w:b/>
          <w:bCs/>
          <w:sz w:val="28"/>
          <w:szCs w:val="28"/>
        </w:rPr>
        <w:t>附件4：评标办法:</w:t>
      </w:r>
      <w:r>
        <w:rPr>
          <w:rFonts w:hint="eastAsia" w:ascii="宋体" w:hAnsi="宋体"/>
          <w:sz w:val="24"/>
        </w:rPr>
        <w:t>本项目采用综合评分法，总分为：</w:t>
      </w:r>
      <w:r>
        <w:rPr>
          <w:rFonts w:ascii="宋体" w:hAnsi="宋体"/>
          <w:sz w:val="24"/>
        </w:rPr>
        <w:t>100</w:t>
      </w:r>
      <w:r>
        <w:rPr>
          <w:rFonts w:hint="eastAsia" w:ascii="宋体" w:hAnsi="宋体"/>
          <w:sz w:val="24"/>
        </w:rPr>
        <w:t>分。</w:t>
      </w:r>
    </w:p>
    <w:tbl>
      <w:tblPr>
        <w:tblStyle w:val="15"/>
        <w:tblW w:w="89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4"/>
        <w:gridCol w:w="1125"/>
        <w:gridCol w:w="6219"/>
        <w:gridCol w:w="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612" w:type="dxa"/>
          </w:tcPr>
          <w:p>
            <w:pPr>
              <w:pStyle w:val="4"/>
              <w:kinsoku w:val="0"/>
              <w:overflowPunct w:val="0"/>
              <w:spacing w:before="88"/>
              <w:rPr>
                <w:rFonts w:ascii="宋体" w:hAnsi="宋体" w:cs="宋体"/>
                <w:szCs w:val="21"/>
              </w:rPr>
            </w:pPr>
            <w:r>
              <w:rPr>
                <w:rFonts w:hint="eastAsia" w:ascii="宋体" w:hAnsi="宋体" w:cs="宋体"/>
                <w:szCs w:val="21"/>
              </w:rPr>
              <w:t>序号</w:t>
            </w:r>
          </w:p>
        </w:tc>
        <w:tc>
          <w:tcPr>
            <w:tcW w:w="1134" w:type="dxa"/>
          </w:tcPr>
          <w:p>
            <w:pPr>
              <w:pStyle w:val="4"/>
              <w:kinsoku w:val="0"/>
              <w:overflowPunct w:val="0"/>
              <w:spacing w:before="88"/>
              <w:jc w:val="center"/>
              <w:rPr>
                <w:rFonts w:ascii="宋体" w:hAnsi="宋体" w:cs="宋体"/>
                <w:szCs w:val="21"/>
              </w:rPr>
            </w:pPr>
            <w:r>
              <w:rPr>
                <w:rFonts w:hint="eastAsia" w:ascii="宋体" w:hAnsi="宋体" w:cs="宋体"/>
                <w:szCs w:val="21"/>
              </w:rPr>
              <w:t>评审因素</w:t>
            </w:r>
          </w:p>
        </w:tc>
        <w:tc>
          <w:tcPr>
            <w:tcW w:w="6337" w:type="dxa"/>
          </w:tcPr>
          <w:p>
            <w:pPr>
              <w:pStyle w:val="4"/>
              <w:kinsoku w:val="0"/>
              <w:overflowPunct w:val="0"/>
              <w:spacing w:before="88"/>
              <w:ind w:right="34" w:rightChars="16"/>
              <w:jc w:val="center"/>
              <w:rPr>
                <w:rFonts w:ascii="宋体" w:hAnsi="宋体" w:cs="宋体"/>
                <w:szCs w:val="21"/>
              </w:rPr>
            </w:pPr>
            <w:r>
              <w:rPr>
                <w:rFonts w:hint="eastAsia" w:ascii="宋体" w:hAnsi="宋体" w:cs="宋体"/>
                <w:szCs w:val="21"/>
              </w:rPr>
              <w:t>评分细节</w:t>
            </w:r>
          </w:p>
        </w:tc>
        <w:tc>
          <w:tcPr>
            <w:tcW w:w="850" w:type="dxa"/>
          </w:tcPr>
          <w:p>
            <w:pPr>
              <w:pStyle w:val="4"/>
              <w:kinsoku w:val="0"/>
              <w:overflowPunct w:val="0"/>
              <w:spacing w:before="88"/>
              <w:ind w:left="172"/>
              <w:rPr>
                <w:rFonts w:ascii="宋体" w:hAnsi="宋体" w:cs="宋体"/>
                <w:szCs w:val="21"/>
              </w:rPr>
            </w:pPr>
            <w:r>
              <w:rPr>
                <w:rFonts w:hint="eastAsia" w:ascii="宋体" w:hAnsi="宋体" w:cs="宋体"/>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8933" w:type="dxa"/>
            <w:gridSpan w:val="4"/>
          </w:tcPr>
          <w:p>
            <w:pPr>
              <w:spacing w:line="360" w:lineRule="exact"/>
              <w:rPr>
                <w:rFonts w:ascii="宋体" w:hAnsi="宋体" w:cs="宋体"/>
                <w:szCs w:val="21"/>
              </w:rPr>
            </w:pPr>
            <w:r>
              <w:rPr>
                <w:rFonts w:hint="eastAsia" w:ascii="宋体" w:hAnsi="宋体" w:cs="宋体"/>
                <w:kern w:val="0"/>
                <w:szCs w:val="21"/>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612" w:type="dxa"/>
            <w:vAlign w:val="center"/>
          </w:tcPr>
          <w:p>
            <w:pPr>
              <w:pStyle w:val="4"/>
              <w:kinsoku w:val="0"/>
              <w:overflowPunct w:val="0"/>
              <w:spacing w:line="360" w:lineRule="exact"/>
              <w:jc w:val="center"/>
              <w:rPr>
                <w:rFonts w:ascii="宋体" w:hAnsi="宋体" w:cs="宋体"/>
                <w:szCs w:val="21"/>
              </w:rPr>
            </w:pPr>
            <w:r>
              <w:rPr>
                <w:rFonts w:hint="eastAsia" w:ascii="宋体" w:hAnsi="宋体" w:cs="宋体"/>
                <w:szCs w:val="21"/>
              </w:rPr>
              <w:t>1.1</w:t>
            </w:r>
          </w:p>
        </w:tc>
        <w:tc>
          <w:tcPr>
            <w:tcW w:w="1134" w:type="dxa"/>
            <w:vAlign w:val="center"/>
          </w:tcPr>
          <w:p>
            <w:pPr>
              <w:pStyle w:val="4"/>
              <w:kinsoku w:val="0"/>
              <w:overflowPunct w:val="0"/>
              <w:spacing w:line="360" w:lineRule="exact"/>
              <w:ind w:right="155"/>
              <w:jc w:val="center"/>
              <w:rPr>
                <w:rFonts w:ascii="宋体" w:hAnsi="宋体" w:cs="宋体"/>
                <w:szCs w:val="21"/>
              </w:rPr>
            </w:pPr>
            <w:r>
              <w:rPr>
                <w:rFonts w:hint="eastAsia" w:ascii="宋体" w:hAnsi="宋体" w:cs="宋体"/>
                <w:szCs w:val="21"/>
              </w:rPr>
              <w:t>价格分</w:t>
            </w:r>
          </w:p>
        </w:tc>
        <w:tc>
          <w:tcPr>
            <w:tcW w:w="6337" w:type="dxa"/>
          </w:tcPr>
          <w:p>
            <w:pPr>
              <w:spacing w:line="360" w:lineRule="exact"/>
              <w:rPr>
                <w:rFonts w:ascii="宋体" w:hAnsi="宋体" w:cs="宋体"/>
                <w:bCs/>
                <w:kern w:val="0"/>
                <w:szCs w:val="21"/>
              </w:rPr>
            </w:pPr>
            <w:r>
              <w:rPr>
                <w:rFonts w:hint="eastAsia" w:ascii="宋体" w:hAnsi="宋体" w:cs="宋体"/>
                <w:bCs/>
                <w:kern w:val="0"/>
                <w:szCs w:val="21"/>
              </w:rPr>
              <w:t>以通过资格审查、实质性响应招标文件要求的投标报价的最低价作为评标基准价（须未超过采购预算或最高限价），满分5</w:t>
            </w:r>
            <w:r>
              <w:rPr>
                <w:rFonts w:ascii="宋体" w:hAnsi="宋体" w:cs="宋体"/>
                <w:bCs/>
                <w:kern w:val="0"/>
                <w:szCs w:val="21"/>
              </w:rPr>
              <w:t>0</w:t>
            </w:r>
            <w:r>
              <w:rPr>
                <w:rFonts w:hint="eastAsia" w:ascii="宋体" w:hAnsi="宋体" w:cs="宋体"/>
                <w:bCs/>
                <w:kern w:val="0"/>
                <w:szCs w:val="21"/>
              </w:rPr>
              <w:t>分，其中计算机时费的价格分为4</w:t>
            </w:r>
            <w:r>
              <w:rPr>
                <w:rFonts w:ascii="宋体" w:hAnsi="宋体" w:cs="宋体"/>
                <w:bCs/>
                <w:kern w:val="0"/>
                <w:szCs w:val="21"/>
              </w:rPr>
              <w:t>0</w:t>
            </w:r>
            <w:r>
              <w:rPr>
                <w:rFonts w:hint="eastAsia" w:ascii="宋体" w:hAnsi="宋体" w:cs="宋体"/>
                <w:bCs/>
                <w:kern w:val="0"/>
                <w:szCs w:val="21"/>
              </w:rPr>
              <w:t>分，存储费的价格分为1</w:t>
            </w:r>
            <w:r>
              <w:rPr>
                <w:rFonts w:ascii="宋体" w:hAnsi="宋体" w:cs="宋体"/>
                <w:bCs/>
                <w:kern w:val="0"/>
                <w:szCs w:val="21"/>
              </w:rPr>
              <w:t>0</w:t>
            </w:r>
            <w:r>
              <w:rPr>
                <w:rFonts w:hint="eastAsia" w:ascii="宋体" w:hAnsi="宋体" w:cs="宋体"/>
                <w:bCs/>
                <w:kern w:val="0"/>
                <w:szCs w:val="21"/>
              </w:rPr>
              <w:t>分。其他投标人的价格分统一按照下列公式计算：投标报价得分=（评标基准价/投标报价）*价格分。</w:t>
            </w:r>
          </w:p>
        </w:tc>
        <w:tc>
          <w:tcPr>
            <w:tcW w:w="850" w:type="dxa"/>
            <w:vAlign w:val="center"/>
          </w:tcPr>
          <w:p>
            <w:pPr>
              <w:spacing w:line="360" w:lineRule="exact"/>
              <w:jc w:val="center"/>
              <w:rPr>
                <w:rFonts w:ascii="宋体" w:hAnsi="宋体" w:cs="宋体"/>
                <w:kern w:val="0"/>
                <w:szCs w:val="21"/>
              </w:rPr>
            </w:pPr>
            <w:r>
              <w:rPr>
                <w:rFonts w:ascii="宋体" w:hAnsi="宋体" w:cs="宋体"/>
                <w:kern w:val="0"/>
                <w:szCs w:val="21"/>
              </w:rPr>
              <w:t>50</w:t>
            </w:r>
          </w:p>
          <w:p>
            <w:pPr>
              <w:spacing w:line="360" w:lineRule="exact"/>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933" w:type="dxa"/>
            <w:gridSpan w:val="4"/>
          </w:tcPr>
          <w:p>
            <w:pPr>
              <w:spacing w:line="360" w:lineRule="exact"/>
              <w:rPr>
                <w:rFonts w:ascii="宋体" w:hAnsi="宋体" w:cs="宋体"/>
                <w:kern w:val="0"/>
                <w:szCs w:val="21"/>
              </w:rPr>
            </w:pPr>
            <w:r>
              <w:rPr>
                <w:rFonts w:hint="eastAsia" w:ascii="宋体" w:hAnsi="宋体" w:cs="宋体"/>
                <w:kern w:val="0"/>
                <w:szCs w:val="21"/>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612" w:type="dxa"/>
          </w:tcPr>
          <w:p>
            <w:pPr>
              <w:spacing w:line="360" w:lineRule="exact"/>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2.1</w:t>
            </w:r>
          </w:p>
        </w:tc>
        <w:tc>
          <w:tcPr>
            <w:tcW w:w="1134" w:type="dxa"/>
          </w:tcPr>
          <w:p>
            <w:pPr>
              <w:spacing w:line="360" w:lineRule="exact"/>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技术参数</w:t>
            </w:r>
          </w:p>
        </w:tc>
        <w:tc>
          <w:tcPr>
            <w:tcW w:w="6337" w:type="dxa"/>
          </w:tcPr>
          <w:p>
            <w:pPr>
              <w:spacing w:line="360" w:lineRule="exact"/>
              <w:rPr>
                <w:rFonts w:ascii="宋体" w:hAnsi="宋体" w:cs="宋体"/>
                <w:kern w:val="0"/>
                <w:szCs w:val="21"/>
              </w:rPr>
            </w:pPr>
            <w:r>
              <w:rPr>
                <w:rFonts w:hint="eastAsia" w:ascii="宋体" w:hAnsi="宋体" w:cs="宋体"/>
                <w:kern w:val="0"/>
                <w:szCs w:val="21"/>
              </w:rPr>
              <w:t>设备技术参数全部满足招标要求的得满分；打★号指标为核心指标项，如有负偏离按无效投标处理；非打★号指标，有一项负偏离扣1分，扣完为止。严重负偏离影响设备性能的经半数以上评委认定，本项得零分。</w:t>
            </w:r>
          </w:p>
          <w:p>
            <w:pPr>
              <w:spacing w:line="360" w:lineRule="exact"/>
              <w:rPr>
                <w:rFonts w:ascii="宋体" w:hAnsi="宋体" w:cs="宋体"/>
                <w:kern w:val="0"/>
                <w:szCs w:val="21"/>
              </w:rPr>
            </w:pPr>
            <w:r>
              <w:rPr>
                <w:rFonts w:hint="eastAsia" w:ascii="宋体" w:hAnsi="宋体" w:cs="宋体"/>
                <w:kern w:val="0"/>
                <w:szCs w:val="21"/>
              </w:rPr>
              <w:t>各投标供应商均应如实填写偏离情况，技术参数性能等偏离不能改变采购产品使用的质量和功能，否则为无效投标。</w:t>
            </w:r>
          </w:p>
        </w:tc>
        <w:tc>
          <w:tcPr>
            <w:tcW w:w="850" w:type="dxa"/>
            <w:vAlign w:val="center"/>
          </w:tcPr>
          <w:p>
            <w:pPr>
              <w:spacing w:line="360" w:lineRule="exact"/>
              <w:jc w:val="center"/>
              <w:rPr>
                <w:rFonts w:ascii="宋体" w:hAnsi="宋体" w:cs="宋体"/>
                <w:kern w:val="0"/>
                <w:szCs w:val="21"/>
              </w:rPr>
            </w:pPr>
            <w:r>
              <w:rPr>
                <w:rFonts w:ascii="宋体" w:hAnsi="宋体" w:cs="宋体"/>
                <w:kern w:val="0"/>
                <w:szCs w:val="21"/>
              </w:rPr>
              <w:t>35</w:t>
            </w:r>
          </w:p>
          <w:p>
            <w:pPr>
              <w:spacing w:line="360" w:lineRule="exact"/>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8933" w:type="dxa"/>
            <w:gridSpan w:val="4"/>
          </w:tcPr>
          <w:p>
            <w:pPr>
              <w:pStyle w:val="4"/>
              <w:kinsoku w:val="0"/>
              <w:overflowPunct w:val="0"/>
              <w:spacing w:before="88" w:line="360" w:lineRule="exact"/>
              <w:rPr>
                <w:rFonts w:ascii="宋体" w:hAnsi="宋体" w:cs="宋体"/>
                <w:szCs w:val="21"/>
              </w:rPr>
            </w:pPr>
            <w:r>
              <w:rPr>
                <w:rFonts w:hint="eastAsia" w:ascii="宋体" w:hAnsi="宋体" w:cs="宋体"/>
                <w:szCs w:val="21"/>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612" w:type="dxa"/>
            <w:vAlign w:val="center"/>
          </w:tcPr>
          <w:p>
            <w:pPr>
              <w:pStyle w:val="4"/>
              <w:kinsoku w:val="0"/>
              <w:overflowPunct w:val="0"/>
              <w:spacing w:line="360" w:lineRule="exact"/>
              <w:jc w:val="center"/>
              <w:rPr>
                <w:rFonts w:ascii="宋体" w:hAnsi="宋体" w:cs="宋体"/>
                <w:kern w:val="0"/>
                <w:szCs w:val="21"/>
              </w:rPr>
            </w:pPr>
            <w:r>
              <w:rPr>
                <w:rFonts w:hint="eastAsia" w:ascii="宋体" w:hAnsi="宋体" w:cs="宋体"/>
                <w:szCs w:val="21"/>
              </w:rPr>
              <w:t>3.2</w:t>
            </w:r>
          </w:p>
        </w:tc>
        <w:tc>
          <w:tcPr>
            <w:tcW w:w="1134" w:type="dxa"/>
            <w:vAlign w:val="center"/>
          </w:tcPr>
          <w:p>
            <w:pPr>
              <w:pStyle w:val="4"/>
              <w:kinsoku w:val="0"/>
              <w:overflowPunct w:val="0"/>
              <w:spacing w:line="360" w:lineRule="exact"/>
              <w:jc w:val="center"/>
              <w:rPr>
                <w:rFonts w:ascii="宋体" w:hAnsi="宋体" w:cs="宋体"/>
                <w:szCs w:val="21"/>
              </w:rPr>
            </w:pPr>
            <w:r>
              <w:rPr>
                <w:rFonts w:hint="eastAsia" w:ascii="宋体" w:hAnsi="宋体" w:cs="宋体"/>
                <w:szCs w:val="21"/>
              </w:rPr>
              <w:t>存储免费空间</w:t>
            </w:r>
          </w:p>
        </w:tc>
        <w:tc>
          <w:tcPr>
            <w:tcW w:w="6337" w:type="dxa"/>
            <w:vAlign w:val="center"/>
          </w:tcPr>
          <w:p>
            <w:pPr>
              <w:pStyle w:val="4"/>
              <w:kinsoku w:val="0"/>
              <w:overflowPunct w:val="0"/>
              <w:spacing w:before="88" w:line="360" w:lineRule="exact"/>
              <w:jc w:val="left"/>
              <w:rPr>
                <w:rFonts w:ascii="宋体" w:hAnsi="宋体" w:cs="宋体"/>
                <w:szCs w:val="21"/>
              </w:rPr>
            </w:pPr>
            <w:r>
              <w:rPr>
                <w:rFonts w:hint="eastAsia" w:ascii="宋体" w:hAnsi="宋体" w:cs="宋体"/>
                <w:szCs w:val="21"/>
              </w:rPr>
              <w:t>每个用户免费存储空间不少于5</w:t>
            </w:r>
            <w:r>
              <w:rPr>
                <w:rFonts w:ascii="宋体" w:hAnsi="宋体" w:cs="宋体"/>
                <w:szCs w:val="21"/>
              </w:rPr>
              <w:t>00</w:t>
            </w:r>
            <w:r>
              <w:rPr>
                <w:rFonts w:hint="eastAsia" w:ascii="宋体" w:hAnsi="宋体" w:cs="宋体"/>
                <w:szCs w:val="21"/>
              </w:rPr>
              <w:t>GB，每增加</w:t>
            </w:r>
            <w:r>
              <w:rPr>
                <w:rFonts w:ascii="宋体" w:hAnsi="宋体" w:cs="宋体"/>
                <w:szCs w:val="21"/>
              </w:rPr>
              <w:t>500</w:t>
            </w:r>
            <w:r>
              <w:rPr>
                <w:rFonts w:hint="eastAsia" w:ascii="宋体" w:hAnsi="宋体" w:cs="宋体"/>
                <w:szCs w:val="21"/>
              </w:rPr>
              <w:t>GB加1分，最多2分。</w:t>
            </w:r>
          </w:p>
        </w:tc>
        <w:tc>
          <w:tcPr>
            <w:tcW w:w="850" w:type="dxa"/>
            <w:vAlign w:val="center"/>
          </w:tcPr>
          <w:p>
            <w:pPr>
              <w:spacing w:line="360" w:lineRule="exact"/>
              <w:jc w:val="center"/>
              <w:rPr>
                <w:rFonts w:ascii="宋体" w:hAnsi="宋体" w:cs="宋体"/>
                <w:kern w:val="0"/>
                <w:szCs w:val="21"/>
              </w:rPr>
            </w:pPr>
            <w:r>
              <w:rPr>
                <w:rFonts w:ascii="宋体" w:hAnsi="宋体" w:cs="宋体"/>
                <w:kern w:val="0"/>
                <w:szCs w:val="21"/>
              </w:rPr>
              <w:t>2</w:t>
            </w:r>
          </w:p>
          <w:p>
            <w:pPr>
              <w:spacing w:line="360" w:lineRule="exact"/>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612" w:type="dxa"/>
            <w:vAlign w:val="center"/>
          </w:tcPr>
          <w:p>
            <w:pPr>
              <w:spacing w:line="360" w:lineRule="exact"/>
              <w:jc w:val="center"/>
              <w:rPr>
                <w:rFonts w:ascii="宋体" w:hAnsi="宋体" w:cs="宋体"/>
                <w:kern w:val="0"/>
                <w:szCs w:val="21"/>
              </w:rPr>
            </w:pPr>
            <w:r>
              <w:rPr>
                <w:rFonts w:hint="eastAsia" w:ascii="宋体" w:hAnsi="宋体" w:cs="宋体"/>
                <w:kern w:val="0"/>
                <w:szCs w:val="21"/>
              </w:rPr>
              <w:t>3.3</w:t>
            </w:r>
          </w:p>
        </w:tc>
        <w:tc>
          <w:tcPr>
            <w:tcW w:w="1134" w:type="dxa"/>
            <w:vAlign w:val="center"/>
          </w:tcPr>
          <w:p>
            <w:pPr>
              <w:pStyle w:val="4"/>
              <w:kinsoku w:val="0"/>
              <w:overflowPunct w:val="0"/>
              <w:spacing w:line="360" w:lineRule="exact"/>
              <w:jc w:val="center"/>
              <w:rPr>
                <w:rFonts w:ascii="宋体" w:hAnsi="宋体" w:cs="宋体"/>
                <w:kern w:val="0"/>
                <w:szCs w:val="21"/>
              </w:rPr>
            </w:pPr>
            <w:r>
              <w:rPr>
                <w:rFonts w:hint="eastAsia" w:ascii="宋体" w:hAnsi="宋体" w:cs="宋体"/>
                <w:szCs w:val="21"/>
              </w:rPr>
              <w:t>售后服务方案</w:t>
            </w:r>
          </w:p>
        </w:tc>
        <w:tc>
          <w:tcPr>
            <w:tcW w:w="6337" w:type="dxa"/>
            <w:vAlign w:val="center"/>
          </w:tcPr>
          <w:p>
            <w:pPr>
              <w:pStyle w:val="4"/>
              <w:kinsoku w:val="0"/>
              <w:overflowPunct w:val="0"/>
              <w:spacing w:before="88" w:line="360" w:lineRule="exact"/>
              <w:jc w:val="left"/>
              <w:rPr>
                <w:rFonts w:ascii="宋体" w:hAnsi="宋体" w:cs="宋体"/>
                <w:szCs w:val="21"/>
              </w:rPr>
            </w:pPr>
            <w:r>
              <w:rPr>
                <w:rFonts w:hint="eastAsia" w:ascii="宋体" w:hAnsi="宋体" w:cs="宋体"/>
                <w:szCs w:val="21"/>
              </w:rPr>
              <w:t>售后服务方案（服务体系、服务内容、故障解决方案、专业技术人员保障及服务电话）最优的得4分，一般得2分，其他不得分。</w:t>
            </w:r>
          </w:p>
        </w:tc>
        <w:tc>
          <w:tcPr>
            <w:tcW w:w="850" w:type="dxa"/>
            <w:vAlign w:val="center"/>
          </w:tcPr>
          <w:p>
            <w:pPr>
              <w:spacing w:line="360" w:lineRule="exact"/>
              <w:jc w:val="center"/>
              <w:rPr>
                <w:rFonts w:ascii="宋体" w:hAnsi="宋体" w:cs="宋体"/>
                <w:kern w:val="0"/>
                <w:szCs w:val="21"/>
              </w:rPr>
            </w:pPr>
            <w:r>
              <w:rPr>
                <w:rFonts w:hint="eastAsia" w:ascii="宋体" w:hAnsi="宋体" w:cs="宋体"/>
                <w:kern w:val="0"/>
                <w:szCs w:val="21"/>
              </w:rPr>
              <w:t>4</w:t>
            </w:r>
          </w:p>
          <w:p>
            <w:pPr>
              <w:spacing w:line="360" w:lineRule="exact"/>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612" w:type="dxa"/>
            <w:vAlign w:val="center"/>
          </w:tcPr>
          <w:p>
            <w:pPr>
              <w:spacing w:line="360" w:lineRule="exact"/>
              <w:jc w:val="center"/>
              <w:rPr>
                <w:rFonts w:ascii="宋体" w:hAnsi="宋体" w:cs="宋体"/>
                <w:kern w:val="0"/>
                <w:szCs w:val="21"/>
              </w:rPr>
            </w:pPr>
            <w:r>
              <w:rPr>
                <w:rFonts w:hint="eastAsia" w:ascii="宋体" w:hAnsi="宋体" w:cs="宋体"/>
                <w:kern w:val="0"/>
                <w:szCs w:val="21"/>
              </w:rPr>
              <w:t>3.4</w:t>
            </w:r>
          </w:p>
        </w:tc>
        <w:tc>
          <w:tcPr>
            <w:tcW w:w="1134" w:type="dxa"/>
            <w:vAlign w:val="center"/>
          </w:tcPr>
          <w:p>
            <w:pPr>
              <w:pStyle w:val="4"/>
              <w:kinsoku w:val="0"/>
              <w:overflowPunct w:val="0"/>
              <w:spacing w:line="360" w:lineRule="exact"/>
              <w:jc w:val="center"/>
              <w:rPr>
                <w:rFonts w:ascii="宋体" w:hAnsi="宋体" w:cs="宋体"/>
                <w:szCs w:val="21"/>
              </w:rPr>
            </w:pPr>
            <w:r>
              <w:rPr>
                <w:rFonts w:hint="eastAsia" w:ascii="宋体" w:hAnsi="宋体" w:cs="宋体"/>
                <w:szCs w:val="21"/>
              </w:rPr>
              <w:t>现场用户培训</w:t>
            </w:r>
          </w:p>
        </w:tc>
        <w:tc>
          <w:tcPr>
            <w:tcW w:w="6337" w:type="dxa"/>
            <w:vAlign w:val="center"/>
          </w:tcPr>
          <w:p>
            <w:pPr>
              <w:pStyle w:val="4"/>
              <w:kinsoku w:val="0"/>
              <w:overflowPunct w:val="0"/>
              <w:spacing w:before="88" w:line="360" w:lineRule="exact"/>
              <w:jc w:val="left"/>
              <w:rPr>
                <w:rFonts w:ascii="宋体" w:hAnsi="宋体" w:cs="宋体"/>
                <w:szCs w:val="21"/>
              </w:rPr>
            </w:pPr>
            <w:r>
              <w:rPr>
                <w:rFonts w:hint="eastAsia" w:ascii="宋体" w:hAnsi="宋体" w:cs="宋体"/>
                <w:szCs w:val="21"/>
              </w:rPr>
              <w:t>投标供应商提供具有培训资质的人员来校进行现场用户培训和技术交流，每次不少于2个课时，每次得1分，最多2分。</w:t>
            </w:r>
          </w:p>
        </w:tc>
        <w:tc>
          <w:tcPr>
            <w:tcW w:w="850" w:type="dxa"/>
            <w:vAlign w:val="center"/>
          </w:tcPr>
          <w:p>
            <w:pPr>
              <w:spacing w:line="360" w:lineRule="exact"/>
              <w:jc w:val="center"/>
              <w:rPr>
                <w:rFonts w:ascii="宋体" w:hAnsi="宋体" w:cs="宋体"/>
                <w:kern w:val="0"/>
                <w:szCs w:val="21"/>
              </w:rPr>
            </w:pPr>
            <w:r>
              <w:rPr>
                <w:rFonts w:hint="eastAsia" w:ascii="宋体" w:hAnsi="宋体" w:cs="宋体"/>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8933" w:type="dxa"/>
            <w:gridSpan w:val="4"/>
          </w:tcPr>
          <w:p>
            <w:pPr>
              <w:pStyle w:val="4"/>
              <w:kinsoku w:val="0"/>
              <w:overflowPunct w:val="0"/>
              <w:spacing w:before="88" w:line="360" w:lineRule="exact"/>
              <w:ind w:left="123"/>
              <w:rPr>
                <w:rFonts w:ascii="宋体" w:hAnsi="宋体" w:cs="宋体"/>
                <w:szCs w:val="21"/>
              </w:rPr>
            </w:pPr>
            <w:r>
              <w:rPr>
                <w:rFonts w:hint="eastAsia" w:ascii="宋体" w:hAnsi="宋体" w:cs="宋体"/>
                <w:szCs w:val="21"/>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5" w:hRule="atLeast"/>
          <w:jc w:val="center"/>
        </w:trPr>
        <w:tc>
          <w:tcPr>
            <w:tcW w:w="612" w:type="dxa"/>
          </w:tcPr>
          <w:p>
            <w:pPr>
              <w:pStyle w:val="4"/>
              <w:kinsoku w:val="0"/>
              <w:overflowPunct w:val="0"/>
              <w:spacing w:line="360" w:lineRule="exact"/>
              <w:ind w:left="213"/>
              <w:rPr>
                <w:rFonts w:ascii="宋体" w:hAnsi="宋体" w:cs="宋体"/>
                <w:szCs w:val="21"/>
              </w:rPr>
            </w:pPr>
          </w:p>
          <w:p>
            <w:pPr>
              <w:pStyle w:val="4"/>
              <w:kinsoku w:val="0"/>
              <w:overflowPunct w:val="0"/>
              <w:spacing w:line="360" w:lineRule="exact"/>
              <w:ind w:left="213"/>
              <w:rPr>
                <w:rFonts w:ascii="宋体" w:hAnsi="宋体" w:cs="宋体"/>
                <w:szCs w:val="21"/>
              </w:rPr>
            </w:pPr>
            <w:r>
              <w:rPr>
                <w:rFonts w:hint="eastAsia" w:ascii="宋体" w:hAnsi="宋体" w:cs="宋体"/>
                <w:szCs w:val="21"/>
              </w:rPr>
              <w:t>4.1</w:t>
            </w:r>
          </w:p>
        </w:tc>
        <w:tc>
          <w:tcPr>
            <w:tcW w:w="1134" w:type="dxa"/>
          </w:tcPr>
          <w:p>
            <w:pPr>
              <w:pStyle w:val="4"/>
              <w:kinsoku w:val="0"/>
              <w:overflowPunct w:val="0"/>
              <w:spacing w:line="360" w:lineRule="exact"/>
              <w:ind w:left="155" w:right="155"/>
              <w:jc w:val="center"/>
              <w:rPr>
                <w:rFonts w:ascii="宋体" w:hAnsi="宋体" w:cs="宋体"/>
                <w:szCs w:val="21"/>
              </w:rPr>
            </w:pPr>
          </w:p>
          <w:p>
            <w:pPr>
              <w:pStyle w:val="4"/>
              <w:kinsoku w:val="0"/>
              <w:overflowPunct w:val="0"/>
              <w:spacing w:line="360" w:lineRule="exact"/>
              <w:ind w:left="155" w:right="155"/>
              <w:jc w:val="center"/>
              <w:rPr>
                <w:rFonts w:ascii="宋体" w:hAnsi="宋体" w:cs="宋体"/>
                <w:kern w:val="0"/>
                <w:szCs w:val="21"/>
              </w:rPr>
            </w:pPr>
            <w:r>
              <w:rPr>
                <w:rFonts w:hint="eastAsia" w:ascii="宋体" w:hAnsi="宋体" w:cs="宋体"/>
                <w:szCs w:val="21"/>
              </w:rPr>
              <w:t>业绩</w:t>
            </w:r>
          </w:p>
        </w:tc>
        <w:tc>
          <w:tcPr>
            <w:tcW w:w="6337" w:type="dxa"/>
          </w:tcPr>
          <w:p>
            <w:pPr>
              <w:pStyle w:val="4"/>
              <w:kinsoku w:val="0"/>
              <w:overflowPunct w:val="0"/>
              <w:spacing w:before="88" w:line="360" w:lineRule="exact"/>
              <w:ind w:right="155"/>
              <w:rPr>
                <w:rFonts w:ascii="宋体" w:hAnsi="宋体" w:cs="宋体"/>
                <w:szCs w:val="21"/>
              </w:rPr>
            </w:pPr>
            <w:r>
              <w:rPr>
                <w:rFonts w:hint="eastAsia" w:ascii="宋体" w:hAnsi="宋体" w:cs="宋体"/>
                <w:szCs w:val="21"/>
              </w:rPr>
              <w:t>依据投标人自2016年10月1日以来完成过同类项目案例，每提供一个得1分，最多3分。须提供有效的合同（时间以合同签订日期为准）。（原件备查）。</w:t>
            </w:r>
          </w:p>
        </w:tc>
        <w:tc>
          <w:tcPr>
            <w:tcW w:w="850" w:type="dxa"/>
          </w:tcPr>
          <w:p>
            <w:pPr>
              <w:spacing w:line="360" w:lineRule="exact"/>
              <w:rPr>
                <w:rFonts w:ascii="宋体" w:hAnsi="宋体" w:cs="宋体"/>
                <w:kern w:val="0"/>
                <w:szCs w:val="21"/>
              </w:rPr>
            </w:pPr>
          </w:p>
          <w:p>
            <w:pPr>
              <w:spacing w:line="360" w:lineRule="exact"/>
              <w:ind w:firstLine="210" w:firstLineChars="100"/>
              <w:rPr>
                <w:rFonts w:ascii="宋体" w:hAnsi="宋体" w:cs="宋体"/>
                <w:kern w:val="0"/>
                <w:szCs w:val="21"/>
              </w:rPr>
            </w:pPr>
            <w:r>
              <w:rPr>
                <w:rFonts w:hint="eastAsia" w:ascii="宋体" w:hAnsi="宋体" w:cs="宋体"/>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8933" w:type="dxa"/>
            <w:gridSpan w:val="4"/>
          </w:tcPr>
          <w:p>
            <w:pPr>
              <w:pStyle w:val="4"/>
              <w:kinsoku w:val="0"/>
              <w:overflowPunct w:val="0"/>
              <w:spacing w:before="88" w:line="360" w:lineRule="exact"/>
              <w:ind w:left="123"/>
              <w:rPr>
                <w:rFonts w:ascii="宋体" w:hAnsi="宋体" w:cs="宋体"/>
                <w:szCs w:val="21"/>
              </w:rPr>
            </w:pPr>
            <w:r>
              <w:rPr>
                <w:rFonts w:hint="eastAsia" w:ascii="宋体" w:hAnsi="宋体" w:cs="宋体"/>
                <w:szCs w:val="21"/>
              </w:rPr>
              <w:t>5、信誉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612" w:type="dxa"/>
            <w:vAlign w:val="center"/>
          </w:tcPr>
          <w:p>
            <w:pPr>
              <w:pStyle w:val="4"/>
              <w:kinsoku w:val="0"/>
              <w:overflowPunct w:val="0"/>
              <w:spacing w:before="88" w:line="360" w:lineRule="exact"/>
              <w:ind w:left="213"/>
              <w:jc w:val="center"/>
              <w:rPr>
                <w:rFonts w:ascii="宋体" w:hAnsi="宋体" w:cs="宋体"/>
                <w:szCs w:val="21"/>
              </w:rPr>
            </w:pPr>
            <w:r>
              <w:rPr>
                <w:rFonts w:hint="eastAsia" w:ascii="宋体" w:hAnsi="宋体" w:cs="宋体"/>
                <w:szCs w:val="21"/>
              </w:rPr>
              <w:t>5.1</w:t>
            </w:r>
          </w:p>
        </w:tc>
        <w:tc>
          <w:tcPr>
            <w:tcW w:w="1134" w:type="dxa"/>
            <w:vAlign w:val="center"/>
          </w:tcPr>
          <w:p>
            <w:pPr>
              <w:pStyle w:val="4"/>
              <w:kinsoku w:val="0"/>
              <w:overflowPunct w:val="0"/>
              <w:spacing w:before="88" w:line="360" w:lineRule="exact"/>
              <w:jc w:val="center"/>
              <w:rPr>
                <w:rFonts w:ascii="宋体" w:hAnsi="宋体" w:cs="宋体"/>
                <w:szCs w:val="21"/>
              </w:rPr>
            </w:pPr>
            <w:r>
              <w:rPr>
                <w:rFonts w:hint="eastAsia" w:ascii="宋体" w:hAnsi="宋体" w:cs="宋体"/>
                <w:szCs w:val="21"/>
              </w:rPr>
              <w:t>信用等级</w:t>
            </w:r>
          </w:p>
        </w:tc>
        <w:tc>
          <w:tcPr>
            <w:tcW w:w="6337" w:type="dxa"/>
          </w:tcPr>
          <w:p>
            <w:pPr>
              <w:pStyle w:val="4"/>
              <w:kinsoku w:val="0"/>
              <w:overflowPunct w:val="0"/>
              <w:spacing w:before="88" w:line="360" w:lineRule="exact"/>
              <w:rPr>
                <w:rFonts w:ascii="宋体" w:hAnsi="宋体" w:cs="宋体"/>
                <w:szCs w:val="21"/>
              </w:rPr>
            </w:pPr>
            <w:r>
              <w:rPr>
                <w:rFonts w:hint="eastAsia" w:ascii="宋体" w:hAnsi="宋体" w:cs="宋体"/>
                <w:szCs w:val="21"/>
              </w:rPr>
              <w:t>供应商提供信用评级机构出具的信用评级报告为AAA级的得2分，提供评级报告原件。</w:t>
            </w:r>
          </w:p>
        </w:tc>
        <w:tc>
          <w:tcPr>
            <w:tcW w:w="850" w:type="dxa"/>
          </w:tcPr>
          <w:p>
            <w:pPr>
              <w:spacing w:line="360" w:lineRule="exact"/>
              <w:ind w:firstLine="210" w:firstLineChars="100"/>
              <w:rPr>
                <w:rFonts w:ascii="宋体" w:hAnsi="宋体" w:cs="宋体"/>
                <w:kern w:val="0"/>
                <w:szCs w:val="21"/>
              </w:rPr>
            </w:pPr>
            <w:r>
              <w:rPr>
                <w:rFonts w:hint="eastAsia" w:ascii="宋体" w:hAnsi="宋体" w:cs="宋体"/>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8933" w:type="dxa"/>
            <w:gridSpan w:val="4"/>
            <w:vAlign w:val="center"/>
          </w:tcPr>
          <w:p>
            <w:pPr>
              <w:jc w:val="left"/>
              <w:rPr>
                <w:rFonts w:ascii="宋体" w:hAnsi="宋体"/>
                <w:szCs w:val="21"/>
              </w:rPr>
            </w:pPr>
            <w:r>
              <w:rPr>
                <w:rFonts w:hint="eastAsia" w:ascii="宋体" w:hAnsi="宋体"/>
                <w:szCs w:val="21"/>
              </w:rPr>
              <w:t>6、投标文件制作分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612" w:type="dxa"/>
            <w:vAlign w:val="center"/>
          </w:tcPr>
          <w:p>
            <w:pPr>
              <w:jc w:val="center"/>
              <w:rPr>
                <w:rFonts w:ascii="宋体" w:hAnsi="宋体"/>
                <w:szCs w:val="21"/>
              </w:rPr>
            </w:pPr>
            <w:r>
              <w:rPr>
                <w:rFonts w:hint="eastAsia" w:ascii="宋体" w:hAnsi="宋体"/>
                <w:szCs w:val="21"/>
              </w:rPr>
              <w:t>6.1</w:t>
            </w:r>
          </w:p>
        </w:tc>
        <w:tc>
          <w:tcPr>
            <w:tcW w:w="1134" w:type="dxa"/>
            <w:vAlign w:val="center"/>
          </w:tcPr>
          <w:p>
            <w:pPr>
              <w:jc w:val="center"/>
              <w:rPr>
                <w:rFonts w:ascii="宋体" w:hAnsi="宋体"/>
                <w:szCs w:val="21"/>
              </w:rPr>
            </w:pPr>
            <w:r>
              <w:rPr>
                <w:rFonts w:hint="eastAsia" w:ascii="宋体" w:hAnsi="宋体"/>
                <w:szCs w:val="21"/>
              </w:rPr>
              <w:t>投标文件便于评审</w:t>
            </w:r>
          </w:p>
        </w:tc>
        <w:tc>
          <w:tcPr>
            <w:tcW w:w="6337" w:type="dxa"/>
            <w:vAlign w:val="center"/>
          </w:tcPr>
          <w:p>
            <w:pPr>
              <w:spacing w:line="360" w:lineRule="auto"/>
              <w:rPr>
                <w:rFonts w:ascii="宋体" w:hAnsi="宋体"/>
                <w:szCs w:val="21"/>
              </w:rPr>
            </w:pPr>
            <w:r>
              <w:rPr>
                <w:rFonts w:hint="eastAsia" w:ascii="宋体" w:hAnsi="宋体"/>
                <w:szCs w:val="21"/>
              </w:rPr>
              <w:t>投标文件目录、页码齐全得1分；目录与页码能准确对应得1分。</w:t>
            </w:r>
          </w:p>
        </w:tc>
        <w:tc>
          <w:tcPr>
            <w:tcW w:w="850" w:type="dxa"/>
            <w:vAlign w:val="center"/>
          </w:tcPr>
          <w:p>
            <w:pPr>
              <w:jc w:val="center"/>
              <w:rPr>
                <w:rFonts w:ascii="宋体" w:hAnsi="宋体"/>
                <w:szCs w:val="21"/>
              </w:rPr>
            </w:pPr>
            <w:r>
              <w:rPr>
                <w:rFonts w:hint="eastAsia" w:ascii="宋体" w:hAnsi="宋体"/>
                <w:szCs w:val="21"/>
              </w:rPr>
              <w:t>2</w:t>
            </w:r>
          </w:p>
        </w:tc>
      </w:tr>
    </w:tbl>
    <w:p>
      <w:pPr>
        <w:widowControl/>
        <w:jc w:val="left"/>
        <w:rPr>
          <w:rFonts w:cs="仿宋"/>
          <w:sz w:val="24"/>
        </w:rPr>
      </w:pPr>
    </w:p>
    <w:sectPr>
      <w:headerReference r:id="rId3" w:type="default"/>
      <w:footerReference r:id="rId4" w:type="default"/>
      <w:pgSz w:w="11906" w:h="16838"/>
      <w:pgMar w:top="1191" w:right="1247" w:bottom="119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rPr>
      <w:fldChar w:fldCharType="begin"/>
    </w:r>
    <w:r>
      <w:rPr>
        <w:b/>
      </w:rPr>
      <w:instrText xml:space="preserve">PAGE  \* Arabic  \* MERGEFORMAT</w:instrText>
    </w:r>
    <w:r>
      <w:rPr>
        <w:b/>
      </w:rPr>
      <w:fldChar w:fldCharType="separate"/>
    </w:r>
    <w:r>
      <w:rPr>
        <w:b/>
        <w:lang w:val="zh-CN"/>
      </w:rPr>
      <w:t>17</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17</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2B2D"/>
    <w:rsid w:val="00003606"/>
    <w:rsid w:val="000054CA"/>
    <w:rsid w:val="0000571D"/>
    <w:rsid w:val="00022B05"/>
    <w:rsid w:val="00023D12"/>
    <w:rsid w:val="00026E76"/>
    <w:rsid w:val="00030600"/>
    <w:rsid w:val="00030DF4"/>
    <w:rsid w:val="000319F3"/>
    <w:rsid w:val="000430D6"/>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66F7"/>
    <w:rsid w:val="00087F42"/>
    <w:rsid w:val="00090AB9"/>
    <w:rsid w:val="0009319D"/>
    <w:rsid w:val="000933AE"/>
    <w:rsid w:val="00094479"/>
    <w:rsid w:val="000960BE"/>
    <w:rsid w:val="00096894"/>
    <w:rsid w:val="000968A9"/>
    <w:rsid w:val="000976BF"/>
    <w:rsid w:val="0009778F"/>
    <w:rsid w:val="000A1315"/>
    <w:rsid w:val="000A31F8"/>
    <w:rsid w:val="000A3663"/>
    <w:rsid w:val="000A387C"/>
    <w:rsid w:val="000A3DF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6CEF"/>
    <w:rsid w:val="000C7AC8"/>
    <w:rsid w:val="000D26E7"/>
    <w:rsid w:val="000D2CE1"/>
    <w:rsid w:val="000D4B6E"/>
    <w:rsid w:val="000D6B77"/>
    <w:rsid w:val="000D7B55"/>
    <w:rsid w:val="000E1026"/>
    <w:rsid w:val="000E12A9"/>
    <w:rsid w:val="000E37D8"/>
    <w:rsid w:val="000E490E"/>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536"/>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508"/>
    <w:rsid w:val="00147BB6"/>
    <w:rsid w:val="001502CF"/>
    <w:rsid w:val="00151817"/>
    <w:rsid w:val="0015214C"/>
    <w:rsid w:val="0015225B"/>
    <w:rsid w:val="00152BCB"/>
    <w:rsid w:val="00153196"/>
    <w:rsid w:val="001548BC"/>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200D"/>
    <w:rsid w:val="001B0715"/>
    <w:rsid w:val="001B2A65"/>
    <w:rsid w:val="001B5895"/>
    <w:rsid w:val="001B6E3C"/>
    <w:rsid w:val="001C0244"/>
    <w:rsid w:val="001C0588"/>
    <w:rsid w:val="001C12A6"/>
    <w:rsid w:val="001C1966"/>
    <w:rsid w:val="001C2414"/>
    <w:rsid w:val="001C6C16"/>
    <w:rsid w:val="001D10DD"/>
    <w:rsid w:val="001D237E"/>
    <w:rsid w:val="001D2D6F"/>
    <w:rsid w:val="001D7657"/>
    <w:rsid w:val="001D76D4"/>
    <w:rsid w:val="001E2C9F"/>
    <w:rsid w:val="001E47A8"/>
    <w:rsid w:val="001E4E6B"/>
    <w:rsid w:val="001E5FF5"/>
    <w:rsid w:val="001E672D"/>
    <w:rsid w:val="001F09A0"/>
    <w:rsid w:val="001F11F5"/>
    <w:rsid w:val="001F314F"/>
    <w:rsid w:val="001F328C"/>
    <w:rsid w:val="001F4242"/>
    <w:rsid w:val="001F5384"/>
    <w:rsid w:val="001F6E39"/>
    <w:rsid w:val="001F7923"/>
    <w:rsid w:val="00200A99"/>
    <w:rsid w:val="00201076"/>
    <w:rsid w:val="002023F0"/>
    <w:rsid w:val="00204A89"/>
    <w:rsid w:val="00205C17"/>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6B7B"/>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63046"/>
    <w:rsid w:val="00263444"/>
    <w:rsid w:val="0026451A"/>
    <w:rsid w:val="00264F91"/>
    <w:rsid w:val="00271C38"/>
    <w:rsid w:val="00281343"/>
    <w:rsid w:val="0028272C"/>
    <w:rsid w:val="002832EA"/>
    <w:rsid w:val="002838CB"/>
    <w:rsid w:val="00283C8F"/>
    <w:rsid w:val="00285A3E"/>
    <w:rsid w:val="00285DAB"/>
    <w:rsid w:val="00291A34"/>
    <w:rsid w:val="00292A1F"/>
    <w:rsid w:val="00294E71"/>
    <w:rsid w:val="00296169"/>
    <w:rsid w:val="00297351"/>
    <w:rsid w:val="00297829"/>
    <w:rsid w:val="00297C60"/>
    <w:rsid w:val="002A1998"/>
    <w:rsid w:val="002A1B13"/>
    <w:rsid w:val="002A1C37"/>
    <w:rsid w:val="002A2349"/>
    <w:rsid w:val="002A23A5"/>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70DE"/>
    <w:rsid w:val="002F0D2A"/>
    <w:rsid w:val="002F160A"/>
    <w:rsid w:val="002F1CF2"/>
    <w:rsid w:val="002F36B1"/>
    <w:rsid w:val="002F4FFA"/>
    <w:rsid w:val="002F6BAD"/>
    <w:rsid w:val="002F7098"/>
    <w:rsid w:val="00300A90"/>
    <w:rsid w:val="00300D50"/>
    <w:rsid w:val="00300F5A"/>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89"/>
    <w:rsid w:val="003649D6"/>
    <w:rsid w:val="00367F0F"/>
    <w:rsid w:val="00372A01"/>
    <w:rsid w:val="00372D67"/>
    <w:rsid w:val="00373E38"/>
    <w:rsid w:val="00376287"/>
    <w:rsid w:val="00377164"/>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B5B38"/>
    <w:rsid w:val="003C0657"/>
    <w:rsid w:val="003C22BA"/>
    <w:rsid w:val="003C2407"/>
    <w:rsid w:val="003C3744"/>
    <w:rsid w:val="003C3DF2"/>
    <w:rsid w:val="003C4913"/>
    <w:rsid w:val="003C4BFF"/>
    <w:rsid w:val="003C4ECC"/>
    <w:rsid w:val="003C60AD"/>
    <w:rsid w:val="003C69C4"/>
    <w:rsid w:val="003D02DE"/>
    <w:rsid w:val="003D20EB"/>
    <w:rsid w:val="003D6222"/>
    <w:rsid w:val="003D6FB8"/>
    <w:rsid w:val="003E1368"/>
    <w:rsid w:val="003E1A52"/>
    <w:rsid w:val="003E2217"/>
    <w:rsid w:val="003E4227"/>
    <w:rsid w:val="003E51F3"/>
    <w:rsid w:val="003E572A"/>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72FA"/>
    <w:rsid w:val="00447C24"/>
    <w:rsid w:val="00450900"/>
    <w:rsid w:val="00452C84"/>
    <w:rsid w:val="004551EC"/>
    <w:rsid w:val="004578F1"/>
    <w:rsid w:val="00460A25"/>
    <w:rsid w:val="00461656"/>
    <w:rsid w:val="00463313"/>
    <w:rsid w:val="00463944"/>
    <w:rsid w:val="00464599"/>
    <w:rsid w:val="00466713"/>
    <w:rsid w:val="00467161"/>
    <w:rsid w:val="004703D3"/>
    <w:rsid w:val="00472664"/>
    <w:rsid w:val="00472EA0"/>
    <w:rsid w:val="004734A1"/>
    <w:rsid w:val="00477371"/>
    <w:rsid w:val="00477570"/>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194E"/>
    <w:rsid w:val="004A5555"/>
    <w:rsid w:val="004A5C8B"/>
    <w:rsid w:val="004A7B18"/>
    <w:rsid w:val="004A7D2B"/>
    <w:rsid w:val="004A7E23"/>
    <w:rsid w:val="004A7F50"/>
    <w:rsid w:val="004B001D"/>
    <w:rsid w:val="004B1B72"/>
    <w:rsid w:val="004B67DB"/>
    <w:rsid w:val="004B6A11"/>
    <w:rsid w:val="004B747F"/>
    <w:rsid w:val="004B7B1E"/>
    <w:rsid w:val="004B7D98"/>
    <w:rsid w:val="004C10BB"/>
    <w:rsid w:val="004C2E0A"/>
    <w:rsid w:val="004D0748"/>
    <w:rsid w:val="004D0EAC"/>
    <w:rsid w:val="004D64A5"/>
    <w:rsid w:val="004D65DA"/>
    <w:rsid w:val="004D7557"/>
    <w:rsid w:val="004D765A"/>
    <w:rsid w:val="004E1C93"/>
    <w:rsid w:val="004E2588"/>
    <w:rsid w:val="004E390B"/>
    <w:rsid w:val="004E448F"/>
    <w:rsid w:val="004E608C"/>
    <w:rsid w:val="004E779C"/>
    <w:rsid w:val="004F0339"/>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50D4"/>
    <w:rsid w:val="00537018"/>
    <w:rsid w:val="00540A3F"/>
    <w:rsid w:val="00541B97"/>
    <w:rsid w:val="00545F0F"/>
    <w:rsid w:val="00546198"/>
    <w:rsid w:val="00552143"/>
    <w:rsid w:val="00552355"/>
    <w:rsid w:val="005526FE"/>
    <w:rsid w:val="00552BE2"/>
    <w:rsid w:val="00552BF3"/>
    <w:rsid w:val="005554FE"/>
    <w:rsid w:val="00556203"/>
    <w:rsid w:val="0055742D"/>
    <w:rsid w:val="00557D90"/>
    <w:rsid w:val="005629FF"/>
    <w:rsid w:val="00564725"/>
    <w:rsid w:val="00565862"/>
    <w:rsid w:val="00566142"/>
    <w:rsid w:val="005662B0"/>
    <w:rsid w:val="005721D4"/>
    <w:rsid w:val="00572CF3"/>
    <w:rsid w:val="00572EFD"/>
    <w:rsid w:val="00576728"/>
    <w:rsid w:val="00576D08"/>
    <w:rsid w:val="00585BC1"/>
    <w:rsid w:val="00585C5F"/>
    <w:rsid w:val="00587E68"/>
    <w:rsid w:val="005908D5"/>
    <w:rsid w:val="00592237"/>
    <w:rsid w:val="00592E1C"/>
    <w:rsid w:val="005947A6"/>
    <w:rsid w:val="00595AEA"/>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3C88"/>
    <w:rsid w:val="005E4524"/>
    <w:rsid w:val="005E576B"/>
    <w:rsid w:val="005E6889"/>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21FA"/>
    <w:rsid w:val="00646947"/>
    <w:rsid w:val="00650D24"/>
    <w:rsid w:val="006519C1"/>
    <w:rsid w:val="0065630D"/>
    <w:rsid w:val="0066030C"/>
    <w:rsid w:val="00662ACF"/>
    <w:rsid w:val="006634D8"/>
    <w:rsid w:val="00665444"/>
    <w:rsid w:val="00666762"/>
    <w:rsid w:val="00667840"/>
    <w:rsid w:val="006712CE"/>
    <w:rsid w:val="006721F1"/>
    <w:rsid w:val="00672B76"/>
    <w:rsid w:val="00674154"/>
    <w:rsid w:val="006744F7"/>
    <w:rsid w:val="0067581D"/>
    <w:rsid w:val="006817D5"/>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449D"/>
    <w:rsid w:val="006B5088"/>
    <w:rsid w:val="006B5677"/>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3003"/>
    <w:rsid w:val="006F3A48"/>
    <w:rsid w:val="006F3DB1"/>
    <w:rsid w:val="006F4515"/>
    <w:rsid w:val="006F49B6"/>
    <w:rsid w:val="006F542E"/>
    <w:rsid w:val="006F59D2"/>
    <w:rsid w:val="006F5A99"/>
    <w:rsid w:val="007002AA"/>
    <w:rsid w:val="00700921"/>
    <w:rsid w:val="00700E1F"/>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4A9"/>
    <w:rsid w:val="00734575"/>
    <w:rsid w:val="00735CFC"/>
    <w:rsid w:val="00735D71"/>
    <w:rsid w:val="00736148"/>
    <w:rsid w:val="00736B32"/>
    <w:rsid w:val="007401E7"/>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D0A59"/>
    <w:rsid w:val="007D0D89"/>
    <w:rsid w:val="007D4775"/>
    <w:rsid w:val="007D51DB"/>
    <w:rsid w:val="007D52A8"/>
    <w:rsid w:val="007D52CD"/>
    <w:rsid w:val="007D5FAC"/>
    <w:rsid w:val="007D6479"/>
    <w:rsid w:val="007D7BC7"/>
    <w:rsid w:val="007E2EBE"/>
    <w:rsid w:val="007E2F82"/>
    <w:rsid w:val="007E3568"/>
    <w:rsid w:val="007E543F"/>
    <w:rsid w:val="007E552C"/>
    <w:rsid w:val="007F0464"/>
    <w:rsid w:val="007F141A"/>
    <w:rsid w:val="007F3D00"/>
    <w:rsid w:val="007F3D98"/>
    <w:rsid w:val="007F4654"/>
    <w:rsid w:val="007F794E"/>
    <w:rsid w:val="00801FBF"/>
    <w:rsid w:val="00803D3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DF"/>
    <w:rsid w:val="008346FE"/>
    <w:rsid w:val="0083729B"/>
    <w:rsid w:val="00837C07"/>
    <w:rsid w:val="00840686"/>
    <w:rsid w:val="00842E41"/>
    <w:rsid w:val="008465C2"/>
    <w:rsid w:val="00847371"/>
    <w:rsid w:val="00847915"/>
    <w:rsid w:val="008508A7"/>
    <w:rsid w:val="008509FE"/>
    <w:rsid w:val="0085211F"/>
    <w:rsid w:val="00853C48"/>
    <w:rsid w:val="00853DFF"/>
    <w:rsid w:val="0085573E"/>
    <w:rsid w:val="008609BD"/>
    <w:rsid w:val="00861129"/>
    <w:rsid w:val="00865DB7"/>
    <w:rsid w:val="008661E8"/>
    <w:rsid w:val="0086668C"/>
    <w:rsid w:val="008709E1"/>
    <w:rsid w:val="00871AEF"/>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4E1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45EA"/>
    <w:rsid w:val="00966797"/>
    <w:rsid w:val="00967F78"/>
    <w:rsid w:val="00970C17"/>
    <w:rsid w:val="00972A26"/>
    <w:rsid w:val="00974365"/>
    <w:rsid w:val="009772D5"/>
    <w:rsid w:val="00980230"/>
    <w:rsid w:val="0098055C"/>
    <w:rsid w:val="00980AE6"/>
    <w:rsid w:val="0098171A"/>
    <w:rsid w:val="00982B39"/>
    <w:rsid w:val="00982C89"/>
    <w:rsid w:val="00987CEF"/>
    <w:rsid w:val="00990A91"/>
    <w:rsid w:val="00990BFB"/>
    <w:rsid w:val="00992262"/>
    <w:rsid w:val="00993A92"/>
    <w:rsid w:val="009948F7"/>
    <w:rsid w:val="0099682B"/>
    <w:rsid w:val="009A0CB9"/>
    <w:rsid w:val="009A4472"/>
    <w:rsid w:val="009A723F"/>
    <w:rsid w:val="009B4732"/>
    <w:rsid w:val="009B5355"/>
    <w:rsid w:val="009B5D2C"/>
    <w:rsid w:val="009B5E85"/>
    <w:rsid w:val="009B691D"/>
    <w:rsid w:val="009B7C1E"/>
    <w:rsid w:val="009B7FB8"/>
    <w:rsid w:val="009C018C"/>
    <w:rsid w:val="009C4FC6"/>
    <w:rsid w:val="009C6CAB"/>
    <w:rsid w:val="009D0A67"/>
    <w:rsid w:val="009D0BDD"/>
    <w:rsid w:val="009D30D9"/>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644"/>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E0219"/>
    <w:rsid w:val="00AE1233"/>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902"/>
    <w:rsid w:val="00B26C68"/>
    <w:rsid w:val="00B30171"/>
    <w:rsid w:val="00B302F5"/>
    <w:rsid w:val="00B30C99"/>
    <w:rsid w:val="00B31A62"/>
    <w:rsid w:val="00B33E5B"/>
    <w:rsid w:val="00B355AB"/>
    <w:rsid w:val="00B36F20"/>
    <w:rsid w:val="00B37719"/>
    <w:rsid w:val="00B40729"/>
    <w:rsid w:val="00B42838"/>
    <w:rsid w:val="00B42B5E"/>
    <w:rsid w:val="00B43266"/>
    <w:rsid w:val="00B45827"/>
    <w:rsid w:val="00B461F9"/>
    <w:rsid w:val="00B474D0"/>
    <w:rsid w:val="00B52167"/>
    <w:rsid w:val="00B53218"/>
    <w:rsid w:val="00B5417F"/>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47DD"/>
    <w:rsid w:val="00BC538C"/>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202A"/>
    <w:rsid w:val="00C062D0"/>
    <w:rsid w:val="00C1294A"/>
    <w:rsid w:val="00C16B79"/>
    <w:rsid w:val="00C17D57"/>
    <w:rsid w:val="00C214AD"/>
    <w:rsid w:val="00C21BD8"/>
    <w:rsid w:val="00C24629"/>
    <w:rsid w:val="00C31819"/>
    <w:rsid w:val="00C31A61"/>
    <w:rsid w:val="00C32017"/>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7077B"/>
    <w:rsid w:val="00C729CD"/>
    <w:rsid w:val="00C72CDA"/>
    <w:rsid w:val="00C73CBE"/>
    <w:rsid w:val="00C7631A"/>
    <w:rsid w:val="00C8251B"/>
    <w:rsid w:val="00C82AFE"/>
    <w:rsid w:val="00C8350E"/>
    <w:rsid w:val="00C86370"/>
    <w:rsid w:val="00C866C5"/>
    <w:rsid w:val="00C8703B"/>
    <w:rsid w:val="00C905CD"/>
    <w:rsid w:val="00C90997"/>
    <w:rsid w:val="00C926CE"/>
    <w:rsid w:val="00C92D00"/>
    <w:rsid w:val="00C938A2"/>
    <w:rsid w:val="00C96DDA"/>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D4"/>
    <w:rsid w:val="00CD346D"/>
    <w:rsid w:val="00CD4000"/>
    <w:rsid w:val="00CD5D17"/>
    <w:rsid w:val="00CD65F7"/>
    <w:rsid w:val="00CD6EF8"/>
    <w:rsid w:val="00CD7375"/>
    <w:rsid w:val="00CE2071"/>
    <w:rsid w:val="00CE5E68"/>
    <w:rsid w:val="00CE656F"/>
    <w:rsid w:val="00CE68FC"/>
    <w:rsid w:val="00CE7222"/>
    <w:rsid w:val="00CF109F"/>
    <w:rsid w:val="00CF1C41"/>
    <w:rsid w:val="00CF447A"/>
    <w:rsid w:val="00CF4BE7"/>
    <w:rsid w:val="00CF5A1E"/>
    <w:rsid w:val="00CF6285"/>
    <w:rsid w:val="00CF7CD6"/>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1413"/>
    <w:rsid w:val="00D34FD3"/>
    <w:rsid w:val="00D35E01"/>
    <w:rsid w:val="00D36556"/>
    <w:rsid w:val="00D377DE"/>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3DE0"/>
    <w:rsid w:val="00D96690"/>
    <w:rsid w:val="00D974D3"/>
    <w:rsid w:val="00D975E7"/>
    <w:rsid w:val="00DA0916"/>
    <w:rsid w:val="00DA2723"/>
    <w:rsid w:val="00DA5080"/>
    <w:rsid w:val="00DA6452"/>
    <w:rsid w:val="00DA695E"/>
    <w:rsid w:val="00DA6ADA"/>
    <w:rsid w:val="00DA6C53"/>
    <w:rsid w:val="00DA7DC5"/>
    <w:rsid w:val="00DA7F0A"/>
    <w:rsid w:val="00DB02AD"/>
    <w:rsid w:val="00DB071D"/>
    <w:rsid w:val="00DB2081"/>
    <w:rsid w:val="00DB3635"/>
    <w:rsid w:val="00DB4AD1"/>
    <w:rsid w:val="00DC0B85"/>
    <w:rsid w:val="00DC18B4"/>
    <w:rsid w:val="00DC23C5"/>
    <w:rsid w:val="00DC2D2C"/>
    <w:rsid w:val="00DC6751"/>
    <w:rsid w:val="00DC7051"/>
    <w:rsid w:val="00DD0DB2"/>
    <w:rsid w:val="00DD1196"/>
    <w:rsid w:val="00DD1D64"/>
    <w:rsid w:val="00DD6B1F"/>
    <w:rsid w:val="00DD759C"/>
    <w:rsid w:val="00DD799E"/>
    <w:rsid w:val="00DE0AE4"/>
    <w:rsid w:val="00DE0BB8"/>
    <w:rsid w:val="00DE3399"/>
    <w:rsid w:val="00DE41DB"/>
    <w:rsid w:val="00DE5E56"/>
    <w:rsid w:val="00DF27E2"/>
    <w:rsid w:val="00DF2896"/>
    <w:rsid w:val="00DF637A"/>
    <w:rsid w:val="00DF74C6"/>
    <w:rsid w:val="00E00B59"/>
    <w:rsid w:val="00E029A1"/>
    <w:rsid w:val="00E02D97"/>
    <w:rsid w:val="00E0577E"/>
    <w:rsid w:val="00E0663E"/>
    <w:rsid w:val="00E07816"/>
    <w:rsid w:val="00E117CD"/>
    <w:rsid w:val="00E11D84"/>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502BA"/>
    <w:rsid w:val="00E5360E"/>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811D2"/>
    <w:rsid w:val="00E867B8"/>
    <w:rsid w:val="00E87890"/>
    <w:rsid w:val="00E87DB5"/>
    <w:rsid w:val="00E94C27"/>
    <w:rsid w:val="00E95454"/>
    <w:rsid w:val="00E9548A"/>
    <w:rsid w:val="00EA185B"/>
    <w:rsid w:val="00EA384C"/>
    <w:rsid w:val="00EA3A97"/>
    <w:rsid w:val="00EA4049"/>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329"/>
    <w:rsid w:val="00EE45E5"/>
    <w:rsid w:val="00EE4733"/>
    <w:rsid w:val="00EE4C5E"/>
    <w:rsid w:val="00EE547A"/>
    <w:rsid w:val="00EE582B"/>
    <w:rsid w:val="00EE7894"/>
    <w:rsid w:val="00EF0969"/>
    <w:rsid w:val="00EF22DD"/>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04E8"/>
    <w:rsid w:val="00F232A6"/>
    <w:rsid w:val="00F251AF"/>
    <w:rsid w:val="00F25526"/>
    <w:rsid w:val="00F26B20"/>
    <w:rsid w:val="00F30DB5"/>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194D"/>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455B"/>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1C1"/>
    <w:rsid w:val="00FF1DAB"/>
    <w:rsid w:val="00FF394A"/>
    <w:rsid w:val="00FF3DF8"/>
    <w:rsid w:val="0C9C3395"/>
    <w:rsid w:val="2CE81BAF"/>
    <w:rsid w:val="38F33167"/>
    <w:rsid w:val="5D123C9E"/>
    <w:rsid w:val="6BC1702A"/>
    <w:rsid w:val="6D1968F9"/>
    <w:rsid w:val="75BE6EB5"/>
    <w:rsid w:val="7EEF6C2A"/>
    <w:rsid w:val="7F074C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Book Antiqua" w:hAnsi="Book Antiqua" w:eastAsia="宋体" w:cs="Book Antiqu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99" w:semiHidden="0" w:name="Table Grid"/>
    <w:lsdException w:uiPriority="99" w:name="Table Theme" w:locked="1"/>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9"/>
    <w:pPr>
      <w:keepNext/>
      <w:keepLines/>
      <w:spacing w:before="340" w:after="330" w:line="578" w:lineRule="auto"/>
      <w:outlineLvl w:val="0"/>
    </w:pPr>
    <w:rPr>
      <w:b/>
      <w:kern w:val="44"/>
      <w:sz w:val="44"/>
      <w:szCs w:val="20"/>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jc w:val="left"/>
    </w:pPr>
    <w:rPr>
      <w:sz w:val="24"/>
      <w:szCs w:val="20"/>
    </w:rPr>
  </w:style>
  <w:style w:type="paragraph" w:styleId="4">
    <w:name w:val="Body Text"/>
    <w:basedOn w:val="1"/>
    <w:link w:val="40"/>
    <w:unhideWhenUsed/>
    <w:qFormat/>
    <w:locked/>
    <w:uiPriority w:val="99"/>
    <w:pPr>
      <w:spacing w:after="120"/>
    </w:pPr>
  </w:style>
  <w:style w:type="paragraph" w:styleId="5">
    <w:name w:val="Body Text Indent"/>
    <w:basedOn w:val="1"/>
    <w:link w:val="22"/>
    <w:qFormat/>
    <w:uiPriority w:val="99"/>
    <w:pPr>
      <w:ind w:firstLine="575" w:firstLineChars="274"/>
    </w:pPr>
    <w:rPr>
      <w:rFonts w:ascii="等线" w:eastAsia="等线"/>
      <w:sz w:val="22"/>
      <w:szCs w:val="20"/>
    </w:rPr>
  </w:style>
  <w:style w:type="paragraph" w:styleId="6">
    <w:name w:val="Block Text"/>
    <w:basedOn w:val="1"/>
    <w:unhideWhenUsed/>
    <w:qFormat/>
    <w:locked/>
    <w:uiPriority w:val="99"/>
    <w:pPr>
      <w:spacing w:after="120"/>
      <w:ind w:left="1440" w:leftChars="700" w:right="1440" w:rightChars="700"/>
    </w:pPr>
  </w:style>
  <w:style w:type="paragraph" w:styleId="7">
    <w:name w:val="index 4"/>
    <w:basedOn w:val="1"/>
    <w:next w:val="1"/>
    <w:uiPriority w:val="99"/>
    <w:pPr>
      <w:ind w:left="600" w:leftChars="600"/>
    </w:pPr>
    <w:rPr>
      <w:rFonts w:ascii="Verdana" w:hAnsi="Verdana"/>
    </w:rPr>
  </w:style>
  <w:style w:type="paragraph" w:styleId="8">
    <w:name w:val="Plain Text"/>
    <w:basedOn w:val="1"/>
    <w:link w:val="23"/>
    <w:qFormat/>
    <w:uiPriority w:val="0"/>
    <w:rPr>
      <w:rFonts w:ascii="宋体" w:hAnsi="Courier New"/>
      <w:szCs w:val="20"/>
    </w:rPr>
  </w:style>
  <w:style w:type="paragraph" w:styleId="9">
    <w:name w:val="Date"/>
    <w:basedOn w:val="1"/>
    <w:next w:val="1"/>
    <w:link w:val="24"/>
    <w:uiPriority w:val="99"/>
    <w:pPr>
      <w:ind w:left="100" w:leftChars="2500"/>
    </w:pPr>
    <w:rPr>
      <w:sz w:val="24"/>
      <w:szCs w:val="20"/>
    </w:rPr>
  </w:style>
  <w:style w:type="paragraph" w:styleId="10">
    <w:name w:val="Balloon Text"/>
    <w:basedOn w:val="1"/>
    <w:link w:val="25"/>
    <w:semiHidden/>
    <w:qFormat/>
    <w:uiPriority w:val="99"/>
    <w:rPr>
      <w:kern w:val="0"/>
      <w:sz w:val="2"/>
      <w:szCs w:val="20"/>
    </w:rPr>
  </w:style>
  <w:style w:type="paragraph" w:styleId="11">
    <w:name w:val="footer"/>
    <w:basedOn w:val="1"/>
    <w:link w:val="26"/>
    <w:uiPriority w:val="99"/>
    <w:pPr>
      <w:tabs>
        <w:tab w:val="center" w:pos="4153"/>
        <w:tab w:val="right" w:pos="8306"/>
      </w:tabs>
      <w:snapToGrid w:val="0"/>
      <w:jc w:val="left"/>
    </w:pPr>
    <w:rPr>
      <w:kern w:val="0"/>
      <w:sz w:val="18"/>
      <w:szCs w:val="18"/>
    </w:rPr>
  </w:style>
  <w:style w:type="paragraph" w:styleId="12">
    <w:name w:val="header"/>
    <w:basedOn w:val="1"/>
    <w:link w:val="27"/>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3"/>
    <w:next w:val="3"/>
    <w:link w:val="28"/>
    <w:uiPriority w:val="99"/>
    <w:rPr>
      <w:b/>
    </w:rPr>
  </w:style>
  <w:style w:type="table" w:styleId="16">
    <w:name w:val="Table Grid"/>
    <w:basedOn w:val="15"/>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uiPriority w:val="99"/>
    <w:rPr>
      <w:rFonts w:cs="Times New Roman"/>
      <w:color w:val="0563C1"/>
      <w:u w:val="single"/>
    </w:rPr>
  </w:style>
  <w:style w:type="character" w:styleId="19">
    <w:name w:val="annotation reference"/>
    <w:uiPriority w:val="99"/>
    <w:rPr>
      <w:rFonts w:cs="Times New Roman"/>
      <w:sz w:val="21"/>
    </w:rPr>
  </w:style>
  <w:style w:type="character" w:customStyle="1" w:styleId="20">
    <w:name w:val="标题 1 Char"/>
    <w:link w:val="2"/>
    <w:locked/>
    <w:uiPriority w:val="99"/>
    <w:rPr>
      <w:rFonts w:cs="Times New Roman"/>
      <w:b/>
      <w:kern w:val="44"/>
      <w:sz w:val="44"/>
    </w:rPr>
  </w:style>
  <w:style w:type="character" w:customStyle="1" w:styleId="21">
    <w:name w:val="批注文字 Char"/>
    <w:link w:val="3"/>
    <w:qFormat/>
    <w:locked/>
    <w:uiPriority w:val="99"/>
    <w:rPr>
      <w:rFonts w:cs="Times New Roman"/>
      <w:kern w:val="2"/>
      <w:sz w:val="24"/>
    </w:rPr>
  </w:style>
  <w:style w:type="character" w:customStyle="1" w:styleId="22">
    <w:name w:val="正文文本缩进 Char"/>
    <w:link w:val="5"/>
    <w:locked/>
    <w:uiPriority w:val="99"/>
    <w:rPr>
      <w:rFonts w:ascii="等线" w:eastAsia="等线" w:cs="Times New Roman"/>
      <w:kern w:val="2"/>
      <w:sz w:val="22"/>
    </w:rPr>
  </w:style>
  <w:style w:type="character" w:customStyle="1" w:styleId="23">
    <w:name w:val="纯文本 Char"/>
    <w:link w:val="8"/>
    <w:qFormat/>
    <w:locked/>
    <w:uiPriority w:val="0"/>
    <w:rPr>
      <w:rFonts w:ascii="宋体" w:hAnsi="Courier New" w:cs="Times New Roman"/>
      <w:kern w:val="2"/>
      <w:sz w:val="21"/>
    </w:rPr>
  </w:style>
  <w:style w:type="character" w:customStyle="1" w:styleId="24">
    <w:name w:val="日期 Char"/>
    <w:link w:val="9"/>
    <w:qFormat/>
    <w:locked/>
    <w:uiPriority w:val="99"/>
    <w:rPr>
      <w:rFonts w:cs="Times New Roman"/>
      <w:kern w:val="2"/>
      <w:sz w:val="24"/>
    </w:rPr>
  </w:style>
  <w:style w:type="character" w:customStyle="1" w:styleId="25">
    <w:name w:val="批注框文本 Char"/>
    <w:link w:val="10"/>
    <w:semiHidden/>
    <w:locked/>
    <w:uiPriority w:val="99"/>
    <w:rPr>
      <w:rFonts w:cs="Times New Roman"/>
      <w:sz w:val="2"/>
    </w:rPr>
  </w:style>
  <w:style w:type="character" w:customStyle="1" w:styleId="26">
    <w:name w:val="页脚 Char"/>
    <w:link w:val="11"/>
    <w:semiHidden/>
    <w:locked/>
    <w:uiPriority w:val="99"/>
    <w:rPr>
      <w:rFonts w:cs="Times New Roman"/>
      <w:sz w:val="18"/>
      <w:szCs w:val="18"/>
    </w:rPr>
  </w:style>
  <w:style w:type="character" w:customStyle="1" w:styleId="27">
    <w:name w:val="页眉 Char"/>
    <w:link w:val="12"/>
    <w:locked/>
    <w:uiPriority w:val="99"/>
    <w:rPr>
      <w:rFonts w:cs="Times New Roman"/>
      <w:kern w:val="2"/>
      <w:sz w:val="18"/>
    </w:rPr>
  </w:style>
  <w:style w:type="character" w:customStyle="1" w:styleId="28">
    <w:name w:val="批注主题 Char"/>
    <w:link w:val="14"/>
    <w:locked/>
    <w:uiPriority w:val="99"/>
    <w:rPr>
      <w:rFonts w:cs="Times New Roman"/>
      <w:b/>
      <w:kern w:val="2"/>
      <w:sz w:val="24"/>
    </w:rPr>
  </w:style>
  <w:style w:type="paragraph" w:customStyle="1" w:styleId="29">
    <w:name w:val="Char"/>
    <w:basedOn w:val="1"/>
    <w:uiPriority w:val="99"/>
    <w:pPr>
      <w:tabs>
        <w:tab w:val="left" w:pos="360"/>
      </w:tabs>
    </w:pPr>
    <w:rPr>
      <w:sz w:val="24"/>
    </w:rPr>
  </w:style>
  <w:style w:type="character" w:customStyle="1" w:styleId="30">
    <w:name w:val="列出段落 Char"/>
    <w:link w:val="31"/>
    <w:locked/>
    <w:uiPriority w:val="0"/>
  </w:style>
  <w:style w:type="paragraph" w:styleId="31">
    <w:name w:val="List Paragraph"/>
    <w:basedOn w:val="1"/>
    <w:link w:val="30"/>
    <w:qFormat/>
    <w:uiPriority w:val="0"/>
    <w:pPr>
      <w:widowControl/>
      <w:ind w:firstLine="420" w:firstLineChars="200"/>
      <w:jc w:val="left"/>
    </w:pPr>
    <w:rPr>
      <w:kern w:val="0"/>
      <w:sz w:val="20"/>
      <w:szCs w:val="20"/>
    </w:rPr>
  </w:style>
  <w:style w:type="table" w:customStyle="1" w:styleId="32">
    <w:name w:val="网格型1"/>
    <w:uiPriority w:val="9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laceholder Text"/>
    <w:semiHidden/>
    <w:uiPriority w:val="99"/>
    <w:rPr>
      <w:rFonts w:cs="Times New Roman"/>
      <w:color w:val="808080"/>
    </w:rPr>
  </w:style>
  <w:style w:type="paragraph" w:customStyle="1" w:styleId="34">
    <w:name w:val="列出段落1"/>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5">
    <w:name w:val="正文 New New New New"/>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6">
    <w:name w:val="网格型11"/>
    <w:uiPriority w:val="9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列出段落2"/>
    <w:basedOn w:val="1"/>
    <w:uiPriority w:val="99"/>
    <w:pPr>
      <w:ind w:firstLine="420" w:firstLineChars="200"/>
    </w:pPr>
    <w:rPr>
      <w:rFonts w:ascii="Calibri" w:hAnsi="Calibri"/>
      <w:szCs w:val="22"/>
    </w:rPr>
  </w:style>
  <w:style w:type="character" w:customStyle="1" w:styleId="38">
    <w:name w:val="标题 2 Char Char Char"/>
    <w:uiPriority w:val="99"/>
    <w:rPr>
      <w:rFonts w:ascii="Arial" w:hAnsi="Arial" w:eastAsia="黑体"/>
      <w:b/>
      <w:kern w:val="2"/>
      <w:sz w:val="32"/>
      <w:lang w:val="en-US" w:eastAsia="zh-CN"/>
    </w:rPr>
  </w:style>
  <w:style w:type="paragraph" w:customStyle="1" w:styleId="39">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0">
    <w:name w:val="正文文本 Char"/>
    <w:link w:val="4"/>
    <w:uiPriority w:val="99"/>
    <w:rPr>
      <w:kern w:val="2"/>
      <w:sz w:val="21"/>
      <w:szCs w:val="24"/>
    </w:rPr>
  </w:style>
  <w:style w:type="paragraph" w:customStyle="1" w:styleId="41">
    <w:name w:val="正文1"/>
    <w:basedOn w:val="1"/>
    <w:uiPriority w:val="0"/>
    <w:pPr>
      <w:widowControl/>
      <w:spacing w:after="200" w:line="300" w:lineRule="atLeast"/>
      <w:jc w:val="left"/>
    </w:pPr>
    <w:rPr>
      <w:rFonts w:ascii="Calibri" w:hAnsi="Calibri" w:cs="宋体"/>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F26F2-368A-49BC-845B-B4F08510773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1452</Words>
  <Characters>8282</Characters>
  <Lines>69</Lines>
  <Paragraphs>19</Paragraphs>
  <TotalTime>13</TotalTime>
  <ScaleCrop>false</ScaleCrop>
  <LinksUpToDate>false</LinksUpToDate>
  <CharactersWithSpaces>9715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2020-05-22T07:13:00Z</dcterms:created>
  <dc:creator>微软用户</dc:creator>
  <cp:lastModifiedBy>nxdlu</cp:lastModifiedBy>
  <cp:lastPrinted>2019-05-30T06:49:00Z</cp:lastPrinted>
  <dcterms:modified xsi:type="dcterms:W3CDTF">2020-05-22T07:27:57Z</dcterms:modified>
  <dc:title>淮海工学院A8-10号楼学生宿舍家具招标书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