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62"/>
        <w:jc w:val="center"/>
        <w:rPr>
          <w:b/>
          <w:color w:val="auto"/>
          <w:sz w:val="44"/>
          <w:szCs w:val="44"/>
          <w:highlight w:val="none"/>
        </w:rPr>
      </w:pPr>
      <w:bookmarkStart w:id="0" w:name="OLE_LINK1"/>
      <w:bookmarkStart w:id="1" w:name="OLE_LINK2"/>
      <w:bookmarkStart w:id="34" w:name="_GoBack"/>
      <w:r>
        <w:rPr>
          <w:b/>
          <w:color w:val="auto"/>
          <w:sz w:val="44"/>
          <w:szCs w:val="44"/>
          <w:highlight w:val="none"/>
        </w:rPr>
        <w:t>南京信息工程大学</w:t>
      </w:r>
      <w:bookmarkEnd w:id="0"/>
      <w:bookmarkEnd w:id="1"/>
      <w:r>
        <w:rPr>
          <w:rFonts w:hint="eastAsia"/>
          <w:b/>
          <w:color w:val="auto"/>
          <w:sz w:val="44"/>
          <w:szCs w:val="44"/>
          <w:highlight w:val="none"/>
        </w:rPr>
        <w:t>信大优学之智慧后勤</w:t>
      </w:r>
    </w:p>
    <w:p>
      <w:pPr>
        <w:ind w:firstLine="862"/>
        <w:jc w:val="center"/>
        <w:rPr>
          <w:b/>
          <w:color w:val="auto"/>
          <w:sz w:val="44"/>
          <w:szCs w:val="44"/>
          <w:highlight w:val="none"/>
        </w:rPr>
      </w:pPr>
      <w:r>
        <w:rPr>
          <w:rFonts w:hint="eastAsia"/>
          <w:b/>
          <w:color w:val="auto"/>
          <w:sz w:val="44"/>
          <w:szCs w:val="44"/>
          <w:highlight w:val="none"/>
        </w:rPr>
        <w:t>（网络报修平台、环境曝光平台等）</w:t>
      </w:r>
      <w:r>
        <w:rPr>
          <w:b/>
          <w:color w:val="auto"/>
          <w:sz w:val="44"/>
          <w:szCs w:val="44"/>
          <w:highlight w:val="none"/>
        </w:rPr>
        <w:t>采购项目招标文件</w:t>
      </w:r>
    </w:p>
    <w:p>
      <w:pPr>
        <w:pStyle w:val="2"/>
        <w:ind w:left="1470" w:right="1470"/>
        <w:rPr>
          <w:color w:val="auto"/>
          <w:highlight w:val="none"/>
        </w:rPr>
      </w:pPr>
    </w:p>
    <w:p>
      <w:pPr>
        <w:adjustRightInd w:val="0"/>
        <w:snapToGrid w:val="0"/>
        <w:spacing w:line="360" w:lineRule="auto"/>
        <w:jc w:val="center"/>
        <w:rPr>
          <w:rFonts w:ascii="宋体" w:hAnsi="宋体" w:cs="仿宋"/>
          <w:color w:val="auto"/>
          <w:sz w:val="28"/>
          <w:szCs w:val="28"/>
          <w:highlight w:val="none"/>
        </w:rPr>
      </w:pPr>
      <w:r>
        <w:rPr>
          <w:rFonts w:hint="eastAsia" w:ascii="宋体" w:hAnsi="宋体" w:cs="仿宋"/>
          <w:color w:val="auto"/>
          <w:sz w:val="28"/>
          <w:szCs w:val="28"/>
          <w:highlight w:val="none"/>
        </w:rPr>
        <w:t>（招标编号：HQ2020002）</w:t>
      </w:r>
    </w:p>
    <w:p>
      <w:pPr>
        <w:adjustRightInd w:val="0"/>
        <w:snapToGrid w:val="0"/>
        <w:spacing w:line="360" w:lineRule="auto"/>
        <w:jc w:val="center"/>
        <w:rPr>
          <w:rFonts w:ascii="宋体" w:cs="仿宋"/>
          <w:color w:val="auto"/>
          <w:sz w:val="28"/>
          <w:szCs w:val="28"/>
          <w:highlight w:val="none"/>
        </w:rPr>
      </w:pPr>
    </w:p>
    <w:p>
      <w:pPr>
        <w:adjustRightInd w:val="0"/>
        <w:snapToGrid w:val="0"/>
        <w:spacing w:line="360" w:lineRule="auto"/>
        <w:jc w:val="center"/>
        <w:rPr>
          <w:rFonts w:ascii="宋体" w:cs="仿宋"/>
          <w:color w:val="auto"/>
          <w:sz w:val="28"/>
          <w:szCs w:val="28"/>
          <w:highlight w:val="none"/>
        </w:rPr>
      </w:pPr>
      <w:r>
        <w:rPr>
          <w:rFonts w:ascii="宋体" w:hAnsi="宋体" w:cs="仿宋"/>
          <w:color w:val="auto"/>
          <w:sz w:val="28"/>
          <w:szCs w:val="28"/>
          <w:highlight w:val="none"/>
        </w:rPr>
        <w:t>(</w:t>
      </w:r>
      <w:r>
        <w:rPr>
          <w:rFonts w:ascii="宋体" w:hAnsi="宋体" w:cs="仿宋"/>
          <w:color w:val="auto"/>
          <w:sz w:val="28"/>
          <w:szCs w:val="28"/>
          <w:highlight w:val="none"/>
          <w:u w:val="single"/>
        </w:rPr>
        <w:t>20</w:t>
      </w:r>
      <w:r>
        <w:rPr>
          <w:rFonts w:hint="eastAsia" w:ascii="宋体" w:hAnsi="宋体" w:cs="仿宋"/>
          <w:color w:val="auto"/>
          <w:sz w:val="28"/>
          <w:szCs w:val="28"/>
          <w:highlight w:val="none"/>
          <w:u w:val="single"/>
        </w:rPr>
        <w:t>20年</w:t>
      </w:r>
      <w:r>
        <w:rPr>
          <w:rFonts w:hint="eastAsia" w:ascii="宋体" w:hAnsi="宋体" w:cs="仿宋"/>
          <w:color w:val="auto"/>
          <w:sz w:val="28"/>
          <w:szCs w:val="28"/>
          <w:highlight w:val="none"/>
          <w:u w:val="single"/>
        </w:rPr>
        <w:t>06月1</w:t>
      </w:r>
      <w:r>
        <w:rPr>
          <w:rFonts w:hint="eastAsia" w:ascii="宋体" w:hAnsi="宋体" w:cs="仿宋"/>
          <w:color w:val="auto"/>
          <w:sz w:val="28"/>
          <w:szCs w:val="28"/>
          <w:highlight w:val="none"/>
          <w:u w:val="single"/>
          <w:lang w:val="en-US" w:eastAsia="zh-CN"/>
        </w:rPr>
        <w:t>5</w:t>
      </w:r>
      <w:r>
        <w:rPr>
          <w:rFonts w:hint="eastAsia" w:ascii="宋体" w:hAnsi="宋体" w:cs="仿宋"/>
          <w:color w:val="auto"/>
          <w:sz w:val="28"/>
          <w:szCs w:val="28"/>
          <w:highlight w:val="none"/>
          <w:u w:val="single"/>
        </w:rPr>
        <w:t>日</w:t>
      </w:r>
      <w:r>
        <w:rPr>
          <w:rFonts w:hint="eastAsia" w:ascii="宋体" w:hAnsi="宋体" w:cs="仿宋"/>
          <w:color w:val="auto"/>
          <w:sz w:val="28"/>
          <w:szCs w:val="28"/>
          <w:highlight w:val="none"/>
          <w:u w:val="single"/>
          <w:lang w:val="en-US" w:eastAsia="zh-CN"/>
        </w:rPr>
        <w:t>10</w:t>
      </w:r>
      <w:r>
        <w:rPr>
          <w:rFonts w:hint="eastAsia" w:ascii="宋体" w:hAnsi="宋体" w:cs="仿宋"/>
          <w:color w:val="auto"/>
          <w:sz w:val="28"/>
          <w:szCs w:val="28"/>
          <w:highlight w:val="none"/>
          <w:u w:val="single"/>
        </w:rPr>
        <w:t>：</w:t>
      </w:r>
      <w:r>
        <w:rPr>
          <w:rFonts w:ascii="宋体" w:cs="仿宋"/>
          <w:color w:val="auto"/>
          <w:sz w:val="28"/>
          <w:szCs w:val="28"/>
          <w:highlight w:val="none"/>
          <w:u w:val="single"/>
        </w:rPr>
        <w:t>00</w:t>
      </w:r>
      <w:r>
        <w:rPr>
          <w:rFonts w:hint="eastAsia" w:ascii="宋体" w:hAnsi="宋体" w:cs="仿宋"/>
          <w:color w:val="auto"/>
          <w:sz w:val="28"/>
          <w:szCs w:val="28"/>
          <w:highlight w:val="none"/>
          <w:u w:val="single"/>
        </w:rPr>
        <w:t>定标发标版</w:t>
      </w:r>
      <w:r>
        <w:rPr>
          <w:rFonts w:ascii="宋体" w:hAnsi="宋体" w:cs="仿宋"/>
          <w:color w:val="auto"/>
          <w:sz w:val="28"/>
          <w:szCs w:val="28"/>
          <w:highlight w:val="none"/>
        </w:rPr>
        <w:t>)</w:t>
      </w:r>
    </w:p>
    <w:p>
      <w:pPr>
        <w:jc w:val="center"/>
        <w:rPr>
          <w:b/>
          <w:color w:val="auto"/>
          <w:sz w:val="28"/>
          <w:szCs w:val="28"/>
          <w:highlight w:val="none"/>
        </w:rPr>
      </w:pPr>
    </w:p>
    <w:p>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为满足学校后勤相关工作需要，受校后勤服务总公司的委托，就信大优学之智慧后勤（网络报修平台、环境曝光平台等）采购</w:t>
      </w:r>
      <w:r>
        <w:rPr>
          <w:rFonts w:hint="eastAsia" w:ascii="宋体" w:hAnsi="宋体" w:cs="仿宋"/>
          <w:color w:val="auto"/>
          <w:sz w:val="28"/>
          <w:szCs w:val="28"/>
          <w:highlight w:val="none"/>
        </w:rPr>
        <w:t>项目</w:t>
      </w:r>
      <w:r>
        <w:rPr>
          <w:rFonts w:ascii="宋体" w:hAnsi="宋体"/>
          <w:color w:val="auto"/>
          <w:sz w:val="28"/>
          <w:szCs w:val="28"/>
          <w:highlight w:val="none"/>
        </w:rPr>
        <w:t>进行公开招标，欢迎符合条件的供应商报名投标，现将有关情况说明如下：</w:t>
      </w:r>
    </w:p>
    <w:p>
      <w:pPr>
        <w:spacing w:line="360" w:lineRule="auto"/>
        <w:ind w:firstLine="480" w:firstLineChars="200"/>
        <w:rPr>
          <w:color w:val="auto"/>
          <w:sz w:val="24"/>
          <w:highlight w:val="none"/>
        </w:rPr>
      </w:pPr>
    </w:p>
    <w:p>
      <w:pPr>
        <w:pStyle w:val="33"/>
        <w:spacing w:line="360" w:lineRule="auto"/>
        <w:ind w:firstLine="0" w:firstLineChars="0"/>
        <w:jc w:val="center"/>
        <w:rPr>
          <w:rFonts w:ascii="宋体" w:hAnsi="宋体" w:cs="仿宋"/>
          <w:b/>
          <w:bCs/>
          <w:color w:val="auto"/>
          <w:kern w:val="2"/>
          <w:sz w:val="28"/>
          <w:szCs w:val="28"/>
          <w:highlight w:val="none"/>
        </w:rPr>
      </w:pPr>
      <w:r>
        <w:rPr>
          <w:rFonts w:hint="eastAsia" w:ascii="宋体" w:hAnsi="宋体" w:cs="仿宋"/>
          <w:b/>
          <w:bCs/>
          <w:color w:val="auto"/>
          <w:kern w:val="2"/>
          <w:sz w:val="28"/>
          <w:szCs w:val="28"/>
          <w:highlight w:val="none"/>
        </w:rPr>
        <w:t>一、招标项目名称及简要说明</w:t>
      </w:r>
    </w:p>
    <w:p>
      <w:pPr>
        <w:spacing w:line="360" w:lineRule="auto"/>
        <w:ind w:firstLine="560" w:firstLineChars="200"/>
        <w:rPr>
          <w:rFonts w:ascii="宋体" w:hAnsi="宋体"/>
          <w:color w:val="auto"/>
          <w:sz w:val="28"/>
          <w:szCs w:val="28"/>
          <w:highlight w:val="none"/>
        </w:rPr>
      </w:pPr>
      <w:r>
        <w:rPr>
          <w:rFonts w:ascii="宋体" w:hAnsi="宋体"/>
          <w:color w:val="auto"/>
          <w:sz w:val="28"/>
          <w:szCs w:val="28"/>
          <w:highlight w:val="none"/>
        </w:rPr>
        <w:t>1. 项目名称：南京信息工程大学</w:t>
      </w:r>
      <w:r>
        <w:rPr>
          <w:rFonts w:hint="eastAsia" w:ascii="宋体" w:hAnsi="宋体"/>
          <w:color w:val="auto"/>
          <w:sz w:val="28"/>
          <w:szCs w:val="28"/>
          <w:highlight w:val="none"/>
        </w:rPr>
        <w:t>信大优学之智慧后勤（网络报修平台、环境曝光平台等）采购项目。</w:t>
      </w:r>
    </w:p>
    <w:p>
      <w:pPr>
        <w:pStyle w:val="33"/>
        <w:spacing w:line="360" w:lineRule="auto"/>
        <w:ind w:firstLine="560"/>
        <w:rPr>
          <w:rFonts w:ascii="宋体" w:cs="仿宋"/>
          <w:color w:val="auto"/>
          <w:sz w:val="28"/>
          <w:szCs w:val="28"/>
          <w:highlight w:val="none"/>
        </w:rPr>
      </w:pPr>
      <w:r>
        <w:rPr>
          <w:rFonts w:ascii="宋体" w:hAnsi="宋体"/>
          <w:color w:val="auto"/>
          <w:sz w:val="28"/>
          <w:szCs w:val="28"/>
          <w:highlight w:val="none"/>
        </w:rPr>
        <w:t xml:space="preserve">2. </w:t>
      </w:r>
      <w:r>
        <w:rPr>
          <w:rFonts w:hint="eastAsia" w:ascii="宋体" w:hAnsi="宋体" w:cs="仿宋"/>
          <w:color w:val="auto"/>
          <w:sz w:val="28"/>
          <w:szCs w:val="28"/>
          <w:highlight w:val="none"/>
        </w:rPr>
        <w:t>项目说明：本项目包含网络报修平台（E修平台）、环境曝光平台、评价考核平台、后勤人力资源管理系统4个子平台。</w:t>
      </w:r>
      <w:r>
        <w:rPr>
          <w:rFonts w:hint="eastAsia" w:ascii="宋体" w:hAnsi="宋体"/>
          <w:color w:val="auto"/>
          <w:sz w:val="28"/>
          <w:szCs w:val="28"/>
          <w:highlight w:val="none"/>
        </w:rPr>
        <w:t>南京信息工程大学校内，本次招标</w:t>
      </w:r>
      <w:r>
        <w:rPr>
          <w:rFonts w:hint="eastAsia" w:ascii="宋体" w:hAnsi="宋体" w:cs="仿宋"/>
          <w:color w:val="auto"/>
          <w:sz w:val="28"/>
          <w:szCs w:val="28"/>
          <w:highlight w:val="none"/>
        </w:rPr>
        <w:t>项目必须由中标单位自行完成，严禁转包和擅自分包。否则我校有权单方面终止本合同的执行，并且中标人支付按合同价款</w:t>
      </w:r>
      <w:r>
        <w:rPr>
          <w:rFonts w:ascii="宋体" w:hAnsi="宋体" w:cs="仿宋"/>
          <w:color w:val="auto"/>
          <w:sz w:val="28"/>
          <w:szCs w:val="28"/>
          <w:highlight w:val="none"/>
        </w:rPr>
        <w:t>20%</w:t>
      </w:r>
      <w:r>
        <w:rPr>
          <w:rFonts w:hint="eastAsia" w:ascii="宋体" w:hAnsi="宋体" w:cs="仿宋"/>
          <w:color w:val="auto"/>
          <w:sz w:val="28"/>
          <w:szCs w:val="28"/>
          <w:highlight w:val="none"/>
        </w:rPr>
        <w:t>的违约金，由此所造成的一切后果和经济损失均由中标人自行负责和承担。</w:t>
      </w:r>
    </w:p>
    <w:p>
      <w:pPr>
        <w:spacing w:line="360" w:lineRule="auto"/>
        <w:ind w:firstLine="560" w:firstLineChars="200"/>
        <w:jc w:val="left"/>
        <w:rPr>
          <w:rFonts w:ascii="宋体"/>
          <w:color w:val="auto"/>
          <w:sz w:val="28"/>
          <w:szCs w:val="28"/>
          <w:highlight w:val="none"/>
        </w:rPr>
      </w:pPr>
      <w:r>
        <w:rPr>
          <w:rFonts w:ascii="宋体" w:hAnsi="宋体"/>
          <w:color w:val="auto"/>
          <w:sz w:val="28"/>
          <w:szCs w:val="28"/>
          <w:highlight w:val="none"/>
        </w:rPr>
        <w:t>3</w:t>
      </w:r>
      <w:bookmarkStart w:id="2" w:name="_Hlk9865971"/>
      <w:r>
        <w:rPr>
          <w:rFonts w:hint="eastAsia" w:ascii="宋体" w:hAnsi="宋体"/>
          <w:color w:val="auto"/>
          <w:sz w:val="28"/>
          <w:szCs w:val="28"/>
          <w:highlight w:val="none"/>
        </w:rPr>
        <w:t>.本次招标采取公开招标方式，不承诺最低价（最高价）中标。招标公告和中标公示信息均在</w:t>
      </w:r>
      <w:r>
        <w:rPr>
          <w:color w:val="auto"/>
          <w:highlight w:val="none"/>
        </w:rPr>
        <w:fldChar w:fldCharType="begin"/>
      </w:r>
      <w:r>
        <w:rPr>
          <w:color w:val="auto"/>
          <w:highlight w:val="none"/>
        </w:rPr>
        <w:instrText xml:space="preserve"> HYPERLINK "https://bulletin.nuist.edu.cn/779/list.htm" </w:instrText>
      </w:r>
      <w:r>
        <w:rPr>
          <w:color w:val="auto"/>
          <w:highlight w:val="none"/>
        </w:rPr>
        <w:fldChar w:fldCharType="separate"/>
      </w:r>
      <w:r>
        <w:rPr>
          <w:rStyle w:val="20"/>
          <w:b/>
          <w:color w:val="auto"/>
          <w:sz w:val="24"/>
          <w:highlight w:val="none"/>
        </w:rPr>
        <w:t>https://bulletin.nuist.edu.cn/779/lis</w:t>
      </w:r>
      <w:r>
        <w:rPr>
          <w:rStyle w:val="20"/>
          <w:color w:val="auto"/>
          <w:sz w:val="24"/>
          <w:highlight w:val="none"/>
        </w:rPr>
        <w:t>t.htm</w:t>
      </w:r>
      <w:r>
        <w:rPr>
          <w:rStyle w:val="20"/>
          <w:color w:val="auto"/>
          <w:sz w:val="24"/>
          <w:highlight w:val="none"/>
        </w:rPr>
        <w:fldChar w:fldCharType="end"/>
      </w:r>
      <w:r>
        <w:rPr>
          <w:rFonts w:hint="eastAsia" w:ascii="宋体" w:hAnsi="宋体"/>
          <w:color w:val="auto"/>
          <w:sz w:val="28"/>
          <w:szCs w:val="28"/>
          <w:highlight w:val="none"/>
        </w:rPr>
        <w:t>和</w:t>
      </w:r>
      <w:r>
        <w:rPr>
          <w:color w:val="auto"/>
          <w:highlight w:val="none"/>
        </w:rPr>
        <w:fldChar w:fldCharType="begin"/>
      </w:r>
      <w:r>
        <w:rPr>
          <w:color w:val="auto"/>
          <w:highlight w:val="none"/>
        </w:rPr>
        <w:instrText xml:space="preserve"> HYPERLINK "http://zbc.nuist.edu.cn" </w:instrText>
      </w:r>
      <w:r>
        <w:rPr>
          <w:color w:val="auto"/>
          <w:highlight w:val="none"/>
        </w:rPr>
        <w:fldChar w:fldCharType="separate"/>
      </w:r>
      <w:r>
        <w:rPr>
          <w:rFonts w:ascii="宋体" w:hAnsi="宋体"/>
          <w:b/>
          <w:color w:val="auto"/>
          <w:sz w:val="24"/>
          <w:szCs w:val="28"/>
          <w:highlight w:val="none"/>
        </w:rPr>
        <w:t>zbc.nuist.edu.cn</w:t>
      </w:r>
      <w:r>
        <w:rPr>
          <w:rFonts w:ascii="宋体" w:hAnsi="宋体"/>
          <w:b/>
          <w:color w:val="auto"/>
          <w:sz w:val="24"/>
          <w:szCs w:val="28"/>
          <w:highlight w:val="none"/>
        </w:rPr>
        <w:fldChar w:fldCharType="end"/>
      </w:r>
      <w:r>
        <w:rPr>
          <w:rFonts w:hint="eastAsia" w:ascii="宋体" w:hAnsi="宋体"/>
          <w:color w:val="auto"/>
          <w:sz w:val="28"/>
          <w:szCs w:val="28"/>
          <w:highlight w:val="none"/>
        </w:rPr>
        <w:t>网页上公开发布</w:t>
      </w:r>
      <w:r>
        <w:rPr>
          <w:rFonts w:ascii="宋体"/>
          <w:color w:val="auto"/>
          <w:sz w:val="28"/>
          <w:szCs w:val="28"/>
          <w:highlight w:val="none"/>
        </w:rPr>
        <w:t>,</w:t>
      </w:r>
      <w:r>
        <w:rPr>
          <w:rFonts w:hint="eastAsia" w:ascii="宋体" w:hAnsi="宋体"/>
          <w:color w:val="auto"/>
          <w:sz w:val="28"/>
          <w:szCs w:val="28"/>
          <w:highlight w:val="none"/>
        </w:rPr>
        <w:t>接受监督。欢迎社会招标机构和网站转载，转载信息与我校网站信息不一致时，以我校网站为准。</w:t>
      </w:r>
    </w:p>
    <w:bookmarkEnd w:id="2"/>
    <w:p>
      <w:pPr>
        <w:spacing w:line="360" w:lineRule="auto"/>
        <w:ind w:firstLine="570"/>
        <w:jc w:val="left"/>
        <w:rPr>
          <w:rFonts w:ascii="宋体" w:cs="宋体"/>
          <w:color w:val="auto"/>
          <w:sz w:val="28"/>
          <w:szCs w:val="28"/>
          <w:highlight w:val="none"/>
        </w:rPr>
      </w:pPr>
      <w:r>
        <w:rPr>
          <w:rFonts w:ascii="宋体" w:hAnsi="宋体"/>
          <w:color w:val="auto"/>
          <w:sz w:val="28"/>
          <w:szCs w:val="28"/>
          <w:highlight w:val="none"/>
        </w:rPr>
        <w:t>4</w:t>
      </w:r>
      <w:bookmarkStart w:id="3" w:name="_Hlk9866054"/>
      <w:r>
        <w:rPr>
          <w:rFonts w:hint="eastAsia" w:ascii="宋体" w:hAnsi="宋体"/>
          <w:color w:val="auto"/>
          <w:sz w:val="28"/>
          <w:szCs w:val="28"/>
          <w:highlight w:val="none"/>
        </w:rPr>
        <w:t>.招标文件由我校采购人、项目归口管理部门和财务处联合起草；经学校相关职能部门会审通过形成正式招标文件。同时</w:t>
      </w:r>
      <w:r>
        <w:rPr>
          <w:rFonts w:hint="eastAsia" w:ascii="宋体" w:hAnsi="宋体" w:cs="宋体"/>
          <w:color w:val="auto"/>
          <w:sz w:val="28"/>
          <w:szCs w:val="28"/>
          <w:highlight w:val="none"/>
        </w:rPr>
        <w:t>打印</w:t>
      </w:r>
      <w:r>
        <w:rPr>
          <w:rFonts w:ascii="宋体" w:hAnsi="宋体" w:cs="宋体"/>
          <w:color w:val="auto"/>
          <w:sz w:val="28"/>
          <w:szCs w:val="28"/>
          <w:highlight w:val="none"/>
        </w:rPr>
        <w:t>3</w:t>
      </w:r>
      <w:r>
        <w:rPr>
          <w:rFonts w:hint="eastAsia" w:ascii="宋体" w:hAnsi="宋体" w:cs="宋体"/>
          <w:color w:val="auto"/>
          <w:sz w:val="28"/>
          <w:szCs w:val="28"/>
          <w:highlight w:val="none"/>
        </w:rPr>
        <w:t>份纸质的正式招标文件，由财务处负责人和招标科工作人员同时签字并加盖财务处骑缝章后，分别交财务处、项目归口管理部门（或采购人）、审计处各</w:t>
      </w:r>
      <w:r>
        <w:rPr>
          <w:rFonts w:ascii="宋体" w:hAnsi="宋体" w:cs="宋体"/>
          <w:color w:val="auto"/>
          <w:sz w:val="28"/>
          <w:szCs w:val="28"/>
          <w:highlight w:val="none"/>
        </w:rPr>
        <w:t>1</w:t>
      </w:r>
      <w:r>
        <w:rPr>
          <w:rFonts w:hint="eastAsia" w:ascii="宋体" w:hAnsi="宋体" w:cs="宋体"/>
          <w:color w:val="auto"/>
          <w:sz w:val="28"/>
          <w:szCs w:val="28"/>
          <w:highlight w:val="none"/>
        </w:rPr>
        <w:t>份，作为相关部门存档、合同签订、项目竣工验收和决（结）算审计，以及处理纠纷等的依据。</w:t>
      </w:r>
    </w:p>
    <w:bookmarkEnd w:id="3"/>
    <w:p>
      <w:pPr>
        <w:spacing w:line="360" w:lineRule="auto"/>
        <w:ind w:firstLine="570"/>
        <w:jc w:val="left"/>
        <w:rPr>
          <w:rFonts w:ascii="宋体" w:hAnsi="宋体"/>
          <w:color w:val="auto"/>
          <w:sz w:val="28"/>
          <w:szCs w:val="28"/>
          <w:highlight w:val="none"/>
        </w:rPr>
      </w:pPr>
      <w:r>
        <w:rPr>
          <w:rFonts w:ascii="宋体" w:hAnsi="宋体"/>
          <w:color w:val="auto"/>
          <w:sz w:val="28"/>
          <w:szCs w:val="28"/>
          <w:highlight w:val="none"/>
        </w:rPr>
        <w:t>5.</w:t>
      </w:r>
      <w:r>
        <w:rPr>
          <w:rFonts w:hint="eastAsia" w:ascii="宋体" w:hAnsi="宋体"/>
          <w:color w:val="auto"/>
          <w:sz w:val="28"/>
          <w:szCs w:val="28"/>
          <w:highlight w:val="none"/>
        </w:rPr>
        <w:t>正式的答疑回复文件也按上述方式处理留存。</w:t>
      </w:r>
    </w:p>
    <w:p>
      <w:pPr>
        <w:pStyle w:val="41"/>
        <w:adjustRightInd w:val="0"/>
        <w:snapToGrid w:val="0"/>
        <w:spacing w:before="0" w:beforeAutospacing="0" w:after="0" w:afterAutospacing="0" w:line="360" w:lineRule="auto"/>
        <w:ind w:firstLine="560" w:firstLineChars="200"/>
        <w:rPr>
          <w:rFonts w:cs="Times New Roman"/>
          <w:color w:val="auto"/>
          <w:kern w:val="2"/>
          <w:sz w:val="28"/>
          <w:szCs w:val="28"/>
          <w:highlight w:val="none"/>
        </w:rPr>
      </w:pPr>
      <w:r>
        <w:rPr>
          <w:rFonts w:cs="Times New Roman"/>
          <w:color w:val="auto"/>
          <w:kern w:val="2"/>
          <w:sz w:val="28"/>
          <w:szCs w:val="28"/>
          <w:highlight w:val="none"/>
        </w:rPr>
        <w:t>6.</w:t>
      </w:r>
      <w:r>
        <w:rPr>
          <w:rFonts w:hint="eastAsia" w:cs="Times New Roman"/>
          <w:color w:val="auto"/>
          <w:kern w:val="2"/>
          <w:sz w:val="28"/>
          <w:szCs w:val="28"/>
          <w:highlight w:val="none"/>
        </w:rPr>
        <w:t>投标有效期：自开标之日起90天内投标有效。</w:t>
      </w:r>
    </w:p>
    <w:p>
      <w:pPr>
        <w:pStyle w:val="41"/>
        <w:adjustRightInd w:val="0"/>
        <w:snapToGrid w:val="0"/>
        <w:spacing w:before="0" w:beforeAutospacing="0" w:after="0" w:afterAutospacing="0" w:line="360" w:lineRule="auto"/>
        <w:ind w:firstLine="560" w:firstLineChars="200"/>
        <w:rPr>
          <w:rFonts w:cs="Times New Roman"/>
          <w:color w:val="auto"/>
          <w:sz w:val="28"/>
          <w:szCs w:val="28"/>
          <w:highlight w:val="none"/>
        </w:rPr>
      </w:pPr>
      <w:r>
        <w:rPr>
          <w:rFonts w:hint="eastAsia" w:cs="Times New Roman"/>
          <w:color w:val="auto"/>
          <w:kern w:val="2"/>
          <w:sz w:val="28"/>
          <w:szCs w:val="28"/>
          <w:highlight w:val="none"/>
        </w:rPr>
        <w:t>7.</w:t>
      </w:r>
      <w:r>
        <w:rPr>
          <w:rFonts w:hint="eastAsia" w:cs="Times New Roman"/>
          <w:color w:val="auto"/>
          <w:sz w:val="28"/>
          <w:szCs w:val="28"/>
          <w:highlight w:val="none"/>
        </w:rPr>
        <w:t>招标过程接受学校纪委办监督检查。</w:t>
      </w:r>
    </w:p>
    <w:p>
      <w:pPr>
        <w:adjustRightInd w:val="0"/>
        <w:snapToGrid w:val="0"/>
        <w:spacing w:before="312" w:beforeLines="100" w:after="312" w:afterLines="100" w:line="360" w:lineRule="auto"/>
        <w:jc w:val="center"/>
        <w:rPr>
          <w:rFonts w:ascii="宋体" w:cs="仿宋"/>
          <w:b/>
          <w:bCs/>
          <w:color w:val="auto"/>
          <w:sz w:val="28"/>
          <w:szCs w:val="28"/>
          <w:highlight w:val="none"/>
        </w:rPr>
      </w:pPr>
      <w:r>
        <w:rPr>
          <w:rFonts w:hint="eastAsia" w:ascii="宋体" w:hAnsi="宋体" w:cs="仿宋"/>
          <w:b/>
          <w:bCs/>
          <w:color w:val="auto"/>
          <w:sz w:val="28"/>
          <w:szCs w:val="28"/>
          <w:highlight w:val="none"/>
        </w:rPr>
        <w:t>二、对投标人及投标报价的要求</w:t>
      </w:r>
    </w:p>
    <w:p>
      <w:pPr>
        <w:snapToGrid w:val="0"/>
        <w:spacing w:line="360" w:lineRule="auto"/>
        <w:ind w:firstLine="540" w:firstLineChars="192"/>
        <w:rPr>
          <w:rFonts w:ascii="宋体" w:hAnsi="宋体"/>
          <w:b/>
          <w:color w:val="auto"/>
          <w:kern w:val="0"/>
          <w:sz w:val="28"/>
          <w:szCs w:val="28"/>
          <w:highlight w:val="none"/>
        </w:rPr>
      </w:pPr>
      <w:r>
        <w:rPr>
          <w:rFonts w:hint="eastAsia" w:ascii="宋体" w:hAnsi="宋体"/>
          <w:b/>
          <w:color w:val="auto"/>
          <w:kern w:val="0"/>
          <w:sz w:val="28"/>
          <w:szCs w:val="28"/>
          <w:highlight w:val="none"/>
        </w:rPr>
        <w:t>一、投标人必须符合以下能力、信誉和资质要求：</w:t>
      </w:r>
    </w:p>
    <w:p>
      <w:pPr>
        <w:widowControl/>
        <w:snapToGrid w:val="0"/>
        <w:spacing w:line="360" w:lineRule="auto"/>
        <w:ind w:firstLine="560" w:firstLineChars="200"/>
        <w:jc w:val="left"/>
        <w:rPr>
          <w:rFonts w:ascii="宋体" w:hAnsi="宋体" w:cs="宋体"/>
          <w:b/>
          <w:bCs/>
          <w:color w:val="auto"/>
          <w:kern w:val="0"/>
          <w:sz w:val="28"/>
          <w:szCs w:val="28"/>
          <w:highlight w:val="none"/>
        </w:rPr>
      </w:pPr>
      <w:r>
        <w:rPr>
          <w:rFonts w:hint="eastAsia" w:ascii="宋体" w:hAnsi="宋体" w:cs="Arial"/>
          <w:color w:val="auto"/>
          <w:sz w:val="28"/>
          <w:szCs w:val="28"/>
          <w:highlight w:val="none"/>
        </w:rPr>
        <w:t>（一）参加政府采购的供应商应当具备政府采购法</w:t>
      </w:r>
      <w:r>
        <w:rPr>
          <w:rFonts w:ascii="宋体" w:hAnsi="宋体" w:cs="Arial"/>
          <w:color w:val="auto"/>
          <w:sz w:val="28"/>
          <w:szCs w:val="28"/>
          <w:highlight w:val="none"/>
        </w:rPr>
        <w:t>第二十二条</w:t>
      </w:r>
      <w:r>
        <w:rPr>
          <w:rFonts w:hint="eastAsia" w:ascii="宋体" w:hAnsi="宋体" w:cs="Arial"/>
          <w:color w:val="auto"/>
          <w:sz w:val="28"/>
          <w:szCs w:val="28"/>
          <w:highlight w:val="none"/>
        </w:rPr>
        <w:t>第一款</w:t>
      </w:r>
      <w:r>
        <w:rPr>
          <w:rFonts w:ascii="宋体" w:hAnsi="宋体" w:cs="Arial"/>
          <w:color w:val="auto"/>
          <w:sz w:val="28"/>
          <w:szCs w:val="28"/>
          <w:highlight w:val="none"/>
        </w:rPr>
        <w:t>规定</w:t>
      </w:r>
      <w:r>
        <w:rPr>
          <w:rFonts w:hint="eastAsia" w:ascii="宋体" w:hAnsi="宋体" w:cs="Arial"/>
          <w:color w:val="auto"/>
          <w:sz w:val="28"/>
          <w:szCs w:val="28"/>
          <w:highlight w:val="none"/>
        </w:rPr>
        <w:t>的条件，并依照政府采购法实施条例第十七条规定提供下列材料：</w:t>
      </w: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s="Arial"/>
          <w:color w:val="auto"/>
          <w:sz w:val="28"/>
          <w:szCs w:val="28"/>
          <w:highlight w:val="none"/>
        </w:rPr>
        <w:t>1.具有独立承担民事责任的能力</w:t>
      </w:r>
      <w:r>
        <w:rPr>
          <w:rFonts w:hint="eastAsia" w:ascii="宋体" w:hAnsi="宋体"/>
          <w:color w:val="auto"/>
          <w:sz w:val="28"/>
          <w:szCs w:val="28"/>
          <w:highlight w:val="none"/>
        </w:rPr>
        <w:t>：须为独立法人企业，需提供企业法人营业执照；</w:t>
      </w: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s="宋体"/>
          <w:color w:val="auto"/>
          <w:kern w:val="0"/>
          <w:sz w:val="28"/>
          <w:szCs w:val="28"/>
          <w:highlight w:val="none"/>
        </w:rPr>
        <w:t>2.具有良好的商业信誉和健全的财务会计制度</w:t>
      </w:r>
      <w:r>
        <w:rPr>
          <w:rFonts w:hint="eastAsia" w:ascii="宋体" w:hAnsi="宋体"/>
          <w:color w:val="auto"/>
          <w:sz w:val="28"/>
          <w:szCs w:val="28"/>
          <w:highlight w:val="none"/>
        </w:rPr>
        <w:t>：需提供参加本次投标活动前近六个月内（2019年12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3.具有履行合同所必需的设备和专业技术能力：供应商根据履行采购项目合同需要，提供履行合同所必需的设备和专业技术能力的证明材料；</w:t>
      </w: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s="宋体"/>
          <w:color w:val="auto"/>
          <w:kern w:val="0"/>
          <w:sz w:val="28"/>
          <w:szCs w:val="28"/>
          <w:highlight w:val="none"/>
        </w:rPr>
        <w:t>4.有依法缴纳税收和社会保障资金的良好记录</w:t>
      </w:r>
      <w:r>
        <w:rPr>
          <w:rFonts w:hint="eastAsia" w:ascii="宋体" w:hAnsi="宋体"/>
          <w:color w:val="auto"/>
          <w:sz w:val="28"/>
          <w:szCs w:val="28"/>
          <w:highlight w:val="none"/>
        </w:rPr>
        <w:t>：提供参加本次投标活动前近六个月内（2019年12月至今）任一月份依法缴纳税收的凭据，以及缴纳社会保险的凭据（专用收据或社会保险的凭据）；依法免税或不需要缴纳社会保障资金的投标人，应提供相应文件证明；</w:t>
      </w: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s="宋体"/>
          <w:color w:val="auto"/>
          <w:kern w:val="0"/>
          <w:sz w:val="28"/>
          <w:szCs w:val="28"/>
          <w:highlight w:val="none"/>
        </w:rPr>
        <w:t>5.参加政府采购活动前三年内，在经营活动中没有违法记录</w:t>
      </w:r>
      <w:r>
        <w:rPr>
          <w:rFonts w:hint="eastAsia" w:ascii="宋体" w:hAnsi="宋体"/>
          <w:color w:val="auto"/>
          <w:sz w:val="28"/>
          <w:szCs w:val="28"/>
          <w:highlight w:val="none"/>
        </w:rPr>
        <w:t>：需提供参加本次投标活动前3年内在经营活动中没有重大违法记录的书面声明；</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6.法律、行政法规规定的其他条件：无。</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（二）投标人不得存在下列情形之一</w:t>
      </w:r>
      <w:r>
        <w:rPr>
          <w:rFonts w:hint="eastAsia" w:ascii="宋体" w:hAnsi="宋体"/>
          <w:color w:val="auto"/>
          <w:sz w:val="28"/>
          <w:szCs w:val="28"/>
          <w:highlight w:val="none"/>
        </w:rPr>
        <w:t>（</w:t>
      </w:r>
      <w:r>
        <w:rPr>
          <w:rFonts w:hint="eastAsia" w:ascii="宋体" w:hAnsi="宋体"/>
          <w:b/>
          <w:color w:val="auto"/>
          <w:sz w:val="28"/>
          <w:szCs w:val="28"/>
          <w:highlight w:val="none"/>
        </w:rPr>
        <w:t>提供加盖投标人公章的承诺书）</w:t>
      </w:r>
      <w:r>
        <w:rPr>
          <w:rFonts w:hint="eastAsia" w:ascii="宋体" w:hAnsi="宋体" w:cs="宋体"/>
          <w:color w:val="auto"/>
          <w:kern w:val="0"/>
          <w:sz w:val="28"/>
          <w:szCs w:val="28"/>
          <w:highlight w:val="none"/>
        </w:rPr>
        <w:t>：</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（1）为招标人不具有独立法人资格的附属机构（单位）；</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（2）与招标人存在利害关系可能影响招标公正性的；</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（3）单位负责人为同一人或者存在控股、管理关系的不同单位；</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（4）处于被责令停业、财产被接管、冻结和破产状态，以及投标资格被取消或者被暂停且在暂停期内；</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（5）投标人近3年内有行贿犯罪行为且被记录，或者法定代表人有行贿犯罪记录且自记录之日起未超过 5年的。</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（三）</w:t>
      </w:r>
      <w:r>
        <w:rPr>
          <w:rFonts w:hint="eastAsia" w:ascii="宋体" w:hAnsi="宋体" w:cs="宋体"/>
          <w:bCs/>
          <w:color w:val="auto"/>
          <w:kern w:val="0"/>
          <w:sz w:val="28"/>
          <w:szCs w:val="28"/>
          <w:highlight w:val="none"/>
        </w:rPr>
        <w:t>拒绝下述供应商参加本次采购活动：</w:t>
      </w:r>
    </w:p>
    <w:p>
      <w:pPr>
        <w:shd w:val="clear" w:color="auto" w:fill="FFFFFF"/>
        <w:autoSpaceDE w:val="0"/>
        <w:adjustRightInd w:val="0"/>
        <w:snapToGrid w:val="0"/>
        <w:spacing w:line="360" w:lineRule="auto"/>
        <w:ind w:firstLine="560" w:firstLineChars="200"/>
        <w:jc w:val="left"/>
        <w:rPr>
          <w:rFonts w:ascii="宋体" w:hAnsi="宋体" w:cs="宋体"/>
          <w:color w:val="auto"/>
          <w:kern w:val="0"/>
          <w:sz w:val="28"/>
          <w:szCs w:val="28"/>
          <w:highlight w:val="none"/>
        </w:rPr>
      </w:pPr>
      <w:r>
        <w:rPr>
          <w:rFonts w:hint="eastAsia" w:ascii="宋体" w:hAnsi="宋体" w:cs="宋体"/>
          <w:color w:val="auto"/>
          <w:sz w:val="28"/>
          <w:szCs w:val="28"/>
          <w:highlight w:val="none"/>
        </w:rPr>
        <w:t>供应商被“信用中国”网站（www.creditchina.gov.cn）、“中国政府采购网”(www.ccgp.gov.cn)列入失信被执行人、重大税收违法案件当事人名单、政府采购严重违法失信行为记录名单</w:t>
      </w:r>
      <w:r>
        <w:rPr>
          <w:rFonts w:hint="eastAsia" w:ascii="宋体" w:hAnsi="宋体" w:cs="宋体"/>
          <w:b/>
          <w:color w:val="auto"/>
          <w:sz w:val="28"/>
          <w:szCs w:val="28"/>
          <w:highlight w:val="none"/>
        </w:rPr>
        <w:t>（提供本项目报名截止日后的网站截图并加盖单位公章）</w:t>
      </w:r>
      <w:r>
        <w:rPr>
          <w:rFonts w:hint="eastAsia" w:ascii="宋体" w:hAnsi="宋体" w:cs="宋体"/>
          <w:color w:val="auto"/>
          <w:sz w:val="28"/>
          <w:szCs w:val="28"/>
          <w:highlight w:val="none"/>
        </w:rPr>
        <w:t>。</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二、本项目采用资格后审法，唱标后，进行资格审定。</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三、投标人应按附件</w:t>
      </w:r>
      <w:r>
        <w:rPr>
          <w:rFonts w:ascii="宋体" w:hAnsi="宋体" w:cs="宋体"/>
          <w:color w:val="auto"/>
          <w:sz w:val="28"/>
          <w:szCs w:val="28"/>
          <w:highlight w:val="none"/>
        </w:rPr>
        <w:t>2</w:t>
      </w:r>
      <w:r>
        <w:rPr>
          <w:rFonts w:hint="eastAsia" w:ascii="宋体" w:hAnsi="宋体" w:cs="宋体"/>
          <w:color w:val="auto"/>
          <w:sz w:val="28"/>
          <w:szCs w:val="28"/>
          <w:highlight w:val="none"/>
        </w:rPr>
        <w:t>、附件</w:t>
      </w:r>
      <w:r>
        <w:rPr>
          <w:rFonts w:ascii="宋体" w:hAnsi="宋体" w:cs="宋体"/>
          <w:color w:val="auto"/>
          <w:sz w:val="28"/>
          <w:szCs w:val="28"/>
          <w:highlight w:val="none"/>
        </w:rPr>
        <w:t>3</w:t>
      </w:r>
      <w:r>
        <w:rPr>
          <w:rFonts w:hint="eastAsia" w:ascii="宋体" w:hAnsi="宋体" w:cs="宋体"/>
          <w:color w:val="auto"/>
          <w:sz w:val="28"/>
          <w:szCs w:val="28"/>
          <w:highlight w:val="none"/>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供方于合同生效之日起</w:t>
      </w:r>
      <w:r>
        <w:rPr>
          <w:rFonts w:ascii="宋体" w:hAnsi="宋体" w:cs="宋体"/>
          <w:color w:val="auto"/>
          <w:sz w:val="28"/>
          <w:szCs w:val="28"/>
          <w:highlight w:val="none"/>
        </w:rPr>
        <w:t>1</w:t>
      </w:r>
      <w:r>
        <w:rPr>
          <w:rFonts w:hint="eastAsia" w:ascii="宋体" w:hAnsi="宋体" w:cs="宋体"/>
          <w:color w:val="auto"/>
          <w:sz w:val="28"/>
          <w:szCs w:val="28"/>
          <w:highlight w:val="none"/>
        </w:rPr>
        <w:t>5</w:t>
      </w:r>
      <w:r>
        <w:rPr>
          <w:rFonts w:ascii="宋体" w:hAnsi="宋体" w:cs="宋体"/>
          <w:color w:val="auto"/>
          <w:sz w:val="28"/>
          <w:szCs w:val="28"/>
          <w:highlight w:val="none"/>
        </w:rPr>
        <w:t>0</w:t>
      </w:r>
      <w:r>
        <w:rPr>
          <w:rFonts w:hint="eastAsia" w:ascii="宋体" w:hAnsi="宋体" w:cs="宋体"/>
          <w:color w:val="auto"/>
          <w:sz w:val="28"/>
          <w:szCs w:val="28"/>
          <w:highlight w:val="none"/>
        </w:rPr>
        <w:t>天内完成设备运输（含上、下力）、安装调试等，所有费用由供方承担，安装调试完毕后需方用户负责试用并签收。</w:t>
      </w:r>
    </w:p>
    <w:p>
      <w:pPr>
        <w:pStyle w:val="41"/>
        <w:adjustRightInd w:val="0"/>
        <w:snapToGrid w:val="0"/>
        <w:spacing w:before="0" w:beforeAutospacing="0" w:after="0" w:afterAutospacing="0" w:line="360" w:lineRule="auto"/>
        <w:ind w:firstLine="560" w:firstLineChars="200"/>
        <w:rPr>
          <w:color w:val="auto"/>
          <w:kern w:val="2"/>
          <w:sz w:val="28"/>
          <w:szCs w:val="28"/>
          <w:highlight w:val="none"/>
        </w:rPr>
      </w:pPr>
      <w:r>
        <w:rPr>
          <w:rFonts w:hint="eastAsia"/>
          <w:color w:val="auto"/>
          <w:kern w:val="2"/>
          <w:sz w:val="28"/>
          <w:szCs w:val="28"/>
          <w:highlight w:val="none"/>
        </w:rPr>
        <w:t>六、本项目预算价为45.00万元，本项目只接受人民币报价。</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七、进口货物的外贸代理公司由投标人（中标人）自行选择，代理费由投标人与所选外贸公司协商确定并含在报价中。我校协助办理入关、免税等相关证明材料手续。</w:t>
      </w:r>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bookmarkStart w:id="4" w:name="_Hlk9866140"/>
      <w:r>
        <w:rPr>
          <w:rFonts w:hint="eastAsia" w:ascii="黑体" w:hAnsi="黑体" w:eastAsia="黑体" w:cs="宋体"/>
          <w:color w:val="auto"/>
          <w:sz w:val="28"/>
          <w:szCs w:val="28"/>
          <w:highlight w:val="none"/>
        </w:rPr>
        <w:t>三、对投标文件的要求</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投标人根据招标公告向我校提出报名后，从我校取得正式招标文件（纸质或电子版），并按招标文件的要求认真编制投标文件。</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投标文件一正四副，正、副本均须列出目录，内容不得有插行、涂抹、粘贴等，并打印装订成册。</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投标文件用档案袋密封，档案袋封面标明“正本”或“副本”字样，并注明招标编号、投标项目名称、投标人名称及投标人代表姓名、手机号码（务必留手机号码，不得留座机号码，以便我校收到标书后及时发短信告知）。</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为便于唱标和减少浪费，请将</w:t>
      </w:r>
      <w:r>
        <w:rPr>
          <w:rFonts w:ascii="宋体" w:hAnsi="宋体" w:cs="宋体"/>
          <w:color w:val="auto"/>
          <w:sz w:val="28"/>
          <w:szCs w:val="28"/>
          <w:highlight w:val="none"/>
        </w:rPr>
        <w:t>1</w:t>
      </w:r>
      <w:r>
        <w:rPr>
          <w:rFonts w:hint="eastAsia" w:ascii="宋体" w:hAnsi="宋体" w:cs="宋体"/>
          <w:color w:val="auto"/>
          <w:sz w:val="28"/>
          <w:szCs w:val="28"/>
          <w:highlight w:val="none"/>
        </w:rPr>
        <w:t>份正本单独封装，另外</w:t>
      </w:r>
      <w:r>
        <w:rPr>
          <w:rFonts w:ascii="宋体" w:hAnsi="宋体" w:cs="宋体"/>
          <w:color w:val="auto"/>
          <w:sz w:val="28"/>
          <w:szCs w:val="28"/>
          <w:highlight w:val="none"/>
        </w:rPr>
        <w:t>4</w:t>
      </w:r>
      <w:r>
        <w:rPr>
          <w:rFonts w:hint="eastAsia" w:ascii="宋体" w:hAnsi="宋体" w:cs="宋体"/>
          <w:color w:val="auto"/>
          <w:sz w:val="28"/>
          <w:szCs w:val="28"/>
          <w:highlight w:val="none"/>
        </w:rPr>
        <w:t>份副本可叠加封装在一个大的档案袋中（</w:t>
      </w:r>
      <w:r>
        <w:rPr>
          <w:rFonts w:ascii="宋体" w:hAnsi="宋体" w:cs="宋体"/>
          <w:color w:val="auto"/>
          <w:sz w:val="28"/>
          <w:szCs w:val="28"/>
          <w:highlight w:val="none"/>
        </w:rPr>
        <w:t>4</w:t>
      </w:r>
      <w:r>
        <w:rPr>
          <w:rFonts w:hint="eastAsia" w:ascii="宋体" w:hAnsi="宋体" w:cs="宋体"/>
          <w:color w:val="auto"/>
          <w:sz w:val="28"/>
          <w:szCs w:val="28"/>
          <w:highlight w:val="none"/>
        </w:rPr>
        <w:t>份副本无需分别封装在</w:t>
      </w:r>
      <w:r>
        <w:rPr>
          <w:rFonts w:ascii="宋体" w:hAnsi="宋体" w:cs="宋体"/>
          <w:color w:val="auto"/>
          <w:sz w:val="28"/>
          <w:szCs w:val="28"/>
          <w:highlight w:val="none"/>
        </w:rPr>
        <w:t>4</w:t>
      </w:r>
      <w:r>
        <w:rPr>
          <w:rFonts w:hint="eastAsia" w:ascii="宋体" w:hAnsi="宋体" w:cs="宋体"/>
          <w:color w:val="auto"/>
          <w:sz w:val="28"/>
          <w:szCs w:val="28"/>
          <w:highlight w:val="none"/>
        </w:rPr>
        <w:t>个档案袋中，一个大档案袋封装不下的除外）。每家投标人在送交投标文件时，只需交</w:t>
      </w:r>
      <w:r>
        <w:rPr>
          <w:rFonts w:ascii="宋体" w:hAnsi="宋体" w:cs="宋体"/>
          <w:color w:val="auto"/>
          <w:sz w:val="28"/>
          <w:szCs w:val="28"/>
          <w:highlight w:val="none"/>
        </w:rPr>
        <w:t>2</w:t>
      </w:r>
      <w:r>
        <w:rPr>
          <w:rFonts w:hint="eastAsia" w:ascii="宋体" w:hAnsi="宋体" w:cs="宋体"/>
          <w:color w:val="auto"/>
          <w:sz w:val="28"/>
          <w:szCs w:val="28"/>
          <w:highlight w:val="none"/>
        </w:rPr>
        <w:t>个档案袋即可，即</w:t>
      </w:r>
      <w:r>
        <w:rPr>
          <w:rFonts w:ascii="宋体" w:hAnsi="宋体" w:cs="宋体"/>
          <w:color w:val="auto"/>
          <w:sz w:val="28"/>
          <w:szCs w:val="28"/>
          <w:highlight w:val="none"/>
        </w:rPr>
        <w:t>1</w:t>
      </w:r>
      <w:r>
        <w:rPr>
          <w:rFonts w:hint="eastAsia" w:ascii="宋体" w:hAnsi="宋体" w:cs="宋体"/>
          <w:color w:val="auto"/>
          <w:sz w:val="28"/>
          <w:szCs w:val="28"/>
          <w:highlight w:val="none"/>
        </w:rPr>
        <w:t>个正本档案袋，</w:t>
      </w:r>
      <w:r>
        <w:rPr>
          <w:rFonts w:ascii="宋体" w:hAnsi="宋体" w:cs="宋体"/>
          <w:color w:val="auto"/>
          <w:sz w:val="28"/>
          <w:szCs w:val="28"/>
          <w:highlight w:val="none"/>
        </w:rPr>
        <w:t>1</w:t>
      </w:r>
      <w:r>
        <w:rPr>
          <w:rFonts w:hint="eastAsia" w:ascii="宋体" w:hAnsi="宋体" w:cs="宋体"/>
          <w:color w:val="auto"/>
          <w:sz w:val="28"/>
          <w:szCs w:val="28"/>
          <w:highlight w:val="none"/>
        </w:rPr>
        <w:t>个大的副本档案袋。</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投标文件应包含以下内容（所有材料必须加盖投标单位公章）：</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）经投标单位法人或委托代理人代表签字并加盖单位公章的投标函（附件</w:t>
      </w:r>
      <w:r>
        <w:rPr>
          <w:rFonts w:ascii="宋体" w:hAnsi="宋体" w:cs="宋体"/>
          <w:color w:val="auto"/>
          <w:sz w:val="28"/>
          <w:szCs w:val="28"/>
          <w:highlight w:val="none"/>
        </w:rPr>
        <w:t>2</w:t>
      </w:r>
      <w:r>
        <w:rPr>
          <w:rFonts w:hint="eastAsia" w:ascii="宋体" w:hAnsi="宋体" w:cs="宋体"/>
          <w:color w:val="auto"/>
          <w:sz w:val="28"/>
          <w:szCs w:val="28"/>
          <w:highlight w:val="none"/>
        </w:rPr>
        <w:t>格式，为便于唱标，此函件请务必放置在投标文件内页的第一页）；</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）投标价格明细表（附件</w:t>
      </w:r>
      <w:r>
        <w:rPr>
          <w:rFonts w:ascii="宋体" w:hAnsi="宋体" w:cs="宋体"/>
          <w:color w:val="auto"/>
          <w:sz w:val="28"/>
          <w:szCs w:val="28"/>
          <w:highlight w:val="none"/>
        </w:rPr>
        <w:t>3</w:t>
      </w:r>
      <w:r>
        <w:rPr>
          <w:rFonts w:hint="eastAsia" w:ascii="宋体" w:hAnsi="宋体" w:cs="宋体"/>
          <w:color w:val="auto"/>
          <w:sz w:val="28"/>
          <w:szCs w:val="28"/>
          <w:highlight w:val="none"/>
        </w:rPr>
        <w:t>）；</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w:t>
      </w:r>
      <w:r>
        <w:rPr>
          <w:rFonts w:ascii="宋体" w:hAnsi="宋体" w:cs="宋体"/>
          <w:color w:val="auto"/>
          <w:sz w:val="28"/>
          <w:szCs w:val="28"/>
          <w:highlight w:val="none"/>
        </w:rPr>
        <w:t>300</w:t>
      </w:r>
      <w:r>
        <w:rPr>
          <w:rFonts w:hint="eastAsia" w:ascii="宋体" w:hAnsi="宋体" w:cs="宋体"/>
          <w:color w:val="auto"/>
          <w:sz w:val="28"/>
          <w:szCs w:val="28"/>
          <w:highlight w:val="none"/>
        </w:rPr>
        <w:t>元报名资料费银行转账回单（复印件）；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）投标人相关资质证明文件复印件（如：营业执照、组织机构代码证、银行基本户开户证、生产许可证、资质证书等）；</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5</w:t>
      </w:r>
      <w:r>
        <w:rPr>
          <w:rFonts w:hint="eastAsia" w:ascii="宋体" w:hAnsi="宋体" w:cs="宋体"/>
          <w:color w:val="auto"/>
          <w:sz w:val="28"/>
          <w:szCs w:val="28"/>
          <w:highlight w:val="none"/>
        </w:rPr>
        <w:t>）授权委托书、被委托人身份证复印件；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6</w:t>
      </w:r>
      <w:r>
        <w:rPr>
          <w:rFonts w:hint="eastAsia" w:ascii="宋体" w:hAnsi="宋体" w:cs="宋体"/>
          <w:color w:val="auto"/>
          <w:sz w:val="28"/>
          <w:szCs w:val="28"/>
          <w:highlight w:val="none"/>
        </w:rPr>
        <w:t>）产品（或服务，下同）技术性能参数的详细描述一览表（投标文件在对投标标的物进行技术和商务描述时，必须完全按照招标文件附件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中的章节顺序依次逐条响应，不得颠倒顺序，不得有漏项，不得原封不动地引用招标文件附件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中的章节、句段；投标文件应采用文字加图片或图形描述的方式对标的物进行必要的、详尽的说明；</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7</w:t>
      </w:r>
      <w:r>
        <w:rPr>
          <w:rFonts w:hint="eastAsia" w:ascii="宋体" w:hAnsi="宋体" w:cs="宋体"/>
          <w:color w:val="auto"/>
          <w:sz w:val="28"/>
          <w:szCs w:val="28"/>
          <w:highlight w:val="none"/>
        </w:rPr>
        <w:t>）产品技术和商务指标偏差表；</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8</w:t>
      </w:r>
      <w:r>
        <w:rPr>
          <w:rFonts w:hint="eastAsia" w:ascii="宋体" w:hAnsi="宋体" w:cs="宋体"/>
          <w:color w:val="auto"/>
          <w:sz w:val="28"/>
          <w:szCs w:val="28"/>
          <w:highlight w:val="none"/>
        </w:rPr>
        <w:t>）产品服务方案；</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9</w:t>
      </w:r>
      <w:r>
        <w:rPr>
          <w:rFonts w:hint="eastAsia" w:ascii="宋体" w:hAnsi="宋体" w:cs="宋体"/>
          <w:color w:val="auto"/>
          <w:sz w:val="28"/>
          <w:szCs w:val="28"/>
          <w:highlight w:val="none"/>
        </w:rPr>
        <w:t>）产品销售授权书或代理证书（如系代理公司的）；</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10)</w:t>
      </w:r>
      <w:r>
        <w:rPr>
          <w:rFonts w:hint="eastAsia" w:ascii="宋体" w:hAnsi="宋体" w:cs="宋体"/>
          <w:color w:val="auto"/>
          <w:sz w:val="28"/>
          <w:szCs w:val="28"/>
          <w:highlight w:val="none"/>
        </w:rPr>
        <w:t xml:space="preserve"> 产品质量、工期、安全、管理及售后服务承诺书；</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11</w:t>
      </w:r>
      <w:r>
        <w:rPr>
          <w:rFonts w:hint="eastAsia" w:ascii="宋体" w:hAnsi="宋体" w:cs="宋体"/>
          <w:color w:val="auto"/>
          <w:sz w:val="28"/>
          <w:szCs w:val="28"/>
          <w:highlight w:val="none"/>
        </w:rPr>
        <w:t>）产品质量检测报告、质保、认证等证书；</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12</w:t>
      </w:r>
      <w:r>
        <w:rPr>
          <w:rFonts w:hint="eastAsia" w:ascii="宋体" w:hAnsi="宋体" w:cs="宋体"/>
          <w:color w:val="auto"/>
          <w:sz w:val="28"/>
          <w:szCs w:val="28"/>
          <w:highlight w:val="none"/>
        </w:rPr>
        <w:t>）投标单位或产品或服务近三年相关业绩证明材料（含中标通知书、合同及竣工验收意见表，三者缺一不可）；</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13</w:t>
      </w:r>
      <w:r>
        <w:rPr>
          <w:rFonts w:hint="eastAsia" w:ascii="宋体" w:hAnsi="宋体" w:cs="宋体"/>
          <w:color w:val="auto"/>
          <w:sz w:val="28"/>
          <w:szCs w:val="28"/>
          <w:highlight w:val="none"/>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14</w:t>
      </w:r>
      <w:r>
        <w:rPr>
          <w:rFonts w:hint="eastAsia" w:ascii="宋体" w:hAnsi="宋体" w:cs="宋体"/>
          <w:color w:val="auto"/>
          <w:sz w:val="28"/>
          <w:szCs w:val="28"/>
          <w:highlight w:val="none"/>
        </w:rPr>
        <w:t>）招标文件规定或投标人对照评标办法的得分因素以及附件</w:t>
      </w:r>
      <w:r>
        <w:rPr>
          <w:rFonts w:ascii="宋体" w:hAnsi="宋体" w:cs="宋体"/>
          <w:color w:val="auto"/>
          <w:sz w:val="28"/>
          <w:szCs w:val="28"/>
          <w:highlight w:val="none"/>
        </w:rPr>
        <w:t>1</w:t>
      </w:r>
      <w:r>
        <w:rPr>
          <w:rFonts w:hint="eastAsia" w:ascii="宋体" w:hAnsi="宋体" w:cs="宋体"/>
          <w:color w:val="auto"/>
          <w:sz w:val="28"/>
          <w:szCs w:val="28"/>
          <w:highlight w:val="none"/>
        </w:rPr>
        <w:t>相关要求认为应提交的其他资料和文件。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15</w:t>
      </w:r>
      <w:r>
        <w:rPr>
          <w:rFonts w:hint="eastAsia" w:ascii="宋体" w:hAnsi="宋体" w:cs="宋体"/>
          <w:color w:val="auto"/>
          <w:sz w:val="28"/>
          <w:szCs w:val="28"/>
          <w:highlight w:val="none"/>
        </w:rPr>
        <w:t>）</w:t>
      </w:r>
      <w:r>
        <w:rPr>
          <w:rFonts w:hint="eastAsia"/>
          <w:color w:val="auto"/>
          <w:sz w:val="28"/>
          <w:szCs w:val="28"/>
          <w:highlight w:val="none"/>
        </w:rPr>
        <w:t>投标人必须投本标书所有标段的设备，不允许分标段投标；标书中服务器标段必须满足所有参数要求，其余标段标</w:t>
      </w:r>
      <w:r>
        <w:rPr>
          <w:rFonts w:hint="eastAsia" w:ascii="宋体" w:hAnsi="宋体" w:cs="Arial"/>
          <w:color w:val="auto"/>
          <w:kern w:val="0"/>
          <w:sz w:val="18"/>
          <w:szCs w:val="18"/>
          <w:highlight w:val="none"/>
        </w:rPr>
        <w:t>★</w:t>
      </w:r>
      <w:r>
        <w:rPr>
          <w:rFonts w:hint="eastAsia"/>
          <w:color w:val="auto"/>
          <w:sz w:val="28"/>
          <w:szCs w:val="28"/>
          <w:highlight w:val="none"/>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投标人在投标文件中应承诺对如下内容已完全理解，如不承诺，视为认可：</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）在参与我校相关项目的招投标活动中，遵纪守法，诚信经营，公平竞争；</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）不采取不正当手段诋毁、排挤其他投标人；</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5</w:t>
      </w:r>
      <w:r>
        <w:rPr>
          <w:rFonts w:hint="eastAsia" w:ascii="宋体" w:hAnsi="宋体" w:cs="宋体"/>
          <w:color w:val="auto"/>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6</w:t>
      </w:r>
      <w:r>
        <w:rPr>
          <w:rFonts w:hint="eastAsia" w:ascii="宋体" w:hAnsi="宋体" w:cs="宋体"/>
          <w:color w:val="auto"/>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7</w:t>
      </w:r>
      <w:r>
        <w:rPr>
          <w:rFonts w:hint="eastAsia" w:ascii="宋体" w:hAnsi="宋体" w:cs="宋体"/>
          <w:color w:val="auto"/>
          <w:sz w:val="28"/>
          <w:szCs w:val="28"/>
          <w:highlight w:val="none"/>
        </w:rPr>
        <w:t>）未能中标单位，本校对其原因不作解释；</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8</w:t>
      </w:r>
      <w:r>
        <w:rPr>
          <w:rFonts w:hint="eastAsia" w:ascii="宋体" w:hAnsi="宋体" w:cs="宋体"/>
          <w:color w:val="auto"/>
          <w:sz w:val="28"/>
          <w:szCs w:val="28"/>
          <w:highlight w:val="none"/>
        </w:rPr>
        <w:t>）投标单位对本文件其他内容已充分理解，并承诺一经中标即严格按合同执行，合同附件与合同有同等法律效力。</w:t>
      </w:r>
    </w:p>
    <w:bookmarkEnd w:id="4"/>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bookmarkStart w:id="5" w:name="_Hlk9866206"/>
      <w:r>
        <w:rPr>
          <w:rFonts w:hint="eastAsia" w:ascii="黑体" w:hAnsi="黑体" w:eastAsia="黑体" w:cs="宋体"/>
          <w:color w:val="auto"/>
          <w:sz w:val="28"/>
          <w:szCs w:val="28"/>
          <w:highlight w:val="none"/>
        </w:rPr>
        <w:t>四、开标程序</w:t>
      </w:r>
    </w:p>
    <w:bookmarkEnd w:id="5"/>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招标文件给出评标办法（见附件</w:t>
      </w:r>
      <w:r>
        <w:rPr>
          <w:rFonts w:ascii="宋体" w:hAnsi="宋体" w:cs="宋体"/>
          <w:color w:val="auto"/>
          <w:sz w:val="28"/>
          <w:szCs w:val="28"/>
          <w:highlight w:val="none"/>
        </w:rPr>
        <w:t>5</w:t>
      </w:r>
      <w:r>
        <w:rPr>
          <w:rFonts w:hint="eastAsia" w:ascii="宋体" w:hAnsi="宋体" w:cs="宋体"/>
          <w:color w:val="auto"/>
          <w:sz w:val="28"/>
          <w:szCs w:val="28"/>
          <w:highlight w:val="none"/>
        </w:rPr>
        <w:t>）</w:t>
      </w:r>
      <w:r>
        <w:rPr>
          <w:rFonts w:ascii="宋体" w:cs="宋体"/>
          <w:color w:val="auto"/>
          <w:sz w:val="28"/>
          <w:szCs w:val="28"/>
          <w:highlight w:val="none"/>
        </w:rPr>
        <w:t>,</w:t>
      </w:r>
      <w:r>
        <w:rPr>
          <w:rFonts w:hint="eastAsia" w:ascii="宋体" w:hAnsi="宋体" w:cs="宋体"/>
          <w:color w:val="auto"/>
          <w:sz w:val="28"/>
          <w:szCs w:val="28"/>
          <w:highlight w:val="none"/>
        </w:rPr>
        <w:t>供投标人和评标专家组参考。</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由财务处招标科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财务处工作人员在投标人的见证下唱标。投标人或投标人代表在唱标结果上签名确认。如投标人均未参加唱标，则由财务处工作人员和评标专家组组长、采购人代表共同签名确认。重要项目另请纪检监察部门代表签字。</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color w:val="auto"/>
          <w:sz w:val="28"/>
          <w:szCs w:val="28"/>
          <w:highlight w:val="none"/>
        </w:rPr>
      </w:pPr>
      <w:r>
        <w:rPr>
          <w:rFonts w:hint="eastAsia" w:ascii="宋体" w:hAnsi="宋体" w:cs="宋体"/>
          <w:color w:val="auto"/>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7.</w:t>
      </w:r>
      <w:r>
        <w:rPr>
          <w:rFonts w:hint="eastAsia" w:ascii="宋体" w:hAnsi="宋体" w:cs="宋体"/>
          <w:color w:val="auto"/>
          <w:sz w:val="28"/>
          <w:szCs w:val="28"/>
          <w:highlight w:val="none"/>
        </w:rPr>
        <w:t>财务处根据评标专家组综合排序，在学校网站和财务处招标科网站对拟中标单位进行公示。公示结束，无异议，确定中标单位。</w:t>
      </w:r>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五、无效投标</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投标文件出现下列情形的，将作为无效投标文件，不得进入评标：</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投标文件未按照招标文件的要求予以密封的；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投标文件少项漏项，或关键内容字迹模糊、无法辨认的；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有</w:t>
      </w:r>
      <w:r>
        <w:rPr>
          <w:rFonts w:ascii="宋体" w:hAnsi="宋体" w:cs="宋体"/>
          <w:color w:val="auto"/>
          <w:sz w:val="28"/>
          <w:szCs w:val="28"/>
          <w:highlight w:val="none"/>
        </w:rPr>
        <w:t>1</w:t>
      </w:r>
      <w:r>
        <w:rPr>
          <w:rFonts w:hint="eastAsia" w:ascii="宋体" w:hAnsi="宋体" w:cs="宋体"/>
          <w:color w:val="auto"/>
          <w:sz w:val="28"/>
          <w:szCs w:val="28"/>
          <w:highlight w:val="none"/>
        </w:rPr>
        <w:t>个核心指标或有</w:t>
      </w:r>
      <w:r>
        <w:rPr>
          <w:rFonts w:ascii="宋体" w:hAnsi="宋体" w:cs="宋体"/>
          <w:color w:val="auto"/>
          <w:sz w:val="28"/>
          <w:szCs w:val="28"/>
          <w:highlight w:val="none"/>
        </w:rPr>
        <w:t>5</w:t>
      </w:r>
      <w:r>
        <w:rPr>
          <w:rFonts w:hint="eastAsia" w:ascii="宋体" w:hAnsi="宋体" w:cs="宋体"/>
          <w:color w:val="auto"/>
          <w:sz w:val="28"/>
          <w:szCs w:val="28"/>
          <w:highlight w:val="none"/>
        </w:rPr>
        <w:t>个及以上非核心指标未能满足的；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技术指标响应内容未按照招标文件附件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中的章节、句段的；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7.</w:t>
      </w:r>
      <w:r>
        <w:rPr>
          <w:rFonts w:hint="eastAsia" w:ascii="宋体" w:hAnsi="宋体" w:cs="宋体"/>
          <w:color w:val="auto"/>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8.</w:t>
      </w:r>
      <w:r>
        <w:rPr>
          <w:rFonts w:hint="eastAsia" w:ascii="宋体" w:hAnsi="宋体" w:cs="宋体"/>
          <w:color w:val="auto"/>
          <w:sz w:val="28"/>
          <w:szCs w:val="28"/>
          <w:highlight w:val="none"/>
        </w:rPr>
        <w:t>报价超过预算金额，或以人民币之外的币种报价的；</w:t>
      </w:r>
    </w:p>
    <w:p>
      <w:pPr>
        <w:spacing w:line="360" w:lineRule="auto"/>
        <w:ind w:firstLine="548" w:firstLineChars="196"/>
        <w:rPr>
          <w:rFonts w:ascii="宋体" w:hAnsi="宋体" w:cs="宋体"/>
          <w:b/>
          <w:color w:val="auto"/>
          <w:sz w:val="28"/>
          <w:szCs w:val="28"/>
          <w:highlight w:val="none"/>
        </w:rPr>
      </w:pPr>
      <w:r>
        <w:rPr>
          <w:rFonts w:ascii="宋体" w:hAnsi="宋体" w:cs="宋体"/>
          <w:color w:val="auto"/>
          <w:sz w:val="28"/>
          <w:szCs w:val="28"/>
          <w:highlight w:val="none"/>
        </w:rPr>
        <w:t>9.</w:t>
      </w:r>
      <w:r>
        <w:rPr>
          <w:rFonts w:hint="eastAsia" w:ascii="宋体" w:hAnsi="宋体" w:cs="宋体"/>
          <w:color w:val="auto"/>
          <w:sz w:val="28"/>
          <w:szCs w:val="28"/>
          <w:highlight w:val="none"/>
        </w:rPr>
        <w:t>无</w:t>
      </w:r>
      <w:r>
        <w:rPr>
          <w:rFonts w:ascii="宋体" w:hAnsi="宋体" w:cs="宋体"/>
          <w:color w:val="auto"/>
          <w:sz w:val="28"/>
          <w:szCs w:val="28"/>
          <w:highlight w:val="none"/>
        </w:rPr>
        <w:t>300</w:t>
      </w:r>
      <w:r>
        <w:rPr>
          <w:rFonts w:hint="eastAsia" w:ascii="宋体" w:hAnsi="宋体" w:cs="宋体"/>
          <w:color w:val="auto"/>
          <w:sz w:val="28"/>
          <w:szCs w:val="28"/>
          <w:highlight w:val="none"/>
        </w:rPr>
        <w:t>元报名资料费银行转账回单复印件的，或报名资料费银行转账回单中无</w:t>
      </w:r>
      <w:r>
        <w:rPr>
          <w:rFonts w:hint="eastAsia" w:ascii="宋体" w:hAnsi="宋体" w:cs="宋体"/>
          <w:b/>
          <w:color w:val="auto"/>
          <w:sz w:val="28"/>
          <w:szCs w:val="28"/>
          <w:highlight w:val="none"/>
        </w:rPr>
        <w:t>“HQ</w:t>
      </w:r>
      <w:r>
        <w:rPr>
          <w:rFonts w:ascii="宋体" w:hAnsi="宋体" w:cs="宋体"/>
          <w:b/>
          <w:color w:val="auto"/>
          <w:sz w:val="28"/>
          <w:szCs w:val="28"/>
          <w:highlight w:val="none"/>
        </w:rPr>
        <w:t>20</w:t>
      </w:r>
      <w:r>
        <w:rPr>
          <w:rFonts w:hint="eastAsia" w:ascii="宋体" w:hAnsi="宋体" w:cs="宋体"/>
          <w:b/>
          <w:color w:val="auto"/>
          <w:sz w:val="28"/>
          <w:szCs w:val="28"/>
          <w:highlight w:val="none"/>
        </w:rPr>
        <w:t>20002资料费”</w:t>
      </w:r>
      <w:r>
        <w:rPr>
          <w:rFonts w:hint="eastAsia" w:ascii="宋体" w:hAnsi="宋体" w:cs="宋体"/>
          <w:color w:val="auto"/>
          <w:sz w:val="28"/>
          <w:szCs w:val="28"/>
          <w:highlight w:val="none"/>
        </w:rPr>
        <w:t>字样的；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10.</w:t>
      </w:r>
      <w:r>
        <w:rPr>
          <w:rFonts w:hint="eastAsia" w:ascii="宋体" w:hAnsi="宋体" w:cs="宋体"/>
          <w:color w:val="auto"/>
          <w:sz w:val="28"/>
          <w:szCs w:val="28"/>
          <w:highlight w:val="none"/>
        </w:rPr>
        <w:t>招标文件中虽没明确，但经评标专家组讨论通过的符合无效投标情形的其他条件。</w:t>
      </w:r>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六、评标办法</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本着“质量第一、价格合理、服务优异、保障有力”的原则，由采购人、项目归口管理部门和财务处从报价得分、技术得分、服务、业绩、信誉得分五个方面提出评标办法（见附件</w:t>
      </w:r>
      <w:r>
        <w:rPr>
          <w:rFonts w:ascii="宋体" w:hAnsi="宋体" w:cs="宋体"/>
          <w:color w:val="auto"/>
          <w:sz w:val="28"/>
          <w:szCs w:val="28"/>
          <w:highlight w:val="none"/>
        </w:rPr>
        <w:t>5</w:t>
      </w:r>
      <w:r>
        <w:rPr>
          <w:rFonts w:hint="eastAsia" w:ascii="宋体" w:hAnsi="宋体" w:cs="宋体"/>
          <w:color w:val="auto"/>
          <w:sz w:val="28"/>
          <w:szCs w:val="28"/>
          <w:highlight w:val="none"/>
        </w:rPr>
        <w:t>）。</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为保证招标质量，在评标办法中设核心指标。每个分包的核心指标不超过</w:t>
      </w:r>
      <w:r>
        <w:rPr>
          <w:rFonts w:ascii="宋体" w:hAnsi="宋体" w:cs="宋体"/>
          <w:color w:val="auto"/>
          <w:sz w:val="28"/>
          <w:szCs w:val="28"/>
          <w:highlight w:val="none"/>
        </w:rPr>
        <w:t>5</w:t>
      </w:r>
      <w:r>
        <w:rPr>
          <w:rFonts w:hint="eastAsia" w:ascii="宋体" w:hAnsi="宋体" w:cs="宋体"/>
          <w:color w:val="auto"/>
          <w:sz w:val="28"/>
          <w:szCs w:val="28"/>
          <w:highlight w:val="none"/>
        </w:rPr>
        <w:t>个。</w:t>
      </w:r>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七、合同、履约、验收及结算等事项</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合同：</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）中标公示结束无异议后</w:t>
      </w:r>
      <w:r>
        <w:rPr>
          <w:rFonts w:ascii="宋体" w:hAnsi="宋体" w:cs="宋体"/>
          <w:color w:val="auto"/>
          <w:sz w:val="28"/>
          <w:szCs w:val="28"/>
          <w:highlight w:val="none"/>
        </w:rPr>
        <w:t>5</w:t>
      </w:r>
      <w:r>
        <w:rPr>
          <w:rFonts w:hint="eastAsia" w:ascii="宋体" w:hAnsi="宋体" w:cs="宋体"/>
          <w:color w:val="auto"/>
          <w:sz w:val="28"/>
          <w:szCs w:val="28"/>
          <w:highlight w:val="none"/>
        </w:rPr>
        <w:t>个工作日内，中标单位须及时缴纳</w:t>
      </w:r>
      <w:r>
        <w:rPr>
          <w:rFonts w:hint="eastAsia" w:ascii="宋体" w:hAnsi="宋体" w:cs="宋体"/>
          <w:color w:val="auto"/>
          <w:sz w:val="28"/>
          <w:szCs w:val="28"/>
          <w:highlight w:val="none"/>
          <w:lang w:val="en-US" w:eastAsia="zh-CN"/>
        </w:rPr>
        <w:t>10</w:t>
      </w:r>
      <w:r>
        <w:rPr>
          <w:rFonts w:ascii="宋体" w:hAnsi="宋体" w:cs="宋体"/>
          <w:color w:val="auto"/>
          <w:sz w:val="28"/>
          <w:szCs w:val="28"/>
          <w:highlight w:val="none"/>
        </w:rPr>
        <w:t>000</w:t>
      </w:r>
      <w:r>
        <w:rPr>
          <w:rFonts w:hint="eastAsia" w:ascii="宋体" w:hAnsi="宋体" w:cs="宋体"/>
          <w:color w:val="auto"/>
          <w:sz w:val="28"/>
          <w:szCs w:val="28"/>
          <w:highlight w:val="none"/>
        </w:rPr>
        <w:t>元履约保证金并前来我校领取的《中标通知书》（一式二份）。</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）中标单位须在接《中标通知书》起</w:t>
      </w:r>
      <w:r>
        <w:rPr>
          <w:rFonts w:ascii="宋体" w:hAnsi="宋体" w:cs="宋体"/>
          <w:color w:val="auto"/>
          <w:sz w:val="28"/>
          <w:szCs w:val="28"/>
          <w:highlight w:val="none"/>
        </w:rPr>
        <w:t>7</w:t>
      </w:r>
      <w:r>
        <w:rPr>
          <w:rFonts w:hint="eastAsia" w:ascii="宋体" w:hAnsi="宋体" w:cs="宋体"/>
          <w:color w:val="auto"/>
          <w:sz w:val="28"/>
          <w:szCs w:val="28"/>
          <w:highlight w:val="none"/>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服务地点：南京信息工程大学校内。</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付款方式：</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中标单位所供软件进场安装调试或服务工作完毕，经验收、检测合格后，提供全额税务发票，凭最终签字和盖章的验收合格报告，支付至合同价的95%，余5%作质保金，质保期满后并经有关单位确认无质量问题后，一次性支付完毕。具体内容以最终签署的合同约定为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资料费：</w:t>
      </w:r>
      <w:r>
        <w:rPr>
          <w:rFonts w:ascii="宋体" w:hAnsi="宋体" w:cs="宋体"/>
          <w:color w:val="auto"/>
          <w:sz w:val="28"/>
          <w:szCs w:val="28"/>
          <w:highlight w:val="none"/>
        </w:rPr>
        <w:t>300</w:t>
      </w:r>
      <w:r>
        <w:rPr>
          <w:rFonts w:hint="eastAsia" w:ascii="宋体" w:hAnsi="宋体" w:cs="宋体"/>
          <w:color w:val="auto"/>
          <w:sz w:val="28"/>
          <w:szCs w:val="28"/>
          <w:highlight w:val="none"/>
        </w:rPr>
        <w:t>元</w:t>
      </w:r>
      <w:r>
        <w:rPr>
          <w:rFonts w:ascii="宋体" w:hAnsi="宋体" w:cs="宋体"/>
          <w:color w:val="auto"/>
          <w:sz w:val="28"/>
          <w:szCs w:val="28"/>
          <w:highlight w:val="none"/>
        </w:rPr>
        <w:t>/</w:t>
      </w:r>
      <w:r>
        <w:rPr>
          <w:rFonts w:hint="eastAsia" w:ascii="宋体" w:hAnsi="宋体" w:cs="宋体"/>
          <w:color w:val="auto"/>
          <w:sz w:val="28"/>
          <w:szCs w:val="28"/>
          <w:highlight w:val="none"/>
        </w:rPr>
        <w:t>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）我校不接收现金或支付宝等方式交费。各投标人务必通过单位银行基本账户提前将资料费汇至我校以下账号：户名：南京信息工程大学；账号：</w:t>
      </w:r>
      <w:r>
        <w:rPr>
          <w:rFonts w:ascii="宋体" w:hAnsi="宋体" w:cs="宋体"/>
          <w:color w:val="auto"/>
          <w:sz w:val="28"/>
          <w:szCs w:val="28"/>
          <w:highlight w:val="none"/>
        </w:rPr>
        <w:t>10115401040000228</w:t>
      </w:r>
      <w:r>
        <w:rPr>
          <w:rFonts w:hint="eastAsia" w:ascii="宋体" w:hAnsi="宋体" w:cs="宋体"/>
          <w:color w:val="auto"/>
          <w:sz w:val="28"/>
          <w:szCs w:val="28"/>
          <w:highlight w:val="none"/>
        </w:rPr>
        <w:t>；开户银行：中国农业银行南京盘城支行。请各投标人务必在转账留言栏备注填写</w:t>
      </w:r>
      <w:r>
        <w:rPr>
          <w:rFonts w:hint="eastAsia" w:ascii="宋体" w:hAnsi="宋体" w:cs="宋体"/>
          <w:b/>
          <w:color w:val="auto"/>
          <w:sz w:val="28"/>
          <w:szCs w:val="28"/>
          <w:highlight w:val="none"/>
        </w:rPr>
        <w:t>“HQ</w:t>
      </w:r>
      <w:r>
        <w:rPr>
          <w:rFonts w:ascii="宋体" w:hAnsi="宋体" w:cs="宋体"/>
          <w:b/>
          <w:color w:val="auto"/>
          <w:sz w:val="28"/>
          <w:szCs w:val="28"/>
          <w:highlight w:val="none"/>
        </w:rPr>
        <w:t>20200</w:t>
      </w:r>
      <w:r>
        <w:rPr>
          <w:rFonts w:hint="eastAsia" w:ascii="宋体" w:hAnsi="宋体" w:cs="宋体"/>
          <w:b/>
          <w:color w:val="auto"/>
          <w:sz w:val="28"/>
          <w:szCs w:val="28"/>
          <w:highlight w:val="none"/>
        </w:rPr>
        <w:t>02资料费”</w:t>
      </w:r>
      <w:r>
        <w:rPr>
          <w:rFonts w:hint="eastAsia" w:ascii="宋体" w:hAnsi="宋体" w:cs="宋体"/>
          <w:color w:val="auto"/>
          <w:sz w:val="28"/>
          <w:szCs w:val="28"/>
          <w:highlight w:val="none"/>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w:t>
      </w:r>
      <w:r>
        <w:rPr>
          <w:rFonts w:hint="eastAsia" w:ascii="宋体" w:hAnsi="宋体" w:cs="宋体"/>
          <w:b/>
          <w:bCs/>
          <w:color w:val="auto"/>
          <w:sz w:val="28"/>
          <w:szCs w:val="28"/>
          <w:highlight w:val="none"/>
        </w:rPr>
        <w:t>我校提供电子普通发票，招标科定期到财务结算中心对账（时间约半个月）。请投标单位在邮件报名时提供单位纳税人识别号，并确保联系人手机号及邮箱状态正常，以便接收电子发票信息。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履约保证金（或投标保证金）：</w:t>
      </w:r>
      <w:r>
        <w:rPr>
          <w:rFonts w:ascii="宋体" w:hAnsi="宋体" w:cs="宋体"/>
          <w:color w:val="auto"/>
          <w:sz w:val="28"/>
          <w:szCs w:val="28"/>
          <w:highlight w:val="none"/>
          <w:u w:val="single"/>
        </w:rPr>
        <w:t>10000</w:t>
      </w:r>
      <w:r>
        <w:rPr>
          <w:rFonts w:hint="eastAsia" w:ascii="宋体" w:hAnsi="宋体" w:cs="宋体"/>
          <w:color w:val="auto"/>
          <w:sz w:val="28"/>
          <w:szCs w:val="28"/>
          <w:highlight w:val="none"/>
          <w:u w:val="single"/>
        </w:rPr>
        <w:t>元</w:t>
      </w:r>
      <w:r>
        <w:rPr>
          <w:rFonts w:hint="eastAsia" w:ascii="宋体" w:hAnsi="宋体" w:cs="宋体"/>
          <w:color w:val="auto"/>
          <w:sz w:val="28"/>
          <w:szCs w:val="28"/>
          <w:highlight w:val="none"/>
        </w:rPr>
        <w:t>整。</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财务处招标科领取中标通知书后再与采购单位签订供货和服务合同。</w:t>
      </w:r>
      <w:r>
        <w:rPr>
          <w:rFonts w:ascii="宋体" w:hAnsi="宋体" w:cs="宋体"/>
          <w:color w:val="auto"/>
          <w:sz w:val="28"/>
          <w:szCs w:val="28"/>
          <w:highlight w:val="none"/>
        </w:rPr>
        <w:t>10000</w:t>
      </w:r>
      <w:r>
        <w:rPr>
          <w:rFonts w:hint="eastAsia" w:ascii="宋体" w:hAnsi="宋体" w:cs="宋体"/>
          <w:color w:val="auto"/>
          <w:sz w:val="28"/>
          <w:szCs w:val="28"/>
          <w:highlight w:val="none"/>
        </w:rPr>
        <w:t>元履约保证金交款账号同</w:t>
      </w:r>
      <w:r>
        <w:rPr>
          <w:rFonts w:ascii="宋体" w:hAnsi="宋体" w:cs="宋体"/>
          <w:color w:val="auto"/>
          <w:sz w:val="28"/>
          <w:szCs w:val="28"/>
          <w:highlight w:val="none"/>
        </w:rPr>
        <w:t>300</w:t>
      </w:r>
      <w:r>
        <w:rPr>
          <w:rFonts w:hint="eastAsia" w:ascii="宋体" w:hAnsi="宋体" w:cs="宋体"/>
          <w:color w:val="auto"/>
          <w:sz w:val="28"/>
          <w:szCs w:val="28"/>
          <w:highlight w:val="none"/>
        </w:rPr>
        <w:t>元资料费。</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）履约保证金交退咨询：财务处结算中心（体育馆北面，南气宾馆东侧的大学生创业中心</w:t>
      </w:r>
      <w:r>
        <w:rPr>
          <w:rFonts w:ascii="宋体" w:hAnsi="宋体" w:cs="宋体"/>
          <w:color w:val="auto"/>
          <w:sz w:val="28"/>
          <w:szCs w:val="28"/>
          <w:highlight w:val="none"/>
        </w:rPr>
        <w:t>3</w:t>
      </w:r>
      <w:r>
        <w:rPr>
          <w:rFonts w:hint="eastAsia" w:ascii="宋体" w:hAnsi="宋体" w:cs="宋体"/>
          <w:color w:val="auto"/>
          <w:sz w:val="28"/>
          <w:szCs w:val="28"/>
          <w:highlight w:val="none"/>
        </w:rPr>
        <w:t>号楼二楼201）。</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）如中标单位有下列情况之一，不予退还履约保证金，我校将其列入招投标诚信“黑名单”，</w:t>
      </w:r>
      <w:r>
        <w:rPr>
          <w:rFonts w:ascii="宋体" w:hAnsi="宋体" w:cs="宋体"/>
          <w:color w:val="auto"/>
          <w:sz w:val="28"/>
          <w:szCs w:val="28"/>
          <w:highlight w:val="none"/>
        </w:rPr>
        <w:t>3</w:t>
      </w:r>
      <w:r>
        <w:rPr>
          <w:rFonts w:hint="eastAsia" w:ascii="宋体" w:hAnsi="宋体" w:cs="宋体"/>
          <w:color w:val="auto"/>
          <w:sz w:val="28"/>
          <w:szCs w:val="28"/>
          <w:highlight w:val="none"/>
        </w:rPr>
        <w:t>年内不得到我校从事任何投标活动。</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a.</w:t>
      </w:r>
      <w:r>
        <w:rPr>
          <w:rFonts w:hint="eastAsia" w:ascii="宋体" w:hAnsi="宋体" w:cs="宋体"/>
          <w:color w:val="auto"/>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b.</w:t>
      </w:r>
      <w:r>
        <w:rPr>
          <w:rFonts w:hint="eastAsia" w:ascii="宋体" w:hAnsi="宋体" w:cs="宋体"/>
          <w:color w:val="auto"/>
          <w:sz w:val="28"/>
          <w:szCs w:val="28"/>
          <w:highlight w:val="none"/>
        </w:rPr>
        <w:t>中标单位在投标过程中存在串通投标等违规或舞弊行为；或中标单位借用其他公司相关资质的；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c.</w:t>
      </w:r>
      <w:r>
        <w:rPr>
          <w:rFonts w:hint="eastAsia" w:ascii="宋体" w:hAnsi="宋体" w:cs="宋体"/>
          <w:color w:val="auto"/>
          <w:sz w:val="28"/>
          <w:szCs w:val="28"/>
          <w:highlight w:val="none"/>
        </w:rPr>
        <w:t>出现其他不予退还履约保证金情形的。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验收：按学校验收规定执行，项目合同是验收的主要依据。</w:t>
      </w:r>
    </w:p>
    <w:p>
      <w:pPr>
        <w:widowControl/>
        <w:spacing w:line="360" w:lineRule="auto"/>
        <w:ind w:firstLine="560" w:firstLineChars="200"/>
        <w:textAlignment w:val="center"/>
        <w:rPr>
          <w:rFonts w:ascii="宋体" w:hAnsi="宋体" w:cs="宋体"/>
          <w:color w:val="auto"/>
          <w:sz w:val="28"/>
          <w:szCs w:val="28"/>
          <w:highlight w:val="none"/>
        </w:rPr>
      </w:pPr>
      <w:r>
        <w:rPr>
          <w:rFonts w:ascii="宋体" w:hAnsi="宋体" w:cs="宋体"/>
          <w:color w:val="auto"/>
          <w:sz w:val="28"/>
          <w:szCs w:val="28"/>
          <w:highlight w:val="none"/>
        </w:rPr>
        <w:t>7.</w:t>
      </w:r>
      <w:r>
        <w:rPr>
          <w:rFonts w:hint="eastAsia" w:ascii="宋体" w:hAnsi="宋体" w:cs="宋体"/>
          <w:color w:val="auto"/>
          <w:sz w:val="28"/>
          <w:szCs w:val="28"/>
          <w:highlight w:val="none"/>
        </w:rPr>
        <w:t>质保：参照附件4服务要求</w:t>
      </w:r>
    </w:p>
    <w:p>
      <w:pPr>
        <w:spacing w:before="312" w:beforeLines="100" w:after="312" w:afterLines="100" w:line="360" w:lineRule="auto"/>
        <w:jc w:val="center"/>
        <w:rPr>
          <w:rFonts w:ascii="黑体" w:hAnsi="黑体" w:eastAsia="黑体"/>
          <w:color w:val="auto"/>
          <w:sz w:val="28"/>
          <w:szCs w:val="28"/>
          <w:highlight w:val="none"/>
        </w:rPr>
      </w:pPr>
      <w:bookmarkStart w:id="6" w:name="_Hlk9866833"/>
      <w:r>
        <w:rPr>
          <w:rFonts w:hint="eastAsia" w:ascii="黑体" w:hAnsi="黑体" w:eastAsia="黑体"/>
          <w:color w:val="auto"/>
          <w:sz w:val="28"/>
          <w:szCs w:val="28"/>
          <w:highlight w:val="none"/>
        </w:rPr>
        <w:t>八、日程安排和联系方式</w:t>
      </w:r>
    </w:p>
    <w:p>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1.</w:t>
      </w:r>
      <w:r>
        <w:rPr>
          <w:rFonts w:hint="eastAsia" w:ascii="宋体" w:hAnsi="宋体"/>
          <w:color w:val="auto"/>
          <w:sz w:val="28"/>
          <w:szCs w:val="28"/>
          <w:highlight w:val="none"/>
        </w:rPr>
        <w:t>报名时间：招标信息发布后。</w:t>
      </w:r>
    </w:p>
    <w:p>
      <w:pPr>
        <w:spacing w:line="360" w:lineRule="auto"/>
        <w:ind w:firstLine="560" w:firstLineChars="200"/>
        <w:rPr>
          <w:rFonts w:ascii="宋体" w:cs="宋体"/>
          <w:color w:val="auto"/>
          <w:sz w:val="28"/>
          <w:szCs w:val="28"/>
          <w:highlight w:val="none"/>
        </w:rPr>
      </w:pPr>
      <w:r>
        <w:rPr>
          <w:rFonts w:ascii="宋体" w:hAnsi="宋体"/>
          <w:color w:val="auto"/>
          <w:sz w:val="28"/>
          <w:szCs w:val="28"/>
          <w:highlight w:val="none"/>
        </w:rPr>
        <w:t>2.</w:t>
      </w:r>
      <w:r>
        <w:rPr>
          <w:rFonts w:hint="eastAsia" w:ascii="宋体" w:hAnsi="宋体"/>
          <w:color w:val="auto"/>
          <w:sz w:val="28"/>
          <w:szCs w:val="28"/>
          <w:highlight w:val="none"/>
        </w:rPr>
        <w:t>领取招标文件：</w:t>
      </w:r>
      <w:r>
        <w:rPr>
          <w:rFonts w:hint="eastAsia" w:ascii="宋体" w:hAnsi="宋体"/>
          <w:color w:val="auto"/>
          <w:sz w:val="28"/>
          <w:szCs w:val="28"/>
          <w:highlight w:val="none"/>
          <w:u w:val="single"/>
        </w:rPr>
        <w:t>自行下载</w:t>
      </w:r>
      <w:r>
        <w:rPr>
          <w:rFonts w:hint="eastAsia" w:ascii="宋体" w:hAnsi="宋体" w:cs="宋体"/>
          <w:color w:val="auto"/>
          <w:kern w:val="0"/>
          <w:sz w:val="28"/>
          <w:szCs w:val="28"/>
          <w:highlight w:val="none"/>
        </w:rPr>
        <w:t>。</w:t>
      </w:r>
    </w:p>
    <w:p>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3.</w:t>
      </w:r>
      <w:r>
        <w:rPr>
          <w:rFonts w:hint="eastAsia" w:ascii="宋体" w:hAnsi="宋体"/>
          <w:color w:val="auto"/>
          <w:sz w:val="28"/>
          <w:szCs w:val="28"/>
          <w:highlight w:val="none"/>
        </w:rPr>
        <w:t xml:space="preserve">答疑时间：          </w:t>
      </w:r>
    </w:p>
    <w:p>
      <w:pPr>
        <w:spacing w:line="360" w:lineRule="auto"/>
        <w:rPr>
          <w:rFonts w:asci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1</w:t>
      </w:r>
      <w:r>
        <w:rPr>
          <w:rFonts w:hint="eastAsia" w:ascii="宋体" w:hAnsi="宋体"/>
          <w:color w:val="auto"/>
          <w:sz w:val="28"/>
          <w:szCs w:val="28"/>
          <w:highlight w:val="none"/>
        </w:rPr>
        <w:t>）投标人如有疑问，请在</w:t>
      </w:r>
      <w:r>
        <w:rPr>
          <w:rFonts w:ascii="宋体" w:hAnsi="宋体"/>
          <w:b/>
          <w:color w:val="auto"/>
          <w:sz w:val="28"/>
          <w:szCs w:val="28"/>
          <w:highlight w:val="none"/>
          <w:u w:val="single"/>
        </w:rPr>
        <w:t>2020</w:t>
      </w:r>
      <w:r>
        <w:rPr>
          <w:rFonts w:hint="eastAsia" w:ascii="宋体" w:hAnsi="宋体"/>
          <w:b/>
          <w:color w:val="auto"/>
          <w:sz w:val="28"/>
          <w:szCs w:val="28"/>
          <w:highlight w:val="none"/>
          <w:u w:val="single"/>
        </w:rPr>
        <w:t>年0</w:t>
      </w:r>
      <w:r>
        <w:rPr>
          <w:rFonts w:hint="eastAsia" w:ascii="宋体" w:hAnsi="宋体"/>
          <w:b/>
          <w:color w:val="auto"/>
          <w:sz w:val="28"/>
          <w:szCs w:val="28"/>
          <w:highlight w:val="none"/>
          <w:u w:val="single"/>
          <w:lang w:val="en-US" w:eastAsia="zh-CN"/>
        </w:rPr>
        <w:t>6</w:t>
      </w:r>
      <w:r>
        <w:rPr>
          <w:rFonts w:hint="eastAsia" w:ascii="宋体" w:hAnsi="宋体"/>
          <w:b/>
          <w:color w:val="auto"/>
          <w:sz w:val="28"/>
          <w:szCs w:val="28"/>
          <w:highlight w:val="none"/>
          <w:u w:val="single"/>
        </w:rPr>
        <w:t>月</w:t>
      </w:r>
      <w:r>
        <w:rPr>
          <w:rFonts w:hint="eastAsia" w:ascii="宋体" w:hAnsi="宋体"/>
          <w:b/>
          <w:color w:val="auto"/>
          <w:sz w:val="28"/>
          <w:szCs w:val="28"/>
          <w:highlight w:val="none"/>
          <w:u w:val="single"/>
          <w:lang w:val="en-US" w:eastAsia="zh-CN"/>
        </w:rPr>
        <w:t>21</w:t>
      </w:r>
      <w:r>
        <w:rPr>
          <w:rFonts w:hint="eastAsia" w:ascii="宋体" w:hAnsi="宋体"/>
          <w:b/>
          <w:color w:val="auto"/>
          <w:sz w:val="28"/>
          <w:szCs w:val="28"/>
          <w:highlight w:val="none"/>
          <w:u w:val="single"/>
        </w:rPr>
        <w:t>日</w:t>
      </w:r>
      <w:r>
        <w:rPr>
          <w:rFonts w:ascii="宋体" w:hAnsi="宋体"/>
          <w:b/>
          <w:color w:val="auto"/>
          <w:sz w:val="28"/>
          <w:szCs w:val="28"/>
          <w:highlight w:val="none"/>
          <w:u w:val="single"/>
        </w:rPr>
        <w:t>11</w:t>
      </w:r>
      <w:r>
        <w:rPr>
          <w:rFonts w:hint="eastAsia" w:ascii="宋体" w:hAnsi="宋体"/>
          <w:b/>
          <w:color w:val="auto"/>
          <w:sz w:val="28"/>
          <w:szCs w:val="28"/>
          <w:highlight w:val="none"/>
          <w:u w:val="single"/>
        </w:rPr>
        <w:t>：</w:t>
      </w:r>
      <w:r>
        <w:rPr>
          <w:rFonts w:ascii="宋体" w:hAnsi="宋体"/>
          <w:b/>
          <w:color w:val="auto"/>
          <w:sz w:val="28"/>
          <w:szCs w:val="28"/>
          <w:highlight w:val="none"/>
          <w:u w:val="single"/>
        </w:rPr>
        <w:t>3</w:t>
      </w:r>
      <w:r>
        <w:rPr>
          <w:color w:val="auto"/>
          <w:highlight w:val="none"/>
        </w:rPr>
        <w:fldChar w:fldCharType="begin"/>
      </w:r>
      <w:r>
        <w:rPr>
          <w:color w:val="auto"/>
          <w:highlight w:val="none"/>
        </w:rPr>
        <w:instrText xml:space="preserve"> HYPERLINK "mailto:30前将问题一律以word格式或txt格式发至89523765@qq.com" </w:instrText>
      </w:r>
      <w:r>
        <w:rPr>
          <w:color w:val="auto"/>
          <w:highlight w:val="none"/>
        </w:rPr>
        <w:fldChar w:fldCharType="separate"/>
      </w:r>
      <w:r>
        <w:rPr>
          <w:rFonts w:ascii="宋体"/>
          <w:b/>
          <w:color w:val="auto"/>
          <w:sz w:val="28"/>
          <w:szCs w:val="28"/>
          <w:highlight w:val="none"/>
          <w:u w:val="single"/>
        </w:rPr>
        <w:t>0</w:t>
      </w:r>
      <w:r>
        <w:rPr>
          <w:rFonts w:hint="eastAsia" w:ascii="宋体" w:hAnsi="宋体"/>
          <w:color w:val="auto"/>
          <w:sz w:val="28"/>
          <w:szCs w:val="28"/>
          <w:highlight w:val="none"/>
        </w:rPr>
        <w:t>前将问题以</w:t>
      </w:r>
      <w:r>
        <w:rPr>
          <w:rFonts w:ascii="宋体" w:hAnsi="宋体"/>
          <w:color w:val="auto"/>
          <w:sz w:val="28"/>
          <w:szCs w:val="28"/>
          <w:highlight w:val="none"/>
        </w:rPr>
        <w:t>word</w:t>
      </w:r>
      <w:r>
        <w:rPr>
          <w:rFonts w:hint="eastAsia" w:ascii="宋体" w:hAnsi="宋体"/>
          <w:color w:val="auto"/>
          <w:sz w:val="28"/>
          <w:szCs w:val="28"/>
          <w:highlight w:val="none"/>
        </w:rPr>
        <w:t>格式或</w:t>
      </w:r>
      <w:r>
        <w:rPr>
          <w:rFonts w:ascii="宋体" w:hAnsi="宋体"/>
          <w:color w:val="auto"/>
          <w:sz w:val="28"/>
          <w:szCs w:val="28"/>
          <w:highlight w:val="none"/>
        </w:rPr>
        <w:t>txt</w:t>
      </w:r>
      <w:r>
        <w:rPr>
          <w:rFonts w:hint="eastAsia" w:ascii="宋体" w:hAnsi="宋体"/>
          <w:color w:val="auto"/>
          <w:sz w:val="28"/>
          <w:szCs w:val="28"/>
          <w:highlight w:val="none"/>
        </w:rPr>
        <w:t>格式发至</w:t>
      </w:r>
      <w:r>
        <w:rPr>
          <w:rFonts w:ascii="宋体" w:hAnsi="宋体"/>
          <w:color w:val="auto"/>
          <w:sz w:val="28"/>
          <w:szCs w:val="28"/>
          <w:highlight w:val="none"/>
        </w:rPr>
        <w:t>2483567991@qq.com</w:t>
      </w:r>
      <w:r>
        <w:rPr>
          <w:rFonts w:ascii="宋体" w:hAnsi="宋体"/>
          <w:color w:val="auto"/>
          <w:sz w:val="28"/>
          <w:szCs w:val="28"/>
          <w:highlight w:val="none"/>
        </w:rPr>
        <w:fldChar w:fldCharType="end"/>
      </w:r>
      <w:r>
        <w:rPr>
          <w:rFonts w:hint="eastAsia" w:ascii="宋体" w:hAnsi="宋体"/>
          <w:color w:val="auto"/>
          <w:sz w:val="28"/>
          <w:szCs w:val="28"/>
          <w:highlight w:val="none"/>
        </w:rPr>
        <w:t>（质疑函请勿以</w:t>
      </w:r>
      <w:r>
        <w:rPr>
          <w:rFonts w:ascii="宋体" w:hAnsi="宋体"/>
          <w:color w:val="auto"/>
          <w:sz w:val="28"/>
          <w:szCs w:val="28"/>
          <w:highlight w:val="none"/>
        </w:rPr>
        <w:t>JPG</w:t>
      </w:r>
      <w:r>
        <w:rPr>
          <w:rFonts w:hint="eastAsia" w:ascii="宋体" w:hAnsi="宋体"/>
          <w:color w:val="auto"/>
          <w:sz w:val="28"/>
          <w:szCs w:val="28"/>
          <w:highlight w:val="none"/>
        </w:rPr>
        <w:t>或</w:t>
      </w:r>
      <w:r>
        <w:rPr>
          <w:rFonts w:ascii="宋体" w:hAnsi="宋体"/>
          <w:color w:val="auto"/>
          <w:sz w:val="28"/>
          <w:szCs w:val="28"/>
          <w:highlight w:val="none"/>
        </w:rPr>
        <w:t>PDF</w:t>
      </w:r>
      <w:r>
        <w:rPr>
          <w:rFonts w:hint="eastAsia" w:ascii="宋体" w:hAnsi="宋体"/>
          <w:color w:val="auto"/>
          <w:sz w:val="28"/>
          <w:szCs w:val="28"/>
          <w:highlight w:val="none"/>
        </w:rPr>
        <w:t>格式，对</w:t>
      </w:r>
      <w:r>
        <w:rPr>
          <w:rFonts w:ascii="宋体" w:hAnsi="宋体"/>
          <w:color w:val="auto"/>
          <w:sz w:val="28"/>
          <w:szCs w:val="28"/>
          <w:highlight w:val="none"/>
        </w:rPr>
        <w:t>JPG</w:t>
      </w:r>
      <w:r>
        <w:rPr>
          <w:rFonts w:hint="eastAsia" w:ascii="宋体" w:hAnsi="宋体"/>
          <w:color w:val="auto"/>
          <w:sz w:val="28"/>
          <w:szCs w:val="28"/>
          <w:highlight w:val="none"/>
        </w:rPr>
        <w:t>和</w:t>
      </w:r>
      <w:r>
        <w:rPr>
          <w:rFonts w:ascii="宋体" w:hAnsi="宋体"/>
          <w:color w:val="auto"/>
          <w:sz w:val="28"/>
          <w:szCs w:val="28"/>
          <w:highlight w:val="none"/>
        </w:rPr>
        <w:t>PDF</w:t>
      </w:r>
      <w:r>
        <w:rPr>
          <w:rFonts w:hint="eastAsia" w:ascii="宋体" w:hAnsi="宋体"/>
          <w:color w:val="auto"/>
          <w:sz w:val="28"/>
          <w:szCs w:val="28"/>
          <w:highlight w:val="none"/>
        </w:rPr>
        <w:t>格式的附件一律删除，不予采纳，敬请谅解）。</w:t>
      </w:r>
    </w:p>
    <w:p>
      <w:pPr>
        <w:spacing w:line="360" w:lineRule="auto"/>
        <w:rPr>
          <w:rFonts w:asci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2</w:t>
      </w:r>
      <w:r>
        <w:rPr>
          <w:rFonts w:hint="eastAsia" w:ascii="宋体" w:hAnsi="宋体"/>
          <w:color w:val="auto"/>
          <w:sz w:val="28"/>
          <w:szCs w:val="28"/>
          <w:highlight w:val="none"/>
        </w:rPr>
        <w:t>）我校项目归口管理部门将通过财务处招标科向各投标人统一进行书面（或电子版）答疑回复。</w:t>
      </w:r>
    </w:p>
    <w:p>
      <w:pPr>
        <w:widowControl/>
        <w:snapToGrid w:val="0"/>
        <w:spacing w:line="360" w:lineRule="auto"/>
        <w:ind w:firstLine="548" w:firstLineChars="196"/>
        <w:rPr>
          <w:rFonts w:ascii="黑体" w:hAnsi="黑体" w:eastAsia="黑体"/>
          <w:i/>
          <w:color w:val="auto"/>
          <w:sz w:val="28"/>
          <w:szCs w:val="28"/>
          <w:highlight w:val="none"/>
        </w:rPr>
      </w:pPr>
      <w:r>
        <w:rPr>
          <w:rFonts w:hint="eastAsia" w:ascii="宋体" w:hAnsi="宋体"/>
          <w:color w:val="auto"/>
          <w:sz w:val="28"/>
          <w:szCs w:val="28"/>
          <w:highlight w:val="none"/>
        </w:rPr>
        <w:t>4.投标文件</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（1）投标送达方式：</w:t>
      </w:r>
      <w:r>
        <w:rPr>
          <w:rFonts w:hint="eastAsia" w:ascii="宋体" w:hAnsi="宋体"/>
          <w:b/>
          <w:color w:val="auto"/>
          <w:sz w:val="28"/>
          <w:szCs w:val="28"/>
          <w:highlight w:val="none"/>
        </w:rPr>
        <w:t>只接受以邮寄方式送达，并请务必用顺丰快递</w:t>
      </w:r>
      <w:r>
        <w:rPr>
          <w:rFonts w:hint="eastAsia" w:ascii="宋体" w:hAnsi="宋体"/>
          <w:color w:val="auto"/>
          <w:sz w:val="28"/>
          <w:szCs w:val="28"/>
          <w:highlight w:val="none"/>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color w:val="auto"/>
          <w:sz w:val="28"/>
          <w:szCs w:val="28"/>
          <w:highlight w:val="none"/>
        </w:rPr>
        <w:t>（若后期有调整，将会将调整信息发送到各投标单位报名邮箱，请各投标单位在投标前密切关注报名邮箱）</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（2）投标截止时间：2020年</w:t>
      </w:r>
      <w:r>
        <w:rPr>
          <w:rFonts w:hint="eastAsia" w:ascii="宋体" w:hAnsi="宋体"/>
          <w:color w:val="auto"/>
          <w:sz w:val="28"/>
          <w:szCs w:val="28"/>
          <w:highlight w:val="none"/>
        </w:rPr>
        <w:t>0</w:t>
      </w:r>
      <w:r>
        <w:rPr>
          <w:rFonts w:hint="eastAsia" w:ascii="宋体" w:hAnsi="宋体"/>
          <w:color w:val="auto"/>
          <w:sz w:val="28"/>
          <w:szCs w:val="28"/>
          <w:highlight w:val="none"/>
          <w:lang w:val="en-US" w:eastAsia="zh-CN"/>
        </w:rPr>
        <w:t>7</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05</w:t>
      </w:r>
      <w:r>
        <w:rPr>
          <w:rFonts w:hint="eastAsia" w:ascii="宋体" w:hAnsi="宋体"/>
          <w:color w:val="auto"/>
          <w:sz w:val="28"/>
          <w:szCs w:val="28"/>
          <w:highlight w:val="none"/>
        </w:rPr>
        <w:t>日09：</w:t>
      </w:r>
      <w:r>
        <w:rPr>
          <w:rFonts w:hint="eastAsia" w:ascii="宋体" w:hAnsi="宋体"/>
          <w:color w:val="auto"/>
          <w:sz w:val="28"/>
          <w:szCs w:val="28"/>
          <w:highlight w:val="none"/>
        </w:rPr>
        <w:t>00。</w:t>
      </w:r>
      <w:bookmarkStart w:id="7" w:name="_Hlk32349437"/>
    </w:p>
    <w:bookmarkEnd w:id="7"/>
    <w:p>
      <w:pPr>
        <w:widowControl/>
        <w:adjustRightInd w:val="0"/>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（3）邮寄送达地点：</w:t>
      </w:r>
      <w:r>
        <w:rPr>
          <w:rFonts w:hint="eastAsia" w:ascii="宋体" w:hAnsi="宋体" w:cs="宋体"/>
          <w:color w:val="auto"/>
          <w:kern w:val="0"/>
          <w:sz w:val="28"/>
          <w:szCs w:val="28"/>
          <w:highlight w:val="none"/>
        </w:rPr>
        <w:t>南京市浦口区宁六路219号</w:t>
      </w:r>
      <w:r>
        <w:rPr>
          <w:rFonts w:ascii="宋体" w:hAnsi="宋体" w:cs="宋体"/>
          <w:color w:val="auto"/>
          <w:kern w:val="0"/>
          <w:sz w:val="28"/>
          <w:szCs w:val="28"/>
          <w:highlight w:val="none"/>
        </w:rPr>
        <w:t>南京信息工程大学</w:t>
      </w:r>
      <w:r>
        <w:rPr>
          <w:rFonts w:hint="eastAsia" w:ascii="宋体" w:hAnsi="宋体"/>
          <w:color w:val="auto"/>
          <w:sz w:val="28"/>
          <w:szCs w:val="28"/>
          <w:highlight w:val="none"/>
        </w:rPr>
        <w:t>东苑大学生创业中心3号楼（体育馆北面三层小楼）210室</w:t>
      </w:r>
      <w:r>
        <w:rPr>
          <w:rFonts w:hint="eastAsia" w:ascii="宋体" w:hAnsi="宋体" w:cs="宋体"/>
          <w:color w:val="auto"/>
          <w:kern w:val="0"/>
          <w:sz w:val="28"/>
          <w:szCs w:val="28"/>
          <w:highlight w:val="none"/>
        </w:rPr>
        <w:t>财务处招标科。联系人：马老师、罗老师、方老师；联系电话：025-58731441。</w:t>
      </w:r>
    </w:p>
    <w:p>
      <w:pPr>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5.开标、唱标和评标</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（1）开标、唱标：2020年</w:t>
      </w:r>
      <w:r>
        <w:rPr>
          <w:rFonts w:hint="eastAsia" w:ascii="宋体" w:hAnsi="宋体"/>
          <w:color w:val="auto"/>
          <w:sz w:val="28"/>
          <w:szCs w:val="28"/>
          <w:highlight w:val="none"/>
          <w:lang w:val="en-US" w:eastAsia="zh-CN"/>
        </w:rPr>
        <w:t>07</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05</w:t>
      </w:r>
      <w:r>
        <w:rPr>
          <w:rFonts w:hint="eastAsia" w:ascii="宋体" w:hAnsi="宋体"/>
          <w:color w:val="auto"/>
          <w:sz w:val="28"/>
          <w:szCs w:val="28"/>
          <w:highlight w:val="none"/>
        </w:rPr>
        <w:t>日09：00；(不安排公开开标、唱标，由财务处招标科工作人员在我校纪检监察部门监督见证下进行，开标、唱标工作全程视频监控并录像)。</w:t>
      </w:r>
    </w:p>
    <w:p>
      <w:pPr>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（2）唱标和开标地点：南京信息工程大学东苑大学生创业中心</w:t>
      </w:r>
      <w:r>
        <w:rPr>
          <w:rFonts w:ascii="宋体" w:hAnsi="宋体"/>
          <w:color w:val="auto"/>
          <w:sz w:val="28"/>
          <w:szCs w:val="28"/>
          <w:highlight w:val="none"/>
        </w:rPr>
        <w:t>3</w:t>
      </w:r>
      <w:r>
        <w:rPr>
          <w:rFonts w:hint="eastAsia" w:ascii="宋体" w:hAnsi="宋体"/>
          <w:color w:val="auto"/>
          <w:sz w:val="28"/>
          <w:szCs w:val="28"/>
          <w:highlight w:val="none"/>
        </w:rPr>
        <w:t>号楼（体育馆北面三层小楼）</w:t>
      </w:r>
      <w:r>
        <w:rPr>
          <w:rFonts w:ascii="宋体" w:hAnsi="宋体"/>
          <w:color w:val="auto"/>
          <w:sz w:val="28"/>
          <w:szCs w:val="28"/>
          <w:highlight w:val="none"/>
        </w:rPr>
        <w:t>210</w:t>
      </w:r>
      <w:r>
        <w:rPr>
          <w:rFonts w:hint="eastAsia" w:ascii="宋体" w:hAnsi="宋体"/>
          <w:color w:val="auto"/>
          <w:sz w:val="28"/>
          <w:szCs w:val="28"/>
          <w:highlight w:val="none"/>
        </w:rPr>
        <w:t>室。</w:t>
      </w:r>
    </w:p>
    <w:p>
      <w:pPr>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6.相关单位联系人及电话</w:t>
      </w:r>
    </w:p>
    <w:p>
      <w:pPr>
        <w:snapToGrid w:val="0"/>
        <w:spacing w:line="360" w:lineRule="auto"/>
        <w:ind w:firstLine="425" w:firstLineChars="152"/>
        <w:rPr>
          <w:rFonts w:asci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1</w:t>
      </w:r>
      <w:r>
        <w:rPr>
          <w:rFonts w:hint="eastAsia" w:ascii="宋体" w:hAnsi="宋体"/>
          <w:color w:val="auto"/>
          <w:sz w:val="28"/>
          <w:szCs w:val="28"/>
          <w:highlight w:val="none"/>
        </w:rPr>
        <w:t>）财务处招标科（招投标管理业务单位）：联系电话：</w:t>
      </w:r>
      <w:r>
        <w:rPr>
          <w:rFonts w:ascii="宋体" w:hAnsi="宋体"/>
          <w:color w:val="auto"/>
          <w:sz w:val="28"/>
          <w:szCs w:val="28"/>
          <w:highlight w:val="none"/>
        </w:rPr>
        <w:t>025-58731441</w:t>
      </w:r>
      <w:r>
        <w:rPr>
          <w:rFonts w:hint="eastAsia" w:ascii="宋体" w:hAnsi="宋体"/>
          <w:color w:val="auto"/>
          <w:sz w:val="28"/>
          <w:szCs w:val="28"/>
          <w:highlight w:val="none"/>
        </w:rPr>
        <w:t>，联系人：马老师、罗老师、方老师；</w:t>
      </w:r>
    </w:p>
    <w:p>
      <w:pPr>
        <w:snapToGrid w:val="0"/>
        <w:spacing w:line="360" w:lineRule="auto"/>
        <w:ind w:firstLine="425" w:firstLineChars="152"/>
        <w:rPr>
          <w:rFonts w:ascii="宋体" w:hAnsi="宋体"/>
          <w:color w:val="auto"/>
          <w:sz w:val="28"/>
          <w:szCs w:val="28"/>
          <w:highlight w:val="none"/>
        </w:rPr>
      </w:pPr>
      <w:r>
        <w:rPr>
          <w:rFonts w:hint="eastAsia" w:ascii="宋体" w:hAnsi="宋体"/>
          <w:color w:val="auto"/>
          <w:sz w:val="28"/>
          <w:szCs w:val="28"/>
          <w:highlight w:val="none"/>
        </w:rPr>
        <w:t>（2）</w:t>
      </w:r>
      <w:bookmarkEnd w:id="6"/>
      <w:r>
        <w:rPr>
          <w:rFonts w:hint="eastAsia" w:ascii="宋体" w:hAnsi="宋体"/>
          <w:color w:val="auto"/>
          <w:sz w:val="28"/>
          <w:szCs w:val="28"/>
          <w:highlight w:val="none"/>
        </w:rPr>
        <w:t>用户单位联系电话：025-58695665，联系人：戴老师。</w:t>
      </w:r>
    </w:p>
    <w:p>
      <w:pPr>
        <w:pStyle w:val="2"/>
        <w:ind w:left="0" w:leftChars="0" w:right="0" w:rightChars="0"/>
        <w:rPr>
          <w:rFonts w:ascii="宋体" w:hAnsi="宋体"/>
          <w:color w:val="auto"/>
          <w:sz w:val="28"/>
          <w:szCs w:val="28"/>
          <w:highlight w:val="none"/>
        </w:rPr>
      </w:pPr>
    </w:p>
    <w:p>
      <w:pPr>
        <w:tabs>
          <w:tab w:val="left" w:pos="1260"/>
        </w:tabs>
        <w:spacing w:line="360" w:lineRule="auto"/>
        <w:ind w:left="1959" w:leftChars="933" w:firstLine="2530" w:firstLineChars="900"/>
        <w:rPr>
          <w:rFonts w:ascii="宋体"/>
          <w:b/>
          <w:color w:val="auto"/>
          <w:sz w:val="28"/>
          <w:szCs w:val="28"/>
          <w:highlight w:val="none"/>
        </w:rPr>
      </w:pPr>
      <w:bookmarkStart w:id="8" w:name="_Hlk9866962"/>
      <w:r>
        <w:rPr>
          <w:rFonts w:hint="eastAsia" w:ascii="宋体" w:hAnsi="宋体"/>
          <w:b/>
          <w:color w:val="auto"/>
          <w:sz w:val="28"/>
          <w:szCs w:val="28"/>
          <w:highlight w:val="none"/>
        </w:rPr>
        <w:t>南京信息工程大学财务处</w:t>
      </w:r>
    </w:p>
    <w:p>
      <w:pPr>
        <w:pStyle w:val="11"/>
        <w:spacing w:line="360" w:lineRule="auto"/>
        <w:ind w:left="99" w:leftChars="47" w:firstLine="4919" w:firstLineChars="1750"/>
        <w:rPr>
          <w:rStyle w:val="40"/>
          <w:rFonts w:ascii="宋体" w:hAnsi="Times New Roman" w:eastAsia="宋体"/>
          <w:color w:val="auto"/>
          <w:sz w:val="28"/>
          <w:szCs w:val="28"/>
          <w:highlight w:val="none"/>
        </w:rPr>
      </w:pPr>
      <w:r>
        <w:rPr>
          <w:rStyle w:val="40"/>
          <w:rFonts w:ascii="宋体" w:hAnsi="宋体" w:eastAsia="宋体"/>
          <w:color w:val="auto"/>
          <w:sz w:val="28"/>
          <w:szCs w:val="28"/>
          <w:highlight w:val="none"/>
        </w:rPr>
        <w:t>20</w:t>
      </w:r>
      <w:r>
        <w:rPr>
          <w:rStyle w:val="40"/>
          <w:rFonts w:hint="eastAsia" w:ascii="宋体" w:hAnsi="宋体" w:eastAsia="宋体"/>
          <w:color w:val="auto"/>
          <w:sz w:val="28"/>
          <w:szCs w:val="28"/>
          <w:highlight w:val="none"/>
        </w:rPr>
        <w:t>20年0</w:t>
      </w:r>
      <w:r>
        <w:rPr>
          <w:rStyle w:val="40"/>
          <w:rFonts w:hint="eastAsia" w:ascii="宋体" w:hAnsi="宋体"/>
          <w:color w:val="auto"/>
          <w:sz w:val="28"/>
          <w:szCs w:val="28"/>
          <w:highlight w:val="none"/>
        </w:rPr>
        <w:t>6</w:t>
      </w:r>
      <w:r>
        <w:rPr>
          <w:rStyle w:val="40"/>
          <w:rFonts w:hint="eastAsia" w:ascii="宋体" w:hAnsi="宋体" w:eastAsia="宋体"/>
          <w:color w:val="auto"/>
          <w:sz w:val="28"/>
          <w:szCs w:val="28"/>
          <w:highlight w:val="none"/>
        </w:rPr>
        <w:t>月</w:t>
      </w:r>
      <w:r>
        <w:rPr>
          <w:rStyle w:val="40"/>
          <w:rFonts w:hint="eastAsia" w:ascii="宋体" w:hAnsi="宋体"/>
          <w:color w:val="auto"/>
          <w:sz w:val="28"/>
          <w:szCs w:val="28"/>
          <w:highlight w:val="none"/>
          <w:lang w:val="en-US"/>
        </w:rPr>
        <w:t>15</w:t>
      </w:r>
      <w:r>
        <w:rPr>
          <w:rStyle w:val="40"/>
          <w:rFonts w:hint="eastAsia" w:ascii="宋体" w:hAnsi="宋体" w:eastAsia="宋体"/>
          <w:color w:val="auto"/>
          <w:sz w:val="28"/>
          <w:szCs w:val="28"/>
          <w:highlight w:val="none"/>
        </w:rPr>
        <w:t>日</w:t>
      </w:r>
    </w:p>
    <w:bookmarkEnd w:id="8"/>
    <w:p>
      <w:pPr>
        <w:pStyle w:val="10"/>
        <w:adjustRightInd w:val="0"/>
        <w:snapToGrid w:val="0"/>
        <w:spacing w:before="120" w:after="120" w:line="360" w:lineRule="auto"/>
        <w:rPr>
          <w:rFonts w:ascii="Times New Roman" w:hAnsi="Times New Roman"/>
          <w:color w:val="auto"/>
          <w:sz w:val="24"/>
          <w:szCs w:val="24"/>
          <w:highlight w:val="none"/>
        </w:rPr>
      </w:pPr>
      <w:r>
        <w:rPr>
          <w:rStyle w:val="40"/>
          <w:rFonts w:ascii="宋体" w:hAnsi="Times New Roman" w:eastAsia="宋体"/>
          <w:b w:val="0"/>
          <w:color w:val="auto"/>
          <w:sz w:val="28"/>
          <w:szCs w:val="28"/>
          <w:highlight w:val="none"/>
        </w:rPr>
        <w:br w:type="page"/>
      </w:r>
      <w:bookmarkStart w:id="9" w:name="_Toc462564147"/>
      <w:r>
        <w:rPr>
          <w:rFonts w:ascii="Times New Roman" w:hAnsi="Times New Roman"/>
          <w:b/>
          <w:bCs/>
          <w:color w:val="auto"/>
          <w:sz w:val="24"/>
          <w:szCs w:val="24"/>
          <w:highlight w:val="none"/>
        </w:rPr>
        <w:t>附件1：</w:t>
      </w:r>
    </w:p>
    <w:p>
      <w:pPr>
        <w:adjustRightInd w:val="0"/>
        <w:snapToGrid w:val="0"/>
        <w:spacing w:line="360" w:lineRule="auto"/>
        <w:jc w:val="center"/>
        <w:rPr>
          <w:rFonts w:ascii="宋体" w:hAnsi="宋体" w:cs="仿宋"/>
          <w:b/>
          <w:bCs/>
          <w:color w:val="auto"/>
          <w:sz w:val="30"/>
          <w:szCs w:val="30"/>
          <w:highlight w:val="none"/>
        </w:rPr>
      </w:pPr>
      <w:r>
        <w:rPr>
          <w:rFonts w:hint="eastAsia" w:ascii="宋体" w:hAnsi="宋体" w:cs="仿宋"/>
          <w:b/>
          <w:bCs/>
          <w:color w:val="auto"/>
          <w:sz w:val="30"/>
          <w:szCs w:val="30"/>
          <w:highlight w:val="none"/>
        </w:rPr>
        <w:t>项目参数指标要求</w:t>
      </w:r>
    </w:p>
    <w:p>
      <w:pPr>
        <w:adjustRightInd w:val="0"/>
        <w:snapToGrid w:val="0"/>
        <w:spacing w:line="360" w:lineRule="auto"/>
        <w:rPr>
          <w:rFonts w:ascii="宋体" w:hAnsi="宋体" w:cs="仿宋"/>
          <w:b/>
          <w:bCs/>
          <w:color w:val="auto"/>
          <w:sz w:val="28"/>
          <w:szCs w:val="28"/>
          <w:highlight w:val="none"/>
        </w:rPr>
      </w:pPr>
      <w:r>
        <w:rPr>
          <w:rFonts w:hint="eastAsia" w:ascii="宋体" w:hAnsi="宋体" w:cs="仿宋"/>
          <w:b/>
          <w:bCs/>
          <w:color w:val="auto"/>
          <w:sz w:val="28"/>
          <w:szCs w:val="28"/>
          <w:highlight w:val="none"/>
        </w:rPr>
        <w:t>一、项目概述</w:t>
      </w:r>
    </w:p>
    <w:p>
      <w:pPr>
        <w:autoSpaceDE w:val="0"/>
        <w:autoSpaceDN w:val="0"/>
        <w:adjustRightInd w:val="0"/>
        <w:ind w:firstLine="560" w:firstLineChars="200"/>
        <w:jc w:val="left"/>
        <w:rPr>
          <w:rFonts w:ascii="宋体" w:hAnsi="宋体" w:cs="宋体"/>
          <w:color w:val="auto"/>
          <w:kern w:val="0"/>
          <w:sz w:val="28"/>
          <w:szCs w:val="28"/>
          <w:highlight w:val="none"/>
        </w:rPr>
      </w:pPr>
      <w:r>
        <w:rPr>
          <w:rFonts w:hint="eastAsia" w:ascii="宋体" w:hAnsi="宋体" w:cs="仿宋"/>
          <w:bCs/>
          <w:color w:val="auto"/>
          <w:sz w:val="28"/>
          <w:szCs w:val="28"/>
          <w:highlight w:val="none"/>
        </w:rPr>
        <w:t>为降低资源配置难度, 提升管理能效，</w:t>
      </w:r>
      <w:r>
        <w:rPr>
          <w:rFonts w:hint="eastAsia" w:ascii="宋体" w:hAnsi="宋体" w:cs="宋体"/>
          <w:color w:val="auto"/>
          <w:kern w:val="0"/>
          <w:sz w:val="28"/>
          <w:szCs w:val="28"/>
          <w:highlight w:val="none"/>
        </w:rPr>
        <w:t>提高我校的后勤服务质量，做到工作透明留痕。引进先进的管理模式将以生为本落到实处，特建立信大优学之智慧后勤项目。</w:t>
      </w:r>
    </w:p>
    <w:p>
      <w:pPr>
        <w:adjustRightInd w:val="0"/>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本项目不分包，包含四个平台建设：网络报修平台（E修系统）、环境曝光平台、后勤人力资源管理系统、服务评价考核平台。</w:t>
      </w:r>
    </w:p>
    <w:p>
      <w:pPr>
        <w:adjustRightInd w:val="0"/>
        <w:snapToGrid w:val="0"/>
        <w:spacing w:line="360" w:lineRule="auto"/>
        <w:rPr>
          <w:rFonts w:ascii="宋体" w:hAnsi="宋体" w:cs="仿宋"/>
          <w:b/>
          <w:bCs/>
          <w:color w:val="auto"/>
          <w:sz w:val="28"/>
          <w:szCs w:val="28"/>
          <w:highlight w:val="none"/>
        </w:rPr>
      </w:pPr>
      <w:r>
        <w:rPr>
          <w:rFonts w:hint="eastAsia" w:ascii="宋体" w:hAnsi="宋体" w:cs="仿宋"/>
          <w:b/>
          <w:bCs/>
          <w:color w:val="auto"/>
          <w:sz w:val="28"/>
          <w:szCs w:val="28"/>
          <w:highlight w:val="none"/>
        </w:rPr>
        <w:t>二、目标需求</w:t>
      </w:r>
    </w:p>
    <w:p>
      <w:pPr>
        <w:pStyle w:val="4"/>
        <w:numPr>
          <w:ilvl w:val="0"/>
          <w:numId w:val="0"/>
        </w:numPr>
        <w:spacing w:before="260" w:after="260" w:line="416" w:lineRule="auto"/>
        <w:ind w:left="425" w:hanging="425"/>
        <w:rPr>
          <w:rFonts w:ascii="宋体" w:hAnsi="宋体" w:eastAsia="宋体" w:cs="仿宋"/>
          <w:color w:val="auto"/>
          <w:szCs w:val="28"/>
          <w:highlight w:val="none"/>
        </w:rPr>
      </w:pPr>
      <w:bookmarkStart w:id="10" w:name="_Toc39044336"/>
      <w:r>
        <w:rPr>
          <w:rFonts w:hint="eastAsia" w:ascii="宋体" w:hAnsi="宋体" w:eastAsia="宋体" w:cs="仿宋"/>
          <w:color w:val="auto"/>
          <w:szCs w:val="28"/>
          <w:highlight w:val="none"/>
        </w:rPr>
        <w:t>1.总体功能要求</w:t>
      </w:r>
      <w:bookmarkEnd w:id="10"/>
    </w:p>
    <w:p>
      <w:pPr>
        <w:adjustRightInd w:val="0"/>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整体方案要求架构合理，目标明确，重点突出，预算合理，技术耦合度高，可扩展性强。采用java作为开发语言，支持Oracle、Mysql等主流数据库，确保数据安全性，支持PC端及手机端，将数据流程与业务流程相结合、过程管理和目标管理相结合、规范化管理和人性化管理相结合。</w:t>
      </w:r>
      <w:bookmarkStart w:id="11" w:name="_Toc39044337"/>
      <w:r>
        <w:rPr>
          <w:rFonts w:hint="eastAsia" w:ascii="宋体" w:hAnsi="宋体" w:cs="宋体"/>
          <w:color w:val="auto"/>
          <w:kern w:val="0"/>
          <w:sz w:val="28"/>
          <w:szCs w:val="28"/>
          <w:highlight w:val="none"/>
        </w:rPr>
        <w:t>在建设和实施过程中满足学校资源共享与关联分析的数据需求，为师生提供智能便捷服务。</w:t>
      </w:r>
    </w:p>
    <w:p>
      <w:pPr>
        <w:pStyle w:val="4"/>
        <w:numPr>
          <w:ilvl w:val="0"/>
          <w:numId w:val="0"/>
        </w:numPr>
        <w:spacing w:before="260" w:after="260" w:line="416" w:lineRule="auto"/>
        <w:ind w:left="425" w:hanging="425"/>
        <w:rPr>
          <w:rFonts w:ascii="宋体" w:hAnsi="宋体" w:eastAsia="宋体" w:cs="仿宋"/>
          <w:color w:val="auto"/>
          <w:szCs w:val="28"/>
          <w:highlight w:val="none"/>
        </w:rPr>
      </w:pPr>
      <w:r>
        <w:rPr>
          <w:rFonts w:hint="eastAsia" w:ascii="宋体" w:hAnsi="宋体" w:eastAsia="宋体" w:cs="仿宋"/>
          <w:color w:val="auto"/>
          <w:szCs w:val="28"/>
          <w:highlight w:val="none"/>
        </w:rPr>
        <w:t>2.安全性要求</w:t>
      </w:r>
    </w:p>
    <w:p>
      <w:pPr>
        <w:adjustRightInd w:val="0"/>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2.1认证授权：保证用户的合法性和用户使用信息资源的权力，避免内部敏感信息泄漏和服务所提供的信息资源被非法访问，造成严重的安全事件。</w:t>
      </w:r>
    </w:p>
    <w:p>
      <w:pPr>
        <w:adjustRightInd w:val="0"/>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2.2信息保密：充分利用密码技术，对于需要保密的信息，采用密码技术进行加解密处理，防止信息的非授权泄漏，确保涉密信息在产生、存储、传递和处理过程中的保密。</w:t>
      </w:r>
    </w:p>
    <w:p>
      <w:pPr>
        <w:adjustRightInd w:val="0"/>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2.3数据完整性：建立数据完整性检验机制，保证收发双方数据的一致性，防止信息被非授权修改。</w:t>
      </w:r>
    </w:p>
    <w:bookmarkEnd w:id="11"/>
    <w:p>
      <w:pPr>
        <w:adjustRightInd w:val="0"/>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2.4审计：记录应用日志，对事件进行分析，并能提供预警信息。</w:t>
      </w:r>
    </w:p>
    <w:p>
      <w:pPr>
        <w:adjustRightInd w:val="0"/>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2.5数据备份：利用数据库的备份功能将建设的平台和系统数据备份到指定的服务器或存储系统上。</w:t>
      </w:r>
    </w:p>
    <w:p>
      <w:pPr>
        <w:adjustRightInd w:val="0"/>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2.6要求投标方需从物理安全、网络安全、系统安全、应用软件安全、数据备份安全等几个方面提出配套的安全体系完善方案，以便防范安全风险。</w:t>
      </w:r>
    </w:p>
    <w:p>
      <w:pPr>
        <w:pStyle w:val="4"/>
        <w:numPr>
          <w:ilvl w:val="0"/>
          <w:numId w:val="0"/>
        </w:numPr>
        <w:spacing w:before="260" w:after="260" w:line="416" w:lineRule="auto"/>
        <w:ind w:left="425" w:hanging="425"/>
        <w:rPr>
          <w:rFonts w:ascii="宋体" w:hAnsi="宋体" w:eastAsia="宋体" w:cs="仿宋"/>
          <w:color w:val="auto"/>
          <w:szCs w:val="28"/>
          <w:highlight w:val="none"/>
        </w:rPr>
      </w:pPr>
      <w:r>
        <w:rPr>
          <w:rFonts w:hint="eastAsia" w:ascii="宋体" w:hAnsi="宋体" w:eastAsia="宋体" w:cs="仿宋"/>
          <w:color w:val="auto"/>
          <w:szCs w:val="28"/>
          <w:highlight w:val="none"/>
        </w:rPr>
        <w:t>3. 本项目建设方案需符合《南京信息工程大学信息化项目建设技术规范20200107》内容如下：</w:t>
      </w: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3</w:t>
      </w:r>
      <w:r>
        <w:rPr>
          <w:rFonts w:ascii="宋体" w:hAnsi="宋体"/>
          <w:color w:val="auto"/>
          <w:sz w:val="28"/>
          <w:szCs w:val="28"/>
          <w:highlight w:val="none"/>
        </w:rPr>
        <w:t>.1业务系统元数据标准要求</w:t>
      </w: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业务系统涉及到的字典表数据公共部分应以《南京信息工程大学信息标准规范》为准，未在该标准中界定的字典，应符合相应国标和行标，个性化部分应符合学校业务发展需要，并协助学校将其制定为校标。</w:t>
      </w:r>
    </w:p>
    <w:p>
      <w:pPr>
        <w:adjustRightInd w:val="0"/>
        <w:snapToGrid w:val="0"/>
        <w:spacing w:line="360" w:lineRule="auto"/>
        <w:ind w:firstLine="560" w:firstLineChars="200"/>
        <w:rPr>
          <w:rFonts w:ascii="宋体" w:hAnsi="宋体"/>
          <w:color w:val="auto"/>
          <w:sz w:val="28"/>
          <w:szCs w:val="28"/>
          <w:highlight w:val="none"/>
        </w:rPr>
      </w:pPr>
      <w:r>
        <w:rPr>
          <w:rFonts w:ascii="宋体" w:hAnsi="宋体"/>
          <w:color w:val="auto"/>
          <w:sz w:val="28"/>
          <w:szCs w:val="28"/>
          <w:highlight w:val="none"/>
        </w:rPr>
        <w:t>3.2系统对接</w:t>
      </w: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系统须根据网络信息中心要求，与我校统一身份认证系统对接。根据校方使用需求，对接校园信息门户、企业微信号、消息统一发送平台等平台。</w:t>
      </w:r>
    </w:p>
    <w:p>
      <w:pPr>
        <w:adjustRightInd w:val="0"/>
        <w:snapToGrid w:val="0"/>
        <w:spacing w:line="360" w:lineRule="auto"/>
        <w:ind w:firstLine="560" w:firstLineChars="200"/>
        <w:rPr>
          <w:rFonts w:ascii="宋体" w:hAnsi="宋体"/>
          <w:color w:val="auto"/>
          <w:sz w:val="28"/>
          <w:szCs w:val="28"/>
          <w:highlight w:val="none"/>
        </w:rPr>
      </w:pPr>
      <w:r>
        <w:rPr>
          <w:rFonts w:ascii="宋体" w:hAnsi="宋体"/>
          <w:color w:val="auto"/>
          <w:sz w:val="28"/>
          <w:szCs w:val="28"/>
          <w:highlight w:val="none"/>
        </w:rPr>
        <w:t>3.3数据共享</w:t>
      </w: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业务系统产生的所有业务数据支持通过</w:t>
      </w:r>
      <w:r>
        <w:rPr>
          <w:rFonts w:ascii="宋体" w:hAnsi="宋体"/>
          <w:color w:val="auto"/>
          <w:sz w:val="28"/>
          <w:szCs w:val="28"/>
          <w:highlight w:val="none"/>
        </w:rPr>
        <w:t>webservice/API接口或数据库方式对接，包括但不限于数据库表、视图、数据库字段说明。对于学校实时数据集成要求，需开放相关实时数据API接口及数据库相关权限。</w:t>
      </w:r>
    </w:p>
    <w:p>
      <w:pPr>
        <w:adjustRightInd w:val="0"/>
        <w:snapToGrid w:val="0"/>
        <w:spacing w:line="360" w:lineRule="auto"/>
        <w:ind w:firstLine="560" w:firstLineChars="200"/>
        <w:rPr>
          <w:rFonts w:ascii="宋体" w:hAnsi="宋体"/>
          <w:color w:val="auto"/>
          <w:sz w:val="28"/>
          <w:szCs w:val="28"/>
          <w:highlight w:val="none"/>
        </w:rPr>
      </w:pPr>
      <w:r>
        <w:rPr>
          <w:rFonts w:ascii="宋体" w:hAnsi="宋体"/>
          <w:color w:val="auto"/>
          <w:sz w:val="28"/>
          <w:szCs w:val="28"/>
          <w:highlight w:val="none"/>
        </w:rPr>
        <w:t>3.4日志功能</w:t>
      </w: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业务系统须按照等保</w:t>
      </w:r>
      <w:r>
        <w:rPr>
          <w:rFonts w:ascii="宋体" w:hAnsi="宋体"/>
          <w:color w:val="auto"/>
          <w:sz w:val="28"/>
          <w:szCs w:val="28"/>
          <w:highlight w:val="none"/>
        </w:rPr>
        <w:t>3.0要求存储日志，须存储不少于6个月的日志，日志数据与业务数据一并推送校数据中心。</w:t>
      </w:r>
    </w:p>
    <w:p>
      <w:pPr>
        <w:adjustRightInd w:val="0"/>
        <w:snapToGrid w:val="0"/>
        <w:spacing w:line="360" w:lineRule="auto"/>
        <w:ind w:firstLine="560" w:firstLineChars="200"/>
        <w:rPr>
          <w:rFonts w:ascii="宋体" w:hAnsi="宋体"/>
          <w:color w:val="auto"/>
          <w:sz w:val="28"/>
          <w:szCs w:val="28"/>
          <w:highlight w:val="none"/>
        </w:rPr>
      </w:pPr>
      <w:r>
        <w:rPr>
          <w:rFonts w:ascii="宋体" w:hAnsi="宋体"/>
          <w:color w:val="auto"/>
          <w:sz w:val="28"/>
          <w:szCs w:val="28"/>
          <w:highlight w:val="none"/>
        </w:rPr>
        <w:t>3.5系统安全</w:t>
      </w: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业务系统需要按照等保</w:t>
      </w:r>
      <w:r>
        <w:rPr>
          <w:rFonts w:ascii="宋体" w:hAnsi="宋体"/>
          <w:color w:val="auto"/>
          <w:sz w:val="28"/>
          <w:szCs w:val="28"/>
          <w:highlight w:val="none"/>
        </w:rPr>
        <w:t>3.0和校方相关要求，完成系统安全管控和人员配置。</w:t>
      </w:r>
    </w:p>
    <w:p>
      <w:pPr>
        <w:adjustRightInd w:val="0"/>
        <w:snapToGrid w:val="0"/>
        <w:spacing w:line="360" w:lineRule="auto"/>
        <w:ind w:firstLine="560" w:firstLineChars="200"/>
        <w:rPr>
          <w:rFonts w:ascii="宋体" w:hAnsi="宋体"/>
          <w:color w:val="auto"/>
          <w:sz w:val="28"/>
          <w:szCs w:val="28"/>
          <w:highlight w:val="none"/>
        </w:rPr>
      </w:pPr>
      <w:r>
        <w:rPr>
          <w:rFonts w:ascii="宋体" w:hAnsi="宋体"/>
          <w:color w:val="auto"/>
          <w:sz w:val="28"/>
          <w:szCs w:val="28"/>
          <w:highlight w:val="none"/>
        </w:rPr>
        <w:t>3.6备案制度</w:t>
      </w: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信息系统上线前需完成新系统上线安全检测，并出具检测报告；并配合网络信息中心按照相关法律和文件要求对信息系统进行定级备案。</w:t>
      </w:r>
    </w:p>
    <w:p>
      <w:pPr>
        <w:adjustRightInd w:val="0"/>
        <w:snapToGrid w:val="0"/>
        <w:spacing w:line="360" w:lineRule="auto"/>
        <w:ind w:firstLine="560" w:firstLineChars="200"/>
        <w:rPr>
          <w:rFonts w:ascii="宋体" w:hAnsi="宋体"/>
          <w:color w:val="auto"/>
          <w:sz w:val="28"/>
          <w:szCs w:val="28"/>
          <w:highlight w:val="none"/>
        </w:rPr>
      </w:pPr>
      <w:r>
        <w:rPr>
          <w:rFonts w:ascii="宋体" w:hAnsi="宋体"/>
          <w:color w:val="auto"/>
          <w:sz w:val="28"/>
          <w:szCs w:val="28"/>
          <w:highlight w:val="none"/>
        </w:rPr>
        <w:t>3.7业务系统文档要求</w:t>
      </w: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提供系统相关文档，包含但不限于需求说明书、系统详细设计报告、数据库设计说明书、用户手册、系统管理员手册、简明实用手册、系统验收报告、系统试运行报告、系统部署方案、系统应急预案等文档。</w:t>
      </w:r>
    </w:p>
    <w:p>
      <w:pPr>
        <w:adjustRightInd w:val="0"/>
        <w:snapToGrid w:val="0"/>
        <w:spacing w:line="360" w:lineRule="auto"/>
        <w:ind w:firstLine="560" w:firstLineChars="200"/>
        <w:rPr>
          <w:rFonts w:ascii="宋体" w:hAnsi="宋体"/>
          <w:color w:val="auto"/>
          <w:sz w:val="28"/>
          <w:szCs w:val="28"/>
          <w:highlight w:val="none"/>
        </w:rPr>
      </w:pPr>
      <w:r>
        <w:rPr>
          <w:rFonts w:ascii="宋体" w:hAnsi="宋体"/>
          <w:color w:val="auto"/>
          <w:sz w:val="28"/>
          <w:szCs w:val="28"/>
          <w:highlight w:val="none"/>
        </w:rPr>
        <w:t>3.8其它要求</w:t>
      </w:r>
    </w:p>
    <w:p>
      <w:pPr>
        <w:adjustRightInd w:val="0"/>
        <w:snapToGrid w:val="0"/>
        <w:spacing w:line="360" w:lineRule="auto"/>
        <w:ind w:firstLine="560" w:firstLineChars="200"/>
        <w:rPr>
          <w:rFonts w:ascii="宋体" w:hAnsi="宋体"/>
          <w:b/>
          <w:bCs/>
          <w:color w:val="auto"/>
          <w:sz w:val="28"/>
          <w:szCs w:val="28"/>
          <w:highlight w:val="none"/>
        </w:rPr>
      </w:pPr>
      <w:r>
        <w:rPr>
          <w:rFonts w:hint="eastAsia" w:ascii="宋体" w:hAnsi="宋体"/>
          <w:color w:val="auto"/>
          <w:sz w:val="28"/>
          <w:szCs w:val="28"/>
          <w:highlight w:val="none"/>
        </w:rPr>
        <w:t>质保期内按照校方实际需要能及时免费修改身份认证对接和数据共享要求。</w:t>
      </w:r>
    </w:p>
    <w:p>
      <w:pPr>
        <w:adjustRightInd w:val="0"/>
        <w:snapToGrid w:val="0"/>
        <w:spacing w:line="360" w:lineRule="auto"/>
        <w:rPr>
          <w:rFonts w:ascii="宋体" w:hAnsi="宋体" w:cs="仿宋"/>
          <w:b/>
          <w:bCs/>
          <w:color w:val="auto"/>
          <w:sz w:val="28"/>
          <w:szCs w:val="28"/>
          <w:highlight w:val="none"/>
        </w:rPr>
      </w:pPr>
      <w:r>
        <w:rPr>
          <w:rFonts w:hint="eastAsia" w:ascii="宋体" w:hAnsi="宋体" w:cs="仿宋"/>
          <w:b/>
          <w:bCs/>
          <w:color w:val="auto"/>
          <w:sz w:val="28"/>
          <w:szCs w:val="28"/>
          <w:highlight w:val="none"/>
        </w:rPr>
        <w:t>三、建设内容</w:t>
      </w:r>
    </w:p>
    <w:p>
      <w:pPr>
        <w:spacing w:before="312" w:beforeLines="100" w:after="312" w:afterLines="100" w:line="360" w:lineRule="auto"/>
        <w:outlineLvl w:val="0"/>
        <w:rPr>
          <w:rFonts w:ascii="宋体" w:hAnsi="宋体" w:cs="仿宋"/>
          <w:b/>
          <w:bCs/>
          <w:color w:val="auto"/>
          <w:sz w:val="28"/>
          <w:szCs w:val="28"/>
          <w:highlight w:val="none"/>
        </w:rPr>
      </w:pPr>
      <w:r>
        <w:rPr>
          <w:rFonts w:hint="eastAsia" w:ascii="宋体" w:hAnsi="宋体" w:cs="仿宋"/>
          <w:b/>
          <w:bCs/>
          <w:color w:val="auto"/>
          <w:sz w:val="28"/>
          <w:szCs w:val="28"/>
          <w:highlight w:val="none"/>
        </w:rPr>
        <w:t>1.网络报修平台</w:t>
      </w:r>
      <w:bookmarkStart w:id="12" w:name="_Toc39044338"/>
      <w:r>
        <w:rPr>
          <w:rFonts w:hint="eastAsia" w:ascii="宋体" w:hAnsi="宋体" w:cs="仿宋"/>
          <w:b/>
          <w:bCs/>
          <w:color w:val="auto"/>
          <w:sz w:val="28"/>
          <w:szCs w:val="28"/>
          <w:highlight w:val="none"/>
        </w:rPr>
        <w:t>(E修平台)</w:t>
      </w:r>
    </w:p>
    <w:p>
      <w:pPr>
        <w:spacing w:before="312" w:beforeLines="100" w:after="312" w:afterLines="100" w:line="360" w:lineRule="auto"/>
        <w:ind w:firstLine="560" w:firstLineChars="200"/>
        <w:outlineLvl w:val="0"/>
        <w:rPr>
          <w:rFonts w:ascii="宋体" w:hAnsi="宋体" w:cs="宋体"/>
          <w:color w:val="auto"/>
          <w:kern w:val="0"/>
          <w:sz w:val="28"/>
          <w:szCs w:val="28"/>
          <w:highlight w:val="none"/>
        </w:rPr>
      </w:pPr>
      <w:r>
        <w:rPr>
          <w:rFonts w:hint="eastAsia" w:ascii="宋体" w:hAnsi="宋体" w:cs="宋体"/>
          <w:color w:val="auto"/>
          <w:kern w:val="0"/>
          <w:sz w:val="28"/>
          <w:szCs w:val="28"/>
          <w:highlight w:val="none"/>
        </w:rPr>
        <w:t>网络报修平台作为信息化监测、控制、管理手段，应该建立网络报修管理职权体系、报修管理考核以及监管机制、报修整合、维修处理、成本核算、用户评价等业务管理平台，减少人工工作量，满足服务高效性和紧迫性需求。本平台涉及学校的不同承修单位，包括承建单位维修、总务大维修、后勤小维修、外包企业小维修、网络维修，教学设施维修等各类维修，平台需要实现不同单位之间的转派 ，开发应充分考虑到不同用户群体的需求，需要设计合理的工作流程。</w:t>
      </w:r>
    </w:p>
    <w:p>
      <w:pPr>
        <w:spacing w:line="360" w:lineRule="auto"/>
        <w:rPr>
          <w:rFonts w:ascii="宋体" w:hAnsi="宋体"/>
          <w:color w:val="auto"/>
          <w:sz w:val="28"/>
          <w:szCs w:val="28"/>
          <w:highlight w:val="none"/>
        </w:rPr>
      </w:pPr>
      <w:r>
        <w:rPr>
          <w:rFonts w:hint="eastAsia" w:ascii="宋体" w:hAnsi="宋体"/>
          <w:color w:val="auto"/>
          <w:sz w:val="28"/>
          <w:szCs w:val="28"/>
          <w:highlight w:val="none"/>
        </w:rPr>
        <w:t>1.1总体要求</w:t>
      </w:r>
      <w:bookmarkEnd w:id="12"/>
    </w:p>
    <w:p>
      <w:pPr>
        <w:numPr>
          <w:ilvl w:val="0"/>
          <w:numId w:val="2"/>
        </w:numPr>
        <w:spacing w:line="360" w:lineRule="auto"/>
        <w:ind w:left="0" w:firstLine="560" w:firstLineChars="200"/>
        <w:rPr>
          <w:rFonts w:ascii="宋体" w:hAnsi="宋体"/>
          <w:color w:val="auto"/>
          <w:sz w:val="28"/>
          <w:szCs w:val="28"/>
          <w:highlight w:val="none"/>
        </w:rPr>
      </w:pPr>
      <w:r>
        <w:rPr>
          <w:color w:val="auto"/>
          <w:sz w:val="28"/>
          <w:szCs w:val="28"/>
          <w:highlight w:val="none"/>
        </w:rPr>
        <w:t>B/S</w:t>
      </w:r>
      <w:r>
        <w:rPr>
          <w:rFonts w:hint="eastAsia" w:ascii="宋体" w:hAnsi="宋体"/>
          <w:color w:val="auto"/>
          <w:sz w:val="28"/>
          <w:szCs w:val="28"/>
          <w:highlight w:val="none"/>
        </w:rPr>
        <w:t>架构；</w:t>
      </w:r>
    </w:p>
    <w:p>
      <w:pPr>
        <w:numPr>
          <w:ilvl w:val="0"/>
          <w:numId w:val="2"/>
        </w:numPr>
        <w:spacing w:line="360" w:lineRule="auto"/>
        <w:ind w:left="0" w:firstLine="560" w:firstLineChars="200"/>
        <w:rPr>
          <w:rFonts w:ascii="宋体" w:hAnsi="宋体"/>
          <w:color w:val="auto"/>
          <w:sz w:val="28"/>
          <w:szCs w:val="28"/>
          <w:highlight w:val="none"/>
        </w:rPr>
      </w:pPr>
      <w:r>
        <w:rPr>
          <w:rFonts w:hint="eastAsia" w:ascii="宋体" w:hAnsi="宋体"/>
          <w:color w:val="auto"/>
          <w:sz w:val="28"/>
          <w:szCs w:val="28"/>
          <w:highlight w:val="none"/>
        </w:rPr>
        <w:t>支持移动终端报修，接入企业微信号办理各项业务。</w:t>
      </w:r>
    </w:p>
    <w:p>
      <w:pPr>
        <w:spacing w:line="360" w:lineRule="auto"/>
        <w:rPr>
          <w:rFonts w:ascii="宋体" w:hAnsi="宋体"/>
          <w:color w:val="auto"/>
          <w:sz w:val="28"/>
          <w:szCs w:val="28"/>
          <w:highlight w:val="none"/>
        </w:rPr>
      </w:pPr>
      <w:bookmarkStart w:id="13" w:name="_Toc39044339"/>
      <w:r>
        <w:rPr>
          <w:rFonts w:hint="eastAsia" w:ascii="宋体" w:hAnsi="宋体"/>
          <w:color w:val="auto"/>
          <w:sz w:val="28"/>
          <w:szCs w:val="28"/>
          <w:highlight w:val="none"/>
        </w:rPr>
        <w:t>1.2后台管理功能</w:t>
      </w:r>
      <w:bookmarkEnd w:id="13"/>
    </w:p>
    <w:p>
      <w:pPr>
        <w:numPr>
          <w:ilvl w:val="0"/>
          <w:numId w:val="3"/>
        </w:numPr>
        <w:spacing w:line="360" w:lineRule="auto"/>
        <w:ind w:left="0" w:firstLine="560" w:firstLineChars="200"/>
        <w:rPr>
          <w:rFonts w:ascii="宋体" w:hAnsi="宋体"/>
          <w:color w:val="auto"/>
          <w:sz w:val="28"/>
          <w:szCs w:val="28"/>
          <w:highlight w:val="none"/>
        </w:rPr>
      </w:pPr>
      <w:r>
        <w:rPr>
          <w:rFonts w:hint="eastAsia"/>
          <w:color w:val="auto"/>
          <w:sz w:val="28"/>
          <w:szCs w:val="28"/>
          <w:highlight w:val="none"/>
        </w:rPr>
        <w:t>▲</w:t>
      </w:r>
      <w:r>
        <w:rPr>
          <w:rFonts w:hint="eastAsia" w:ascii="宋体" w:hAnsi="宋体"/>
          <w:color w:val="auto"/>
          <w:sz w:val="28"/>
          <w:szCs w:val="28"/>
          <w:highlight w:val="none"/>
        </w:rPr>
        <w:t>录单：客服人员接到报修电话后可录入系统，录入信息包括报修人、联系方式、故障区域、故障地址、维修项目、故障描述、是否允许无人维修、预约维修时间等；</w:t>
      </w:r>
    </w:p>
    <w:p>
      <w:pPr>
        <w:numPr>
          <w:ilvl w:val="0"/>
          <w:numId w:val="3"/>
        </w:numPr>
        <w:spacing w:line="360" w:lineRule="auto"/>
        <w:ind w:left="0" w:firstLine="560" w:firstLineChars="200"/>
        <w:rPr>
          <w:rFonts w:ascii="宋体" w:hAnsi="宋体"/>
          <w:color w:val="auto"/>
          <w:sz w:val="28"/>
          <w:szCs w:val="28"/>
          <w:highlight w:val="none"/>
        </w:rPr>
      </w:pPr>
      <w:r>
        <w:rPr>
          <w:rFonts w:hint="eastAsia" w:ascii="宋体" w:hAnsi="宋体"/>
          <w:color w:val="auto"/>
          <w:sz w:val="28"/>
          <w:szCs w:val="28"/>
          <w:highlight w:val="none"/>
        </w:rPr>
        <w:t>审核：可在系统设置中开关该功能，如打开后则所有报修需审核后下派给受理单位；</w:t>
      </w:r>
    </w:p>
    <w:p>
      <w:pPr>
        <w:numPr>
          <w:ilvl w:val="0"/>
          <w:numId w:val="3"/>
        </w:numPr>
        <w:spacing w:line="360" w:lineRule="auto"/>
        <w:ind w:left="0" w:firstLine="560" w:firstLineChars="200"/>
        <w:rPr>
          <w:rFonts w:ascii="宋体" w:hAnsi="宋体"/>
          <w:color w:val="auto"/>
          <w:sz w:val="28"/>
          <w:szCs w:val="28"/>
          <w:highlight w:val="none"/>
        </w:rPr>
      </w:pPr>
      <w:r>
        <w:rPr>
          <w:rFonts w:hint="eastAsia"/>
          <w:color w:val="auto"/>
          <w:sz w:val="28"/>
          <w:szCs w:val="28"/>
          <w:highlight w:val="none"/>
        </w:rPr>
        <w:t>▲</w:t>
      </w:r>
      <w:r>
        <w:rPr>
          <w:rFonts w:hint="eastAsia" w:ascii="宋体" w:hAnsi="宋体"/>
          <w:color w:val="auto"/>
          <w:sz w:val="28"/>
          <w:szCs w:val="28"/>
          <w:highlight w:val="none"/>
        </w:rPr>
        <w:t>受理：受理人收到报修信息后进行维修受理，受理操作包括响应、派工、转单、暂停、不公开、删除、打印、大维修等；</w:t>
      </w:r>
    </w:p>
    <w:p>
      <w:pPr>
        <w:numPr>
          <w:ilvl w:val="0"/>
          <w:numId w:val="3"/>
        </w:numPr>
        <w:spacing w:line="360" w:lineRule="auto"/>
        <w:ind w:left="0" w:firstLine="560" w:firstLineChars="200"/>
        <w:rPr>
          <w:rFonts w:ascii="宋体" w:hAnsi="宋体"/>
          <w:color w:val="auto"/>
          <w:sz w:val="28"/>
          <w:szCs w:val="28"/>
          <w:highlight w:val="none"/>
        </w:rPr>
      </w:pPr>
      <w:r>
        <w:rPr>
          <w:rFonts w:hint="eastAsia" w:ascii="宋体" w:hAnsi="宋体"/>
          <w:color w:val="auto"/>
          <w:sz w:val="28"/>
          <w:szCs w:val="28"/>
          <w:highlight w:val="none"/>
        </w:rPr>
        <w:t>完工：对已经维修完成的报修进行完工操作，需要填写维修工、维修工时、维修材料（从材料库出库自动导入）、维修效果说明、完工前后照片对比等；</w:t>
      </w:r>
    </w:p>
    <w:p>
      <w:pPr>
        <w:numPr>
          <w:ilvl w:val="0"/>
          <w:numId w:val="3"/>
        </w:numPr>
        <w:spacing w:line="360" w:lineRule="auto"/>
        <w:ind w:left="0" w:firstLine="560" w:firstLineChars="200"/>
        <w:rPr>
          <w:rFonts w:ascii="宋体" w:hAnsi="宋体"/>
          <w:color w:val="auto"/>
          <w:sz w:val="28"/>
          <w:szCs w:val="28"/>
          <w:highlight w:val="none"/>
        </w:rPr>
      </w:pPr>
      <w:r>
        <w:rPr>
          <w:rFonts w:hint="eastAsia" w:ascii="宋体" w:hAnsi="宋体"/>
          <w:color w:val="auto"/>
          <w:sz w:val="28"/>
          <w:szCs w:val="28"/>
          <w:highlight w:val="none"/>
        </w:rPr>
        <w:t>回访：对已完工回修进行回复，根据回访情况录入评价信息，支持返修操作；</w:t>
      </w:r>
    </w:p>
    <w:p>
      <w:pPr>
        <w:numPr>
          <w:ilvl w:val="0"/>
          <w:numId w:val="3"/>
        </w:numPr>
        <w:spacing w:line="360" w:lineRule="auto"/>
        <w:ind w:left="0" w:firstLine="560" w:firstLineChars="200"/>
        <w:rPr>
          <w:rFonts w:ascii="宋体" w:hAnsi="宋体"/>
          <w:color w:val="auto"/>
          <w:sz w:val="28"/>
          <w:szCs w:val="28"/>
          <w:highlight w:val="none"/>
        </w:rPr>
      </w:pPr>
      <w:r>
        <w:rPr>
          <w:rFonts w:hint="eastAsia" w:ascii="宋体" w:hAnsi="宋体"/>
          <w:color w:val="auto"/>
          <w:sz w:val="28"/>
          <w:szCs w:val="28"/>
          <w:highlight w:val="none"/>
        </w:rPr>
        <w:t>大维修：对超过一定金额的维修进行大维修审批流程；</w:t>
      </w:r>
    </w:p>
    <w:p>
      <w:pPr>
        <w:numPr>
          <w:ilvl w:val="0"/>
          <w:numId w:val="3"/>
        </w:numPr>
        <w:spacing w:line="360" w:lineRule="auto"/>
        <w:ind w:left="0" w:firstLine="560" w:firstLineChars="200"/>
        <w:rPr>
          <w:rFonts w:ascii="宋体" w:hAnsi="宋体"/>
          <w:color w:val="auto"/>
          <w:sz w:val="28"/>
          <w:szCs w:val="28"/>
          <w:highlight w:val="none"/>
        </w:rPr>
      </w:pPr>
      <w:r>
        <w:rPr>
          <w:rFonts w:hint="eastAsia"/>
          <w:color w:val="auto"/>
          <w:sz w:val="28"/>
          <w:szCs w:val="28"/>
          <w:highlight w:val="none"/>
        </w:rPr>
        <w:t>▲</w:t>
      </w:r>
      <w:r>
        <w:rPr>
          <w:rFonts w:hint="eastAsia" w:ascii="宋体" w:hAnsi="宋体"/>
          <w:color w:val="auto"/>
          <w:sz w:val="28"/>
          <w:szCs w:val="28"/>
          <w:highlight w:val="none"/>
        </w:rPr>
        <w:t>大数据：对维修信息进行大数据分析，提供数据分析（时间分析、项目分析、报修来源分析、报修类型分析、完工分析、评价分析、有偿无偿分析、区域分析）、数据统计（单位工作量统计、维修项目统计、单位报修量统计、个人工作量统计、个人返修量）、数据排名（单位效率排名、个人效率排名、单位满意度排名、个人满意度排名）。</w:t>
      </w:r>
    </w:p>
    <w:p>
      <w:pPr>
        <w:numPr>
          <w:ilvl w:val="0"/>
          <w:numId w:val="3"/>
        </w:numPr>
        <w:spacing w:line="360" w:lineRule="auto"/>
        <w:ind w:left="0" w:firstLine="560" w:firstLineChars="200"/>
        <w:rPr>
          <w:rFonts w:ascii="宋体" w:hAnsi="宋体"/>
          <w:color w:val="auto"/>
          <w:sz w:val="28"/>
          <w:szCs w:val="28"/>
          <w:highlight w:val="none"/>
        </w:rPr>
      </w:pPr>
      <w:r>
        <w:rPr>
          <w:rFonts w:hint="eastAsia" w:ascii="宋体" w:hAnsi="宋体"/>
          <w:color w:val="auto"/>
          <w:sz w:val="28"/>
          <w:szCs w:val="28"/>
          <w:highlight w:val="none"/>
        </w:rPr>
        <w:t>系统设置：包括项目设置（维修项目、维修区域、收费类型、项目配置）、系统设置（系统参数、消息提醒、提醒设置、标签设置、驳回原因）、其他设置（维修工时、服务指南、签单单位、已签单据），可</w:t>
      </w:r>
      <w:r>
        <w:rPr>
          <w:rFonts w:ascii="宋体" w:hAnsi="宋体"/>
          <w:color w:val="auto"/>
          <w:sz w:val="28"/>
          <w:szCs w:val="28"/>
          <w:highlight w:val="none"/>
        </w:rPr>
        <w:t>设置指定楼宇指定类型的维修承建单位</w:t>
      </w:r>
      <w:r>
        <w:rPr>
          <w:rFonts w:hint="eastAsia" w:ascii="宋体" w:hAnsi="宋体"/>
          <w:color w:val="auto"/>
          <w:sz w:val="28"/>
          <w:szCs w:val="28"/>
          <w:highlight w:val="none"/>
        </w:rPr>
        <w:t>。</w:t>
      </w:r>
    </w:p>
    <w:p>
      <w:pPr>
        <w:numPr>
          <w:ilvl w:val="0"/>
          <w:numId w:val="3"/>
        </w:numPr>
        <w:spacing w:line="360" w:lineRule="auto"/>
        <w:ind w:left="0" w:firstLine="560" w:firstLineChars="200"/>
        <w:rPr>
          <w:rFonts w:ascii="宋体" w:hAnsi="宋体"/>
          <w:bCs/>
          <w:color w:val="auto"/>
          <w:sz w:val="28"/>
          <w:szCs w:val="28"/>
          <w:highlight w:val="none"/>
        </w:rPr>
      </w:pPr>
      <w:r>
        <w:rPr>
          <w:rFonts w:hint="eastAsia"/>
          <w:color w:val="auto"/>
          <w:sz w:val="28"/>
          <w:szCs w:val="28"/>
          <w:highlight w:val="none"/>
        </w:rPr>
        <w:t>▲</w:t>
      </w:r>
      <w:r>
        <w:rPr>
          <w:rFonts w:hint="eastAsia" w:ascii="宋体" w:hAnsi="宋体"/>
          <w:bCs/>
          <w:color w:val="auto"/>
          <w:kern w:val="0"/>
          <w:sz w:val="28"/>
          <w:szCs w:val="28"/>
          <w:highlight w:val="none"/>
        </w:rPr>
        <w:t>重复报修: 平台能够实现自动预警提示管理员操作，同一维修地点同一项目15天内出现再次维修，系统自动预警提示管理员操作。</w:t>
      </w:r>
    </w:p>
    <w:p>
      <w:pPr>
        <w:numPr>
          <w:ilvl w:val="0"/>
          <w:numId w:val="3"/>
        </w:numPr>
        <w:spacing w:line="360" w:lineRule="auto"/>
        <w:ind w:left="0" w:firstLine="560" w:firstLineChars="200"/>
        <w:rPr>
          <w:rFonts w:ascii="宋体" w:hAnsi="宋体"/>
          <w:bCs/>
          <w:color w:val="auto"/>
          <w:sz w:val="28"/>
          <w:szCs w:val="28"/>
          <w:highlight w:val="none"/>
        </w:rPr>
      </w:pPr>
      <w:r>
        <w:rPr>
          <w:rFonts w:hint="eastAsia" w:ascii="宋体" w:hAnsi="宋体"/>
          <w:bCs/>
          <w:color w:val="auto"/>
          <w:kern w:val="0"/>
          <w:sz w:val="28"/>
          <w:szCs w:val="28"/>
          <w:highlight w:val="none"/>
        </w:rPr>
        <w:t>自动派发:系统能</w:t>
      </w:r>
      <w:r>
        <w:rPr>
          <w:rFonts w:ascii="宋体" w:hAnsi="宋体"/>
          <w:bCs/>
          <w:color w:val="auto"/>
          <w:kern w:val="0"/>
          <w:sz w:val="28"/>
          <w:szCs w:val="28"/>
          <w:highlight w:val="none"/>
        </w:rPr>
        <w:t>智能识别关键字，自动向相应工种</w:t>
      </w:r>
      <w:r>
        <w:rPr>
          <w:rFonts w:hint="eastAsia" w:ascii="宋体" w:hAnsi="宋体"/>
          <w:bCs/>
          <w:color w:val="auto"/>
          <w:kern w:val="0"/>
          <w:sz w:val="28"/>
          <w:szCs w:val="28"/>
          <w:highlight w:val="none"/>
        </w:rPr>
        <w:t>派单。</w:t>
      </w:r>
      <w:r>
        <w:rPr>
          <w:rFonts w:ascii="宋体" w:hAnsi="宋体"/>
          <w:bCs/>
          <w:color w:val="auto"/>
          <w:kern w:val="0"/>
          <w:sz w:val="28"/>
          <w:szCs w:val="28"/>
          <w:highlight w:val="none"/>
        </w:rPr>
        <w:t>（</w:t>
      </w:r>
      <w:r>
        <w:rPr>
          <w:rFonts w:hint="eastAsia" w:ascii="宋体" w:hAnsi="宋体"/>
          <w:bCs/>
          <w:color w:val="auto"/>
          <w:kern w:val="0"/>
          <w:sz w:val="28"/>
          <w:szCs w:val="28"/>
          <w:highlight w:val="none"/>
        </w:rPr>
        <w:t>该功能可</w:t>
      </w:r>
      <w:r>
        <w:rPr>
          <w:rFonts w:ascii="宋体" w:hAnsi="宋体"/>
          <w:bCs/>
          <w:color w:val="auto"/>
          <w:kern w:val="0"/>
          <w:sz w:val="28"/>
          <w:szCs w:val="28"/>
          <w:highlight w:val="none"/>
        </w:rPr>
        <w:t>人工</w:t>
      </w:r>
      <w:r>
        <w:rPr>
          <w:rFonts w:hint="eastAsia" w:ascii="宋体" w:hAnsi="宋体"/>
          <w:bCs/>
          <w:color w:val="auto"/>
          <w:kern w:val="0"/>
          <w:sz w:val="28"/>
          <w:szCs w:val="28"/>
          <w:highlight w:val="none"/>
        </w:rPr>
        <w:t>设置，自动</w:t>
      </w:r>
      <w:r>
        <w:rPr>
          <w:rFonts w:ascii="宋体" w:hAnsi="宋体"/>
          <w:bCs/>
          <w:color w:val="auto"/>
          <w:kern w:val="0"/>
          <w:sz w:val="28"/>
          <w:szCs w:val="28"/>
          <w:highlight w:val="none"/>
        </w:rPr>
        <w:t>派单</w:t>
      </w:r>
      <w:r>
        <w:rPr>
          <w:rFonts w:hint="eastAsia" w:ascii="宋体" w:hAnsi="宋体"/>
          <w:bCs/>
          <w:color w:val="auto"/>
          <w:kern w:val="0"/>
          <w:sz w:val="28"/>
          <w:szCs w:val="28"/>
          <w:highlight w:val="none"/>
        </w:rPr>
        <w:t>和</w:t>
      </w:r>
      <w:r>
        <w:rPr>
          <w:rFonts w:ascii="宋体" w:hAnsi="宋体"/>
          <w:bCs/>
          <w:color w:val="auto"/>
          <w:kern w:val="0"/>
          <w:sz w:val="28"/>
          <w:szCs w:val="28"/>
          <w:highlight w:val="none"/>
        </w:rPr>
        <w:t>人工派单相结合</w:t>
      </w:r>
      <w:r>
        <w:rPr>
          <w:rFonts w:hint="eastAsia" w:ascii="宋体" w:hAnsi="宋体"/>
          <w:bCs/>
          <w:color w:val="auto"/>
          <w:kern w:val="0"/>
          <w:sz w:val="28"/>
          <w:szCs w:val="28"/>
          <w:highlight w:val="none"/>
        </w:rPr>
        <w:t>）</w:t>
      </w:r>
    </w:p>
    <w:p>
      <w:pPr>
        <w:numPr>
          <w:ilvl w:val="0"/>
          <w:numId w:val="3"/>
        </w:numPr>
        <w:spacing w:line="360" w:lineRule="auto"/>
        <w:ind w:left="0" w:firstLine="560" w:firstLineChars="200"/>
        <w:rPr>
          <w:rFonts w:ascii="宋体" w:hAnsi="宋体"/>
          <w:bCs/>
          <w:color w:val="auto"/>
          <w:sz w:val="28"/>
          <w:szCs w:val="28"/>
          <w:highlight w:val="none"/>
        </w:rPr>
      </w:pPr>
      <w:r>
        <w:rPr>
          <w:rFonts w:hint="eastAsia" w:ascii="宋体" w:hAnsi="宋体"/>
          <w:bCs/>
          <w:color w:val="auto"/>
          <w:kern w:val="0"/>
          <w:sz w:val="28"/>
          <w:szCs w:val="28"/>
          <w:highlight w:val="none"/>
        </w:rPr>
        <w:t>工时计算: 工时计算按照江苏省修缮定额标准自动核算</w:t>
      </w:r>
    </w:p>
    <w:p>
      <w:pPr>
        <w:spacing w:line="360" w:lineRule="auto"/>
        <w:rPr>
          <w:rFonts w:ascii="宋体" w:hAnsi="宋体"/>
          <w:color w:val="auto"/>
          <w:sz w:val="28"/>
          <w:szCs w:val="28"/>
          <w:highlight w:val="none"/>
        </w:rPr>
      </w:pPr>
      <w:bookmarkStart w:id="14" w:name="_Toc39044340"/>
      <w:r>
        <w:rPr>
          <w:rFonts w:hint="eastAsia" w:ascii="宋体" w:hAnsi="宋体"/>
          <w:color w:val="auto"/>
          <w:sz w:val="28"/>
          <w:szCs w:val="28"/>
          <w:highlight w:val="none"/>
        </w:rPr>
        <w:t>1.3普通用户</w:t>
      </w:r>
      <w:bookmarkEnd w:id="14"/>
    </w:p>
    <w:p>
      <w:pPr>
        <w:ind w:firstLine="480"/>
        <w:rPr>
          <w:rFonts w:ascii="宋体" w:hAnsi="宋体" w:cs="宋体"/>
          <w:color w:val="auto"/>
          <w:sz w:val="28"/>
          <w:szCs w:val="28"/>
          <w:highlight w:val="none"/>
        </w:rPr>
      </w:pPr>
      <w:r>
        <w:rPr>
          <w:rFonts w:hint="eastAsia" w:ascii="宋体" w:hAnsi="宋体" w:cs="宋体"/>
          <w:color w:val="auto"/>
          <w:sz w:val="28"/>
          <w:szCs w:val="28"/>
          <w:highlight w:val="none"/>
        </w:rPr>
        <w:t>师生可通过电话、PC、微信等进行报修，支持照片上传，所有报修统一进入系统调度维修。</w:t>
      </w:r>
    </w:p>
    <w:p>
      <w:pPr>
        <w:spacing w:line="360" w:lineRule="auto"/>
        <w:rPr>
          <w:rFonts w:ascii="宋体" w:hAnsi="宋体"/>
          <w:color w:val="auto"/>
          <w:sz w:val="28"/>
          <w:szCs w:val="28"/>
          <w:highlight w:val="none"/>
        </w:rPr>
      </w:pPr>
      <w:bookmarkStart w:id="15" w:name="_Toc39044341"/>
      <w:r>
        <w:rPr>
          <w:rFonts w:hint="eastAsia" w:ascii="宋体" w:hAnsi="宋体"/>
          <w:color w:val="auto"/>
          <w:sz w:val="28"/>
          <w:szCs w:val="28"/>
          <w:highlight w:val="none"/>
        </w:rPr>
        <w:t>1.4管理人员</w:t>
      </w:r>
      <w:bookmarkEnd w:id="15"/>
    </w:p>
    <w:p>
      <w:pPr>
        <w:numPr>
          <w:ilvl w:val="0"/>
          <w:numId w:val="4"/>
        </w:numPr>
        <w:spacing w:line="360" w:lineRule="auto"/>
        <w:ind w:left="0" w:firstLine="0"/>
        <w:rPr>
          <w:rFonts w:ascii="宋体" w:hAnsi="宋体" w:cs="宋体"/>
          <w:color w:val="auto"/>
          <w:sz w:val="28"/>
          <w:szCs w:val="28"/>
          <w:highlight w:val="none"/>
        </w:rPr>
      </w:pPr>
      <w:r>
        <w:rPr>
          <w:rFonts w:hint="eastAsia" w:ascii="宋体" w:hAnsi="宋体" w:cs="宋体"/>
          <w:color w:val="auto"/>
          <w:sz w:val="28"/>
          <w:szCs w:val="28"/>
          <w:highlight w:val="none"/>
        </w:rPr>
        <w:t>维修受理</w:t>
      </w:r>
    </w:p>
    <w:p>
      <w:pPr>
        <w:ind w:firstLine="454"/>
        <w:rPr>
          <w:rFonts w:ascii="宋体" w:hAns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支持系统自动调度；</w:t>
      </w:r>
    </w:p>
    <w:p>
      <w:pPr>
        <w:ind w:firstLine="454"/>
        <w:rPr>
          <w:rFonts w:ascii="宋体" w:hAns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支持人工调度；</w:t>
      </w:r>
    </w:p>
    <w:p>
      <w:pPr>
        <w:ind w:firstLine="454"/>
        <w:rPr>
          <w:rFonts w:ascii="宋体" w:hAns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支持转单；</w:t>
      </w:r>
    </w:p>
    <w:p>
      <w:pPr>
        <w:ind w:firstLine="454"/>
        <w:rPr>
          <w:rFonts w:ascii="宋体" w:hAns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支持驳回；</w:t>
      </w:r>
    </w:p>
    <w:p>
      <w:pPr>
        <w:ind w:firstLine="454"/>
        <w:rPr>
          <w:rFonts w:ascii="宋体" w:hAns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5)</w:t>
      </w:r>
      <w:r>
        <w:rPr>
          <w:rFonts w:hint="eastAsia" w:ascii="宋体" w:hAnsi="宋体" w:cs="宋体"/>
          <w:color w:val="auto"/>
          <w:sz w:val="28"/>
          <w:szCs w:val="28"/>
          <w:highlight w:val="none"/>
        </w:rPr>
        <w:t>支持由于原料不足等原因暂定维修；</w:t>
      </w:r>
    </w:p>
    <w:p>
      <w:pPr>
        <w:ind w:firstLine="454"/>
        <w:rPr>
          <w:rFonts w:ascii="宋体" w:hAns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支持维修单据打印；</w:t>
      </w:r>
    </w:p>
    <w:p>
      <w:pPr>
        <w:ind w:firstLine="454"/>
        <w:rPr>
          <w:rFonts w:ascii="宋体" w:hAns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7)</w:t>
      </w:r>
      <w:r>
        <w:rPr>
          <w:rFonts w:hint="eastAsia" w:ascii="宋体" w:hAnsi="宋体" w:cs="宋体"/>
          <w:color w:val="auto"/>
          <w:sz w:val="28"/>
          <w:szCs w:val="28"/>
          <w:highlight w:val="none"/>
        </w:rPr>
        <w:t>支持手机端（企业微信端）进行维修受理；</w:t>
      </w:r>
    </w:p>
    <w:p>
      <w:pPr>
        <w:ind w:firstLine="454"/>
        <w:rPr>
          <w:rFonts w:ascii="宋体" w:hAnsi="宋体" w:cs="宋体"/>
          <w:color w:val="auto"/>
          <w:sz w:val="28"/>
          <w:szCs w:val="28"/>
          <w:highlight w:val="none"/>
        </w:rPr>
      </w:pPr>
      <w:r>
        <w:rPr>
          <w:rFonts w:ascii="宋体" w:hAnsi="宋体" w:cs="宋体"/>
          <w:color w:val="auto"/>
          <w:sz w:val="28"/>
          <w:szCs w:val="28"/>
          <w:highlight w:val="none"/>
        </w:rPr>
        <w:t>(8)</w:t>
      </w:r>
      <w:r>
        <w:rPr>
          <w:rFonts w:hint="eastAsia" w:ascii="宋体" w:hAnsi="宋体" w:cs="宋体"/>
          <w:color w:val="auto"/>
          <w:sz w:val="28"/>
          <w:szCs w:val="28"/>
          <w:highlight w:val="none"/>
        </w:rPr>
        <w:t>维修受理后系统发送提醒信息给维修工及报修人；</w:t>
      </w:r>
    </w:p>
    <w:p>
      <w:pPr>
        <w:numPr>
          <w:ilvl w:val="0"/>
          <w:numId w:val="4"/>
        </w:numPr>
        <w:spacing w:line="360" w:lineRule="auto"/>
        <w:ind w:left="0" w:firstLine="0"/>
        <w:rPr>
          <w:rFonts w:ascii="宋体" w:hAnsi="宋体" w:cs="宋体"/>
          <w:color w:val="auto"/>
          <w:sz w:val="28"/>
          <w:szCs w:val="28"/>
          <w:highlight w:val="none"/>
        </w:rPr>
      </w:pPr>
      <w:r>
        <w:rPr>
          <w:rFonts w:hint="eastAsia" w:ascii="宋体" w:hAnsi="宋体" w:cs="宋体"/>
          <w:color w:val="auto"/>
          <w:sz w:val="28"/>
          <w:szCs w:val="28"/>
          <w:highlight w:val="none"/>
        </w:rPr>
        <w:t>维修完工</w:t>
      </w:r>
    </w:p>
    <w:p>
      <w:pPr>
        <w:ind w:left="420"/>
        <w:rPr>
          <w:rFonts w:ascii="宋体" w:hAns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根据维修情况录入维修材料、维修工时、完工前照片、完工后照片等信息；</w:t>
      </w:r>
    </w:p>
    <w:p>
      <w:pPr>
        <w:ind w:left="420"/>
        <w:rPr>
          <w:rFonts w:ascii="宋体" w:hAnsi="宋体" w:cs="宋体"/>
          <w:color w:val="auto"/>
          <w:sz w:val="28"/>
          <w:szCs w:val="28"/>
          <w:highlight w:val="none"/>
        </w:rPr>
      </w:pPr>
      <w:r>
        <w:rPr>
          <w:rFonts w:ascii="宋体" w:hAnsi="宋体" w:cs="宋体"/>
          <w:color w:val="auto"/>
          <w:sz w:val="28"/>
          <w:szCs w:val="28"/>
          <w:highlight w:val="none"/>
        </w:rPr>
        <w:t>(2)</w:t>
      </w:r>
      <w:r>
        <w:rPr>
          <w:rFonts w:hint="eastAsia"/>
          <w:color w:val="auto"/>
          <w:sz w:val="28"/>
          <w:szCs w:val="28"/>
          <w:highlight w:val="none"/>
        </w:rPr>
        <w:t>▲</w:t>
      </w:r>
      <w:r>
        <w:rPr>
          <w:rFonts w:hint="eastAsia" w:ascii="宋体" w:hAnsi="宋体" w:cs="宋体"/>
          <w:color w:val="auto"/>
          <w:sz w:val="28"/>
          <w:szCs w:val="28"/>
          <w:highlight w:val="none"/>
        </w:rPr>
        <w:t>支持手机移动端完工；</w:t>
      </w:r>
    </w:p>
    <w:p>
      <w:pPr>
        <w:ind w:left="420"/>
        <w:rPr>
          <w:rFonts w:ascii="宋体" w:hAns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维修完成后系统发送提醒信息给报修人，报修人可登陆系统进行评价。</w:t>
      </w:r>
    </w:p>
    <w:p>
      <w:pPr>
        <w:numPr>
          <w:ilvl w:val="0"/>
          <w:numId w:val="4"/>
        </w:numPr>
        <w:spacing w:line="360" w:lineRule="auto"/>
        <w:ind w:left="0" w:firstLine="0"/>
        <w:rPr>
          <w:rFonts w:ascii="宋体" w:hAnsi="宋体" w:cs="宋体"/>
          <w:color w:val="auto"/>
          <w:sz w:val="28"/>
          <w:szCs w:val="28"/>
          <w:highlight w:val="none"/>
        </w:rPr>
      </w:pPr>
      <w:r>
        <w:rPr>
          <w:rFonts w:hint="eastAsia" w:ascii="宋体" w:hAnsi="宋体" w:cs="宋体"/>
          <w:color w:val="auto"/>
          <w:sz w:val="28"/>
          <w:szCs w:val="28"/>
          <w:highlight w:val="none"/>
        </w:rPr>
        <w:t>回访管理</w:t>
      </w:r>
    </w:p>
    <w:p>
      <w:pPr>
        <w:ind w:firstLine="480"/>
        <w:rPr>
          <w:rFonts w:ascii="宋体" w:hAnsi="宋体" w:cs="宋体"/>
          <w:color w:val="auto"/>
          <w:sz w:val="28"/>
          <w:szCs w:val="28"/>
          <w:highlight w:val="none"/>
        </w:rPr>
      </w:pPr>
      <w:r>
        <w:rPr>
          <w:rFonts w:hint="eastAsia" w:ascii="宋体" w:hAnsi="宋体" w:cs="宋体"/>
          <w:color w:val="auto"/>
          <w:sz w:val="28"/>
          <w:szCs w:val="28"/>
          <w:highlight w:val="none"/>
        </w:rPr>
        <w:t>客服人员根据维修情况进行电话回访，录入回访情况。</w:t>
      </w:r>
    </w:p>
    <w:p>
      <w:pPr>
        <w:spacing w:line="360" w:lineRule="auto"/>
        <w:rPr>
          <w:rFonts w:ascii="宋体" w:hAnsi="宋体"/>
          <w:color w:val="auto"/>
          <w:sz w:val="28"/>
          <w:szCs w:val="28"/>
          <w:highlight w:val="none"/>
        </w:rPr>
      </w:pPr>
      <w:bookmarkStart w:id="16" w:name="_Toc39044342"/>
      <w:r>
        <w:rPr>
          <w:rFonts w:hint="eastAsia" w:ascii="宋体" w:hAnsi="宋体"/>
          <w:color w:val="auto"/>
          <w:sz w:val="28"/>
          <w:szCs w:val="28"/>
          <w:highlight w:val="none"/>
        </w:rPr>
        <w:t>1.5微信端功能</w:t>
      </w:r>
      <w:bookmarkEnd w:id="16"/>
    </w:p>
    <w:p>
      <w:pPr>
        <w:ind w:firstLine="480"/>
        <w:rPr>
          <w:color w:val="auto"/>
          <w:sz w:val="28"/>
          <w:szCs w:val="28"/>
          <w:highlight w:val="none"/>
        </w:rPr>
      </w:pPr>
      <w:r>
        <w:rPr>
          <w:rFonts w:hint="eastAsia"/>
          <w:color w:val="auto"/>
          <w:sz w:val="28"/>
          <w:szCs w:val="28"/>
          <w:highlight w:val="none"/>
        </w:rPr>
        <w:t>可接入到学校企业微信，实现如下功能：</w:t>
      </w:r>
    </w:p>
    <w:p>
      <w:pPr>
        <w:numPr>
          <w:ilvl w:val="0"/>
          <w:numId w:val="5"/>
        </w:num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微信报修，包括填写报修人电话、选择区域地址、维修项目、描述故障照片、拍照，进行维修申报；</w:t>
      </w:r>
    </w:p>
    <w:p>
      <w:pPr>
        <w:numPr>
          <w:ilvl w:val="0"/>
          <w:numId w:val="5"/>
        </w:num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微信受理报修，可以查看报修信息，并进行响应、派工、转单、暂停、是否公开、删除、大修操作；</w:t>
      </w:r>
    </w:p>
    <w:p>
      <w:pPr>
        <w:numPr>
          <w:ilvl w:val="0"/>
          <w:numId w:val="5"/>
        </w:numPr>
        <w:spacing w:line="360" w:lineRule="auto"/>
        <w:rPr>
          <w:rFonts w:ascii="宋体" w:hAnsi="宋体" w:cs="宋体"/>
          <w:color w:val="auto"/>
          <w:sz w:val="28"/>
          <w:szCs w:val="28"/>
          <w:highlight w:val="none"/>
        </w:rPr>
      </w:pPr>
      <w:r>
        <w:rPr>
          <w:rFonts w:hint="eastAsia"/>
          <w:color w:val="auto"/>
          <w:sz w:val="28"/>
          <w:szCs w:val="28"/>
          <w:highlight w:val="none"/>
        </w:rPr>
        <w:t>▲</w:t>
      </w:r>
      <w:r>
        <w:rPr>
          <w:rFonts w:hint="eastAsia" w:ascii="宋体" w:hAnsi="宋体" w:cs="宋体"/>
          <w:color w:val="auto"/>
          <w:sz w:val="28"/>
          <w:szCs w:val="28"/>
          <w:highlight w:val="none"/>
        </w:rPr>
        <w:t>消息推送提醒：能在微信端将受理信息、维修进度、安排维修等进度情况推送给相关人员；</w:t>
      </w:r>
    </w:p>
    <w:p>
      <w:pPr>
        <w:numPr>
          <w:ilvl w:val="0"/>
          <w:numId w:val="5"/>
        </w:num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数据查看：在微信端实时查看报修、受理、完工、回访数据；</w:t>
      </w:r>
    </w:p>
    <w:p>
      <w:pPr>
        <w:numPr>
          <w:ilvl w:val="0"/>
          <w:numId w:val="5"/>
        </w:num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管理功能：进行审核、受理、签到、完工、回访、大维修操作；</w:t>
      </w:r>
    </w:p>
    <w:p>
      <w:pPr>
        <w:numPr>
          <w:ilvl w:val="0"/>
          <w:numId w:val="5"/>
        </w:num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系统分析：在微信端查看数据分析、维修排名、维修统计。</w:t>
      </w:r>
    </w:p>
    <w:p>
      <w:pPr>
        <w:spacing w:before="312" w:beforeLines="100" w:after="312" w:afterLines="100" w:line="360" w:lineRule="auto"/>
        <w:outlineLvl w:val="0"/>
        <w:rPr>
          <w:rFonts w:ascii="宋体" w:hAnsi="宋体" w:cs="仿宋"/>
          <w:b/>
          <w:bCs/>
          <w:color w:val="auto"/>
          <w:sz w:val="28"/>
          <w:szCs w:val="28"/>
          <w:highlight w:val="none"/>
        </w:rPr>
      </w:pPr>
      <w:bookmarkStart w:id="17" w:name="_Toc39044343"/>
      <w:r>
        <w:rPr>
          <w:rFonts w:hint="eastAsia" w:ascii="宋体" w:hAnsi="宋体" w:cs="仿宋"/>
          <w:b/>
          <w:bCs/>
          <w:color w:val="auto"/>
          <w:sz w:val="28"/>
          <w:szCs w:val="28"/>
          <w:highlight w:val="none"/>
        </w:rPr>
        <w:t>2.环境曝光平台</w:t>
      </w:r>
      <w:bookmarkEnd w:id="17"/>
    </w:p>
    <w:p>
      <w:pPr>
        <w:ind w:firstLine="480"/>
        <w:rPr>
          <w:color w:val="auto"/>
          <w:sz w:val="28"/>
          <w:szCs w:val="28"/>
          <w:highlight w:val="none"/>
        </w:rPr>
      </w:pPr>
      <w:r>
        <w:rPr>
          <w:rFonts w:hint="eastAsia"/>
          <w:color w:val="auto"/>
          <w:sz w:val="28"/>
          <w:szCs w:val="28"/>
          <w:highlight w:val="none"/>
        </w:rPr>
        <w:t>环境曝光平台依托于企业微信端。</w:t>
      </w:r>
    </w:p>
    <w:p>
      <w:pPr>
        <w:spacing w:line="360" w:lineRule="auto"/>
        <w:rPr>
          <w:rFonts w:ascii="宋体" w:hAnsi="宋体"/>
          <w:color w:val="auto"/>
          <w:sz w:val="28"/>
          <w:szCs w:val="28"/>
          <w:highlight w:val="none"/>
        </w:rPr>
      </w:pPr>
      <w:bookmarkStart w:id="18" w:name="_Toc39044344"/>
      <w:r>
        <w:rPr>
          <w:rFonts w:hint="eastAsia" w:ascii="宋体" w:hAnsi="宋体"/>
          <w:color w:val="auto"/>
          <w:sz w:val="28"/>
          <w:szCs w:val="28"/>
          <w:highlight w:val="none"/>
        </w:rPr>
        <w:t>2.1环境曝光平台发布</w:t>
      </w:r>
      <w:bookmarkEnd w:id="18"/>
    </w:p>
    <w:p>
      <w:pPr>
        <w:ind w:firstLine="480"/>
        <w:jc w:val="left"/>
        <w:rPr>
          <w:color w:val="auto"/>
          <w:sz w:val="28"/>
          <w:szCs w:val="28"/>
          <w:highlight w:val="none"/>
        </w:rPr>
      </w:pPr>
      <w:r>
        <w:rPr>
          <w:rFonts w:hint="eastAsia"/>
          <w:color w:val="auto"/>
          <w:sz w:val="28"/>
          <w:szCs w:val="28"/>
          <w:highlight w:val="none"/>
        </w:rPr>
        <w:t>师生可以在信大优学平台上针对校园的环境问题进行监督，通过企业微信登录，在校园中发现有相关的校园环境问题可以在平台上进行发布，通过选择区域，并进行拍照和描述之后，可以对存在校园环境问题进行发布。</w:t>
      </w:r>
    </w:p>
    <w:p>
      <w:pPr>
        <w:spacing w:line="360" w:lineRule="auto"/>
        <w:rPr>
          <w:rFonts w:ascii="宋体" w:hAnsi="宋体"/>
          <w:color w:val="auto"/>
          <w:sz w:val="28"/>
          <w:szCs w:val="28"/>
          <w:highlight w:val="none"/>
        </w:rPr>
      </w:pPr>
      <w:bookmarkStart w:id="19" w:name="_Toc39044345"/>
      <w:r>
        <w:rPr>
          <w:rFonts w:hint="eastAsia" w:ascii="宋体" w:hAnsi="宋体"/>
          <w:color w:val="auto"/>
          <w:sz w:val="28"/>
          <w:szCs w:val="28"/>
          <w:highlight w:val="none"/>
        </w:rPr>
        <w:t>2.2环境曝光审核</w:t>
      </w:r>
      <w:bookmarkEnd w:id="19"/>
    </w:p>
    <w:p>
      <w:pPr>
        <w:ind w:firstLine="480"/>
        <w:jc w:val="left"/>
        <w:rPr>
          <w:color w:val="auto"/>
          <w:sz w:val="28"/>
          <w:szCs w:val="28"/>
          <w:highlight w:val="none"/>
        </w:rPr>
      </w:pPr>
      <w:r>
        <w:rPr>
          <w:rFonts w:hint="eastAsia"/>
          <w:color w:val="auto"/>
          <w:sz w:val="28"/>
          <w:szCs w:val="28"/>
          <w:highlight w:val="none"/>
        </w:rPr>
        <w:t>环境曝光单子发布之后，相关授权人员收到需要审核的提醒消息，对单据进行分发，分发到对应的单位之后，单位受理人可以进行派工维修；</w:t>
      </w:r>
    </w:p>
    <w:p>
      <w:pPr>
        <w:ind w:firstLine="480"/>
        <w:jc w:val="left"/>
        <w:rPr>
          <w:color w:val="auto"/>
          <w:sz w:val="28"/>
          <w:szCs w:val="28"/>
          <w:highlight w:val="none"/>
        </w:rPr>
      </w:pPr>
      <w:r>
        <w:rPr>
          <w:rFonts w:hint="eastAsia"/>
          <w:color w:val="auto"/>
          <w:sz w:val="28"/>
          <w:szCs w:val="28"/>
          <w:highlight w:val="none"/>
        </w:rPr>
        <w:t>同时支持管理人员可以对已经完工的单据针对处理情况对单据进行公开，师生可以在曝光平台上看到相关信息。</w:t>
      </w:r>
    </w:p>
    <w:p>
      <w:pPr>
        <w:spacing w:line="360" w:lineRule="auto"/>
        <w:rPr>
          <w:rFonts w:ascii="宋体" w:hAnsi="宋体"/>
          <w:color w:val="auto"/>
          <w:sz w:val="28"/>
          <w:szCs w:val="28"/>
          <w:highlight w:val="none"/>
        </w:rPr>
      </w:pPr>
      <w:bookmarkStart w:id="20" w:name="_Toc39044346"/>
      <w:r>
        <w:rPr>
          <w:rFonts w:hint="eastAsia" w:ascii="宋体" w:hAnsi="宋体"/>
          <w:color w:val="auto"/>
          <w:sz w:val="28"/>
          <w:szCs w:val="28"/>
          <w:highlight w:val="none"/>
        </w:rPr>
        <w:t>2.3环境曝光单据完工</w:t>
      </w:r>
      <w:bookmarkEnd w:id="20"/>
    </w:p>
    <w:p>
      <w:pPr>
        <w:ind w:firstLine="480"/>
        <w:jc w:val="left"/>
        <w:rPr>
          <w:color w:val="auto"/>
          <w:sz w:val="28"/>
          <w:szCs w:val="28"/>
          <w:highlight w:val="none"/>
        </w:rPr>
      </w:pPr>
      <w:r>
        <w:rPr>
          <w:rFonts w:hint="eastAsia"/>
          <w:color w:val="auto"/>
          <w:sz w:val="28"/>
          <w:szCs w:val="28"/>
          <w:highlight w:val="none"/>
        </w:rPr>
        <w:t>已经审核的单据，可以对单据进行受理和完工操作。每个环节有相关的提醒功能，如果发现非本单位受理范围，可以对单据进行转单，转到对应的单位，转入单位收到提醒之后，可以在企业微信上进行受理派工到维修工，维修工进行完工。</w:t>
      </w:r>
    </w:p>
    <w:p>
      <w:pPr>
        <w:spacing w:line="360" w:lineRule="auto"/>
        <w:rPr>
          <w:rFonts w:ascii="宋体" w:hAnsi="宋体"/>
          <w:color w:val="auto"/>
          <w:sz w:val="28"/>
          <w:szCs w:val="28"/>
          <w:highlight w:val="none"/>
        </w:rPr>
      </w:pPr>
      <w:bookmarkStart w:id="21" w:name="_Toc39044347"/>
      <w:r>
        <w:rPr>
          <w:rFonts w:hint="eastAsia" w:ascii="宋体" w:hAnsi="宋体"/>
          <w:color w:val="auto"/>
          <w:sz w:val="28"/>
          <w:szCs w:val="28"/>
          <w:highlight w:val="none"/>
        </w:rPr>
        <w:t>2.4环境曝光查询统计</w:t>
      </w:r>
      <w:bookmarkEnd w:id="21"/>
    </w:p>
    <w:p>
      <w:pPr>
        <w:ind w:firstLine="480"/>
        <w:jc w:val="left"/>
        <w:rPr>
          <w:color w:val="auto"/>
          <w:sz w:val="28"/>
          <w:szCs w:val="28"/>
          <w:highlight w:val="none"/>
        </w:rPr>
      </w:pPr>
      <w:r>
        <w:rPr>
          <w:rFonts w:hint="eastAsia"/>
          <w:color w:val="auto"/>
          <w:sz w:val="28"/>
          <w:szCs w:val="28"/>
          <w:highlight w:val="none"/>
        </w:rPr>
        <w:t>增加环境曝光统计查询，管理人员可以在企业微信上看到当前未受理的单据数量，处理中的单据数量，已经解决的单据数量，同时可以根据不同的单位查询到，当前每个单位的完成情况，可以查看详情看到每个单据的处理情况。</w:t>
      </w:r>
    </w:p>
    <w:p>
      <w:pPr>
        <w:spacing w:before="312" w:beforeLines="100" w:after="312" w:afterLines="100" w:line="360" w:lineRule="auto"/>
        <w:outlineLvl w:val="0"/>
        <w:rPr>
          <w:rFonts w:ascii="宋体" w:hAnsi="宋体" w:cs="仿宋"/>
          <w:b/>
          <w:bCs/>
          <w:color w:val="auto"/>
          <w:sz w:val="28"/>
          <w:szCs w:val="28"/>
          <w:highlight w:val="none"/>
        </w:rPr>
      </w:pPr>
      <w:bookmarkStart w:id="22" w:name="_Toc39044348"/>
      <w:r>
        <w:rPr>
          <w:rFonts w:hint="eastAsia" w:ascii="宋体" w:hAnsi="宋体" w:cs="仿宋"/>
          <w:b/>
          <w:bCs/>
          <w:color w:val="auto"/>
          <w:sz w:val="28"/>
          <w:szCs w:val="28"/>
          <w:highlight w:val="none"/>
        </w:rPr>
        <w:t>3.人力资源管理系统</w:t>
      </w:r>
      <w:bookmarkEnd w:id="22"/>
    </w:p>
    <w:p>
      <w:pPr>
        <w:spacing w:line="360" w:lineRule="auto"/>
        <w:rPr>
          <w:rFonts w:ascii="宋体" w:hAnsi="宋体"/>
          <w:color w:val="auto"/>
          <w:sz w:val="28"/>
          <w:szCs w:val="28"/>
          <w:highlight w:val="none"/>
        </w:rPr>
      </w:pPr>
      <w:bookmarkStart w:id="23" w:name="_Toc39044349"/>
      <w:r>
        <w:rPr>
          <w:rFonts w:hint="eastAsia" w:ascii="宋体" w:hAnsi="宋体"/>
          <w:color w:val="auto"/>
          <w:sz w:val="28"/>
          <w:szCs w:val="28"/>
          <w:highlight w:val="none"/>
        </w:rPr>
        <w:t>3.1</w:t>
      </w:r>
      <w:r>
        <w:rPr>
          <w:rFonts w:hint="eastAsia"/>
          <w:color w:val="auto"/>
          <w:sz w:val="28"/>
          <w:szCs w:val="28"/>
          <w:highlight w:val="none"/>
        </w:rPr>
        <w:t>▲</w:t>
      </w:r>
      <w:r>
        <w:rPr>
          <w:rFonts w:hint="eastAsia" w:ascii="宋体" w:hAnsi="宋体"/>
          <w:color w:val="auto"/>
          <w:sz w:val="28"/>
          <w:szCs w:val="28"/>
          <w:highlight w:val="none"/>
        </w:rPr>
        <w:t>人事</w:t>
      </w:r>
      <w:bookmarkEnd w:id="23"/>
    </w:p>
    <w:p>
      <w:pPr>
        <w:ind w:firstLine="480"/>
        <w:rPr>
          <w:color w:val="auto"/>
          <w:sz w:val="28"/>
          <w:szCs w:val="28"/>
          <w:highlight w:val="none"/>
        </w:rPr>
      </w:pPr>
      <w:r>
        <w:rPr>
          <w:rFonts w:hint="eastAsia"/>
          <w:color w:val="auto"/>
          <w:sz w:val="28"/>
          <w:szCs w:val="28"/>
          <w:highlight w:val="none"/>
        </w:rPr>
        <w:t>对人事信息进行入职、转正、异动、奖惩、离职等人事信息档案管理，可自定义人事信息项目，并具有黑名单功能。支持人事信息入职、转正、异动、奖惩、离职等管理流程的审批流程自定义。提供人员基本信息、人事项目统计、入职查询统计、离职查询统计、人员流动分析、岗位人员配置表、人员健康信息等相关统计报表。</w:t>
      </w:r>
    </w:p>
    <w:p>
      <w:pPr>
        <w:spacing w:line="360" w:lineRule="auto"/>
        <w:rPr>
          <w:rFonts w:ascii="宋体" w:hAnsi="宋体"/>
          <w:color w:val="auto"/>
          <w:sz w:val="28"/>
          <w:szCs w:val="28"/>
          <w:highlight w:val="none"/>
        </w:rPr>
      </w:pPr>
      <w:bookmarkStart w:id="24" w:name="_Toc39044350"/>
      <w:r>
        <w:rPr>
          <w:rFonts w:hint="eastAsia" w:ascii="宋体" w:hAnsi="宋体"/>
          <w:color w:val="auto"/>
          <w:sz w:val="28"/>
          <w:szCs w:val="28"/>
          <w:highlight w:val="none"/>
        </w:rPr>
        <w:t>3.2招聘</w:t>
      </w:r>
      <w:bookmarkEnd w:id="24"/>
    </w:p>
    <w:p>
      <w:pPr>
        <w:ind w:firstLine="480"/>
        <w:rPr>
          <w:color w:val="auto"/>
          <w:sz w:val="28"/>
          <w:szCs w:val="28"/>
          <w:highlight w:val="none"/>
        </w:rPr>
      </w:pPr>
      <w:r>
        <w:rPr>
          <w:rFonts w:hint="eastAsia"/>
          <w:color w:val="auto"/>
          <w:sz w:val="28"/>
          <w:szCs w:val="28"/>
          <w:highlight w:val="none"/>
        </w:rPr>
        <w:t>实现招聘计划的上报、审批、招聘管理、简历筛选、面试登记、审核录用全流程的管理。可对建立模板进行维护，提供人才信息库、招聘统计查询等。</w:t>
      </w:r>
    </w:p>
    <w:p>
      <w:pPr>
        <w:spacing w:line="360" w:lineRule="auto"/>
        <w:rPr>
          <w:rFonts w:ascii="宋体" w:hAnsi="宋体"/>
          <w:color w:val="auto"/>
          <w:sz w:val="28"/>
          <w:szCs w:val="28"/>
          <w:highlight w:val="none"/>
        </w:rPr>
      </w:pPr>
      <w:bookmarkStart w:id="25" w:name="_Toc39044351"/>
      <w:r>
        <w:rPr>
          <w:rFonts w:hint="eastAsia" w:ascii="宋体" w:hAnsi="宋体"/>
          <w:color w:val="auto"/>
          <w:sz w:val="28"/>
          <w:szCs w:val="28"/>
          <w:highlight w:val="none"/>
        </w:rPr>
        <w:t>3.3</w:t>
      </w:r>
      <w:r>
        <w:rPr>
          <w:rFonts w:hint="eastAsia"/>
          <w:color w:val="auto"/>
          <w:sz w:val="28"/>
          <w:szCs w:val="28"/>
          <w:highlight w:val="none"/>
        </w:rPr>
        <w:t>▲</w:t>
      </w:r>
      <w:r>
        <w:rPr>
          <w:rFonts w:hint="eastAsia" w:ascii="宋体" w:hAnsi="宋体"/>
          <w:color w:val="auto"/>
          <w:sz w:val="28"/>
          <w:szCs w:val="28"/>
          <w:highlight w:val="none"/>
        </w:rPr>
        <w:t>劳动合同</w:t>
      </w:r>
      <w:bookmarkEnd w:id="25"/>
      <w:r>
        <w:rPr>
          <w:rFonts w:hint="eastAsia" w:ascii="宋体" w:hAnsi="宋体"/>
          <w:color w:val="auto"/>
          <w:sz w:val="28"/>
          <w:szCs w:val="28"/>
          <w:highlight w:val="none"/>
        </w:rPr>
        <w:t>（用工协议）</w:t>
      </w:r>
    </w:p>
    <w:p>
      <w:pPr>
        <w:ind w:firstLine="480"/>
        <w:rPr>
          <w:color w:val="auto"/>
          <w:sz w:val="28"/>
          <w:szCs w:val="28"/>
          <w:highlight w:val="none"/>
        </w:rPr>
      </w:pPr>
      <w:r>
        <w:rPr>
          <w:rFonts w:hint="eastAsia"/>
          <w:color w:val="auto"/>
          <w:sz w:val="28"/>
          <w:szCs w:val="28"/>
          <w:highlight w:val="none"/>
        </w:rPr>
        <w:t>提供信息项目、数据字典、新签合同、合同管理四个功能：</w:t>
      </w:r>
    </w:p>
    <w:p>
      <w:pPr>
        <w:ind w:firstLine="480"/>
        <w:rPr>
          <w:color w:val="auto"/>
          <w:sz w:val="28"/>
          <w:szCs w:val="28"/>
          <w:highlight w:val="none"/>
        </w:rPr>
      </w:pPr>
      <w:r>
        <w:rPr>
          <w:rFonts w:hint="eastAsia"/>
          <w:color w:val="auto"/>
          <w:sz w:val="28"/>
          <w:szCs w:val="28"/>
          <w:highlight w:val="none"/>
        </w:rPr>
        <w:t>信息项目：添加、管理合同类型子集（包括系统子集、自定义子集）; 添加、管理子集的字段（包括系统字段、自定义字段）；</w:t>
      </w:r>
    </w:p>
    <w:p>
      <w:pPr>
        <w:ind w:firstLine="480"/>
        <w:rPr>
          <w:color w:val="auto"/>
          <w:sz w:val="28"/>
          <w:szCs w:val="28"/>
          <w:highlight w:val="none"/>
        </w:rPr>
      </w:pPr>
      <w:r>
        <w:rPr>
          <w:rFonts w:hint="eastAsia"/>
          <w:color w:val="auto"/>
          <w:sz w:val="28"/>
          <w:szCs w:val="28"/>
          <w:highlight w:val="none"/>
        </w:rPr>
        <w:t>基础数据：维护合同管理的数据字典信息；</w:t>
      </w:r>
    </w:p>
    <w:p>
      <w:pPr>
        <w:ind w:firstLine="480"/>
        <w:rPr>
          <w:color w:val="auto"/>
          <w:sz w:val="28"/>
          <w:szCs w:val="28"/>
          <w:highlight w:val="none"/>
        </w:rPr>
      </w:pPr>
      <w:r>
        <w:rPr>
          <w:rFonts w:hint="eastAsia"/>
          <w:color w:val="auto"/>
          <w:sz w:val="28"/>
          <w:szCs w:val="28"/>
          <w:highlight w:val="none"/>
        </w:rPr>
        <w:t>新签合同：新签合同，录入合同信息；</w:t>
      </w:r>
    </w:p>
    <w:p>
      <w:pPr>
        <w:ind w:firstLine="480"/>
        <w:rPr>
          <w:color w:val="auto"/>
          <w:sz w:val="28"/>
          <w:szCs w:val="28"/>
          <w:highlight w:val="none"/>
        </w:rPr>
      </w:pPr>
      <w:r>
        <w:rPr>
          <w:rFonts w:hint="eastAsia"/>
          <w:color w:val="auto"/>
          <w:sz w:val="28"/>
          <w:szCs w:val="28"/>
          <w:highlight w:val="none"/>
        </w:rPr>
        <w:t>合同管理：对已签合同进行管理维护</w:t>
      </w:r>
    </w:p>
    <w:p>
      <w:pPr>
        <w:ind w:firstLine="480"/>
        <w:rPr>
          <w:color w:val="auto"/>
          <w:sz w:val="28"/>
          <w:szCs w:val="28"/>
          <w:highlight w:val="none"/>
        </w:rPr>
      </w:pPr>
      <w:r>
        <w:rPr>
          <w:rFonts w:hint="eastAsia"/>
          <w:color w:val="auto"/>
          <w:sz w:val="28"/>
          <w:szCs w:val="28"/>
          <w:highlight w:val="none"/>
        </w:rPr>
        <w:t>并提供人员合同查询、未签合同查询、合同查询等。</w:t>
      </w:r>
    </w:p>
    <w:p>
      <w:pPr>
        <w:spacing w:line="360" w:lineRule="auto"/>
        <w:rPr>
          <w:rFonts w:ascii="宋体" w:hAnsi="宋体"/>
          <w:color w:val="auto"/>
          <w:sz w:val="28"/>
          <w:szCs w:val="28"/>
          <w:highlight w:val="none"/>
        </w:rPr>
      </w:pPr>
      <w:bookmarkStart w:id="26" w:name="_Toc39044352"/>
      <w:r>
        <w:rPr>
          <w:rFonts w:hint="eastAsia" w:ascii="宋体" w:hAnsi="宋体"/>
          <w:color w:val="auto"/>
          <w:sz w:val="28"/>
          <w:szCs w:val="28"/>
          <w:highlight w:val="none"/>
        </w:rPr>
        <w:t>3.4培训</w:t>
      </w:r>
      <w:bookmarkEnd w:id="26"/>
    </w:p>
    <w:p>
      <w:pPr>
        <w:ind w:firstLine="480"/>
        <w:rPr>
          <w:color w:val="auto"/>
          <w:sz w:val="28"/>
          <w:szCs w:val="28"/>
          <w:highlight w:val="none"/>
        </w:rPr>
      </w:pPr>
      <w:r>
        <w:rPr>
          <w:rFonts w:hint="eastAsia"/>
          <w:color w:val="auto"/>
          <w:sz w:val="28"/>
          <w:szCs w:val="28"/>
          <w:highlight w:val="none"/>
        </w:rPr>
        <w:t>实现培训计划制定、审批、计划执行全流程的管理，并对培训类别、课程类别、教材类型、培训课程、培训机构、培训讲师等信息进行维护。提供培训计划查询、培训执行查询、培训人员查询、执行情况统计、培训教材查询等。</w:t>
      </w:r>
    </w:p>
    <w:p>
      <w:pPr>
        <w:spacing w:line="360" w:lineRule="auto"/>
        <w:rPr>
          <w:rFonts w:ascii="宋体" w:hAnsi="宋体"/>
          <w:color w:val="auto"/>
          <w:sz w:val="28"/>
          <w:szCs w:val="28"/>
          <w:highlight w:val="none"/>
        </w:rPr>
      </w:pPr>
      <w:bookmarkStart w:id="27" w:name="_Toc39044353"/>
      <w:r>
        <w:rPr>
          <w:rFonts w:hint="eastAsia" w:ascii="宋体" w:hAnsi="宋体"/>
          <w:color w:val="auto"/>
          <w:sz w:val="28"/>
          <w:szCs w:val="28"/>
          <w:highlight w:val="none"/>
        </w:rPr>
        <w:t>3.5</w:t>
      </w:r>
      <w:r>
        <w:rPr>
          <w:rFonts w:hint="eastAsia"/>
          <w:color w:val="auto"/>
          <w:sz w:val="28"/>
          <w:szCs w:val="28"/>
          <w:highlight w:val="none"/>
        </w:rPr>
        <w:t>▲</w:t>
      </w:r>
      <w:r>
        <w:rPr>
          <w:rFonts w:hint="eastAsia" w:ascii="宋体" w:hAnsi="宋体"/>
          <w:color w:val="auto"/>
          <w:sz w:val="28"/>
          <w:szCs w:val="28"/>
          <w:highlight w:val="none"/>
        </w:rPr>
        <w:t>考评</w:t>
      </w:r>
      <w:bookmarkEnd w:id="27"/>
      <w:r>
        <w:rPr>
          <w:rFonts w:hint="eastAsia" w:ascii="宋体" w:hAnsi="宋体"/>
          <w:color w:val="auto"/>
          <w:sz w:val="28"/>
          <w:szCs w:val="28"/>
          <w:highlight w:val="none"/>
        </w:rPr>
        <w:tab/>
      </w:r>
    </w:p>
    <w:p>
      <w:pPr>
        <w:ind w:firstLine="480"/>
        <w:rPr>
          <w:color w:val="auto"/>
          <w:sz w:val="28"/>
          <w:szCs w:val="28"/>
          <w:highlight w:val="none"/>
        </w:rPr>
      </w:pPr>
      <w:r>
        <w:rPr>
          <w:rFonts w:hint="eastAsia"/>
          <w:color w:val="auto"/>
          <w:sz w:val="28"/>
          <w:szCs w:val="28"/>
          <w:highlight w:val="none"/>
        </w:rPr>
        <w:t>实现员工考评，考评等级可设定，提供相关查询统计。</w:t>
      </w:r>
    </w:p>
    <w:p>
      <w:pPr>
        <w:spacing w:line="360" w:lineRule="auto"/>
        <w:rPr>
          <w:rFonts w:ascii="宋体" w:hAnsi="宋体"/>
          <w:color w:val="auto"/>
          <w:sz w:val="28"/>
          <w:szCs w:val="28"/>
          <w:highlight w:val="none"/>
        </w:rPr>
      </w:pPr>
      <w:bookmarkStart w:id="28" w:name="_Toc39044354"/>
      <w:r>
        <w:rPr>
          <w:rFonts w:hint="eastAsia" w:ascii="宋体" w:hAnsi="宋体"/>
          <w:color w:val="auto"/>
          <w:sz w:val="28"/>
          <w:szCs w:val="28"/>
          <w:highlight w:val="none"/>
        </w:rPr>
        <w:t>3.6</w:t>
      </w:r>
      <w:r>
        <w:rPr>
          <w:rFonts w:hint="eastAsia"/>
          <w:color w:val="auto"/>
          <w:sz w:val="28"/>
          <w:szCs w:val="28"/>
          <w:highlight w:val="none"/>
        </w:rPr>
        <w:t>▲</w:t>
      </w:r>
      <w:r>
        <w:rPr>
          <w:rFonts w:hint="eastAsia" w:ascii="宋体" w:hAnsi="宋体"/>
          <w:color w:val="auto"/>
          <w:sz w:val="28"/>
          <w:szCs w:val="28"/>
          <w:highlight w:val="none"/>
        </w:rPr>
        <w:t>工资、酬金</w:t>
      </w:r>
      <w:bookmarkEnd w:id="28"/>
    </w:p>
    <w:p>
      <w:pPr>
        <w:ind w:firstLine="480"/>
        <w:rPr>
          <w:color w:val="auto"/>
          <w:sz w:val="28"/>
          <w:szCs w:val="28"/>
          <w:highlight w:val="none"/>
        </w:rPr>
      </w:pPr>
      <w:r>
        <w:rPr>
          <w:rFonts w:hint="eastAsia"/>
          <w:color w:val="auto"/>
          <w:sz w:val="28"/>
          <w:szCs w:val="28"/>
          <w:highlight w:val="none"/>
        </w:rPr>
        <w:t>实现各部门各岗位每月工资、酬金申报、审核、发放，提供相关查询统计。</w:t>
      </w:r>
    </w:p>
    <w:p>
      <w:pPr>
        <w:spacing w:line="360" w:lineRule="auto"/>
        <w:rPr>
          <w:rFonts w:ascii="宋体" w:hAnsi="宋体"/>
          <w:color w:val="auto"/>
          <w:sz w:val="28"/>
          <w:szCs w:val="28"/>
          <w:highlight w:val="none"/>
        </w:rPr>
      </w:pPr>
      <w:bookmarkStart w:id="29" w:name="_Toc39044355"/>
      <w:r>
        <w:rPr>
          <w:rFonts w:hint="eastAsia" w:ascii="宋体" w:hAnsi="宋体"/>
          <w:color w:val="auto"/>
          <w:sz w:val="28"/>
          <w:szCs w:val="28"/>
          <w:highlight w:val="none"/>
        </w:rPr>
        <w:t>3.7</w:t>
      </w:r>
      <w:r>
        <w:rPr>
          <w:rFonts w:hint="eastAsia"/>
          <w:color w:val="auto"/>
          <w:sz w:val="28"/>
          <w:szCs w:val="28"/>
          <w:highlight w:val="none"/>
        </w:rPr>
        <w:t>▲</w:t>
      </w:r>
      <w:r>
        <w:rPr>
          <w:rFonts w:hint="eastAsia" w:ascii="宋体" w:hAnsi="宋体"/>
          <w:color w:val="auto"/>
          <w:sz w:val="28"/>
          <w:szCs w:val="28"/>
          <w:highlight w:val="none"/>
        </w:rPr>
        <w:t>社保、公积金、工伤、意外险</w:t>
      </w:r>
      <w:bookmarkEnd w:id="29"/>
    </w:p>
    <w:p>
      <w:pPr>
        <w:ind w:firstLine="480"/>
        <w:rPr>
          <w:color w:val="auto"/>
          <w:sz w:val="28"/>
          <w:szCs w:val="28"/>
          <w:highlight w:val="none"/>
        </w:rPr>
      </w:pPr>
      <w:r>
        <w:rPr>
          <w:rFonts w:hint="eastAsia"/>
          <w:color w:val="auto"/>
          <w:sz w:val="28"/>
          <w:szCs w:val="28"/>
          <w:highlight w:val="none"/>
        </w:rPr>
        <w:t>实现所有员工每月社保、公积金核算，提供相关查询统计。</w:t>
      </w:r>
    </w:p>
    <w:p>
      <w:pPr>
        <w:spacing w:before="312" w:beforeLines="100" w:after="312" w:afterLines="100" w:line="360" w:lineRule="auto"/>
        <w:outlineLvl w:val="0"/>
        <w:rPr>
          <w:rFonts w:ascii="宋体" w:hAnsi="宋体" w:cs="仿宋"/>
          <w:b/>
          <w:bCs/>
          <w:color w:val="auto"/>
          <w:sz w:val="28"/>
          <w:szCs w:val="28"/>
          <w:highlight w:val="none"/>
        </w:rPr>
      </w:pPr>
      <w:bookmarkStart w:id="30" w:name="_Toc39044356"/>
      <w:r>
        <w:rPr>
          <w:rFonts w:hint="eastAsia" w:ascii="宋体" w:hAnsi="宋体" w:cs="仿宋"/>
          <w:b/>
          <w:bCs/>
          <w:color w:val="auto"/>
          <w:sz w:val="28"/>
          <w:szCs w:val="28"/>
          <w:highlight w:val="none"/>
        </w:rPr>
        <w:t>4.服务评价考核平台</w:t>
      </w:r>
      <w:bookmarkEnd w:id="30"/>
    </w:p>
    <w:p>
      <w:pPr>
        <w:ind w:left="142" w:firstLine="480"/>
        <w:rPr>
          <w:color w:val="auto"/>
          <w:sz w:val="28"/>
          <w:szCs w:val="28"/>
          <w:highlight w:val="none"/>
        </w:rPr>
      </w:pPr>
      <w:r>
        <w:rPr>
          <w:rFonts w:hint="eastAsia"/>
          <w:color w:val="auto"/>
          <w:sz w:val="28"/>
          <w:szCs w:val="28"/>
          <w:highlight w:val="none"/>
        </w:rPr>
        <w:t>服务评价考核平台可接入到学校企业微信，PC端</w:t>
      </w:r>
      <w:r>
        <w:rPr>
          <w:color w:val="auto"/>
          <w:sz w:val="28"/>
          <w:szCs w:val="28"/>
          <w:highlight w:val="none"/>
        </w:rPr>
        <w:t>和微信端功能相同</w:t>
      </w:r>
      <w:r>
        <w:rPr>
          <w:rFonts w:hint="eastAsia"/>
          <w:color w:val="auto"/>
          <w:sz w:val="28"/>
          <w:szCs w:val="28"/>
          <w:highlight w:val="none"/>
        </w:rPr>
        <w:t>。</w:t>
      </w:r>
    </w:p>
    <w:p>
      <w:pPr>
        <w:ind w:left="142" w:firstLine="480"/>
        <w:rPr>
          <w:color w:val="auto"/>
          <w:sz w:val="28"/>
          <w:szCs w:val="28"/>
          <w:highlight w:val="none"/>
        </w:rPr>
      </w:pPr>
      <w:r>
        <w:rPr>
          <w:rFonts w:hint="eastAsia"/>
          <w:color w:val="auto"/>
          <w:sz w:val="28"/>
          <w:szCs w:val="28"/>
          <w:highlight w:val="none"/>
        </w:rPr>
        <w:t>根据</w:t>
      </w:r>
      <w:r>
        <w:rPr>
          <w:color w:val="auto"/>
          <w:sz w:val="28"/>
          <w:szCs w:val="28"/>
          <w:highlight w:val="none"/>
        </w:rPr>
        <w:t>后勤服务总公司现有</w:t>
      </w:r>
      <w:r>
        <w:rPr>
          <w:rFonts w:hint="eastAsia"/>
          <w:color w:val="auto"/>
          <w:sz w:val="28"/>
          <w:szCs w:val="28"/>
          <w:highlight w:val="none"/>
        </w:rPr>
        <w:t>各业务</w:t>
      </w:r>
      <w:r>
        <w:rPr>
          <w:color w:val="auto"/>
          <w:sz w:val="28"/>
          <w:szCs w:val="28"/>
          <w:highlight w:val="none"/>
        </w:rPr>
        <w:t>部门</w:t>
      </w:r>
      <w:r>
        <w:rPr>
          <w:rFonts w:hint="eastAsia"/>
          <w:color w:val="auto"/>
          <w:sz w:val="28"/>
          <w:szCs w:val="28"/>
          <w:highlight w:val="none"/>
        </w:rPr>
        <w:t>以及外包服务企业所</w:t>
      </w:r>
      <w:r>
        <w:rPr>
          <w:color w:val="auto"/>
          <w:sz w:val="28"/>
          <w:szCs w:val="28"/>
          <w:highlight w:val="none"/>
        </w:rPr>
        <w:t>对应的</w:t>
      </w:r>
      <w:r>
        <w:rPr>
          <w:rFonts w:hint="eastAsia"/>
          <w:color w:val="auto"/>
          <w:sz w:val="28"/>
          <w:szCs w:val="28"/>
          <w:highlight w:val="none"/>
        </w:rPr>
        <w:t>餐饮服务、绿化管养、物业保洁</w:t>
      </w:r>
      <w:r>
        <w:rPr>
          <w:color w:val="auto"/>
          <w:sz w:val="28"/>
          <w:szCs w:val="28"/>
          <w:highlight w:val="none"/>
        </w:rPr>
        <w:t>、会议服务、维修服务、宿舍管理、商超服务</w:t>
      </w:r>
      <w:r>
        <w:rPr>
          <w:rFonts w:hint="eastAsia"/>
          <w:color w:val="auto"/>
          <w:sz w:val="28"/>
          <w:szCs w:val="28"/>
          <w:highlight w:val="none"/>
        </w:rPr>
        <w:t>、</w:t>
      </w:r>
      <w:r>
        <w:rPr>
          <w:color w:val="auto"/>
          <w:sz w:val="28"/>
          <w:szCs w:val="28"/>
          <w:highlight w:val="none"/>
        </w:rPr>
        <w:t>交通服务</w:t>
      </w:r>
      <w:r>
        <w:rPr>
          <w:rFonts w:hint="eastAsia"/>
          <w:color w:val="auto"/>
          <w:sz w:val="28"/>
          <w:szCs w:val="28"/>
          <w:highlight w:val="none"/>
        </w:rPr>
        <w:t>等</w:t>
      </w:r>
      <w:r>
        <w:rPr>
          <w:color w:val="auto"/>
          <w:sz w:val="28"/>
          <w:szCs w:val="28"/>
          <w:highlight w:val="none"/>
        </w:rPr>
        <w:t>各项业务</w:t>
      </w:r>
      <w:r>
        <w:rPr>
          <w:rFonts w:hint="eastAsia"/>
          <w:color w:val="auto"/>
          <w:sz w:val="28"/>
          <w:szCs w:val="28"/>
          <w:highlight w:val="none"/>
        </w:rPr>
        <w:t>进行量化评分，</w:t>
      </w:r>
      <w:r>
        <w:rPr>
          <w:color w:val="auto"/>
          <w:sz w:val="28"/>
          <w:szCs w:val="28"/>
          <w:highlight w:val="none"/>
        </w:rPr>
        <w:t>评价考核</w:t>
      </w:r>
      <w:r>
        <w:rPr>
          <w:rFonts w:hint="eastAsia"/>
          <w:color w:val="auto"/>
          <w:sz w:val="28"/>
          <w:szCs w:val="28"/>
          <w:highlight w:val="none"/>
        </w:rPr>
        <w:t>。</w:t>
      </w:r>
    </w:p>
    <w:p>
      <w:pPr>
        <w:spacing w:line="360" w:lineRule="auto"/>
        <w:rPr>
          <w:rFonts w:ascii="宋体" w:hAnsi="宋体"/>
          <w:color w:val="auto"/>
          <w:sz w:val="28"/>
          <w:szCs w:val="28"/>
          <w:highlight w:val="none"/>
        </w:rPr>
      </w:pPr>
      <w:bookmarkStart w:id="31" w:name="_Toc39044357"/>
      <w:r>
        <w:rPr>
          <w:rFonts w:hint="eastAsia" w:ascii="宋体" w:hAnsi="宋体"/>
          <w:color w:val="auto"/>
          <w:sz w:val="28"/>
          <w:szCs w:val="28"/>
          <w:highlight w:val="none"/>
        </w:rPr>
        <w:t>4.1</w:t>
      </w:r>
      <w:bookmarkEnd w:id="31"/>
      <w:r>
        <w:rPr>
          <w:rFonts w:hint="eastAsia" w:ascii="宋体" w:hAnsi="宋体"/>
          <w:color w:val="auto"/>
          <w:sz w:val="28"/>
          <w:szCs w:val="28"/>
          <w:highlight w:val="none"/>
        </w:rPr>
        <w:t>评价考核</w:t>
      </w:r>
    </w:p>
    <w:p>
      <w:pPr>
        <w:ind w:left="142" w:firstLine="480"/>
        <w:rPr>
          <w:color w:val="auto"/>
          <w:sz w:val="28"/>
          <w:szCs w:val="28"/>
          <w:highlight w:val="none"/>
        </w:rPr>
      </w:pPr>
      <w:bookmarkStart w:id="32" w:name="_Toc39044358"/>
      <w:r>
        <w:rPr>
          <w:rFonts w:hint="eastAsia"/>
          <w:color w:val="auto"/>
          <w:sz w:val="28"/>
          <w:szCs w:val="28"/>
          <w:highlight w:val="none"/>
        </w:rPr>
        <w:t>考核</w:t>
      </w:r>
      <w:r>
        <w:rPr>
          <w:color w:val="auto"/>
          <w:sz w:val="28"/>
          <w:szCs w:val="28"/>
          <w:highlight w:val="none"/>
        </w:rPr>
        <w:t>检查员根据</w:t>
      </w:r>
      <w:r>
        <w:rPr>
          <w:rFonts w:hint="eastAsia"/>
          <w:color w:val="auto"/>
          <w:sz w:val="28"/>
          <w:szCs w:val="28"/>
          <w:highlight w:val="none"/>
        </w:rPr>
        <w:t>系统管理员所设置</w:t>
      </w:r>
      <w:r>
        <w:rPr>
          <w:color w:val="auto"/>
          <w:sz w:val="28"/>
          <w:szCs w:val="28"/>
          <w:highlight w:val="none"/>
        </w:rPr>
        <w:t>的条款，</w:t>
      </w:r>
      <w:r>
        <w:rPr>
          <w:rFonts w:hint="eastAsia"/>
          <w:color w:val="auto"/>
          <w:sz w:val="28"/>
          <w:szCs w:val="28"/>
          <w:highlight w:val="none"/>
        </w:rPr>
        <w:t>分项目分部门</w:t>
      </w:r>
      <w:r>
        <w:rPr>
          <w:color w:val="auto"/>
          <w:sz w:val="28"/>
          <w:szCs w:val="28"/>
          <w:highlight w:val="none"/>
        </w:rPr>
        <w:t>进行</w:t>
      </w:r>
      <w:r>
        <w:rPr>
          <w:rFonts w:hint="eastAsia"/>
          <w:color w:val="auto"/>
          <w:sz w:val="28"/>
          <w:szCs w:val="28"/>
          <w:highlight w:val="none"/>
        </w:rPr>
        <w:t>检查</w:t>
      </w:r>
      <w:r>
        <w:rPr>
          <w:color w:val="auto"/>
          <w:sz w:val="28"/>
          <w:szCs w:val="28"/>
          <w:highlight w:val="none"/>
        </w:rPr>
        <w:t>，</w:t>
      </w:r>
      <w:r>
        <w:rPr>
          <w:rFonts w:hint="eastAsia"/>
          <w:color w:val="auto"/>
          <w:sz w:val="28"/>
          <w:szCs w:val="28"/>
          <w:highlight w:val="none"/>
        </w:rPr>
        <w:t>扣分时能</w:t>
      </w:r>
      <w:r>
        <w:rPr>
          <w:color w:val="auto"/>
          <w:sz w:val="28"/>
          <w:szCs w:val="28"/>
          <w:highlight w:val="none"/>
        </w:rPr>
        <w:t>上传扣分项的照片</w:t>
      </w:r>
      <w:r>
        <w:rPr>
          <w:rFonts w:hint="eastAsia"/>
          <w:color w:val="auto"/>
          <w:sz w:val="28"/>
          <w:szCs w:val="28"/>
          <w:highlight w:val="none"/>
        </w:rPr>
        <w:t>，</w:t>
      </w:r>
      <w:r>
        <w:rPr>
          <w:color w:val="auto"/>
          <w:sz w:val="28"/>
          <w:szCs w:val="28"/>
          <w:highlight w:val="none"/>
        </w:rPr>
        <w:t>进行相应描述</w:t>
      </w:r>
      <w:r>
        <w:rPr>
          <w:rFonts w:hint="eastAsia"/>
          <w:color w:val="auto"/>
          <w:sz w:val="28"/>
          <w:szCs w:val="28"/>
          <w:highlight w:val="none"/>
        </w:rPr>
        <w:t>。系统按月根据检查结果按</w:t>
      </w:r>
      <w:r>
        <w:rPr>
          <w:color w:val="auto"/>
          <w:sz w:val="28"/>
          <w:szCs w:val="28"/>
          <w:highlight w:val="none"/>
        </w:rPr>
        <w:t>权重</w:t>
      </w:r>
      <w:r>
        <w:rPr>
          <w:rFonts w:hint="eastAsia"/>
          <w:color w:val="auto"/>
          <w:sz w:val="28"/>
          <w:szCs w:val="28"/>
          <w:highlight w:val="none"/>
        </w:rPr>
        <w:t>分别</w:t>
      </w:r>
      <w:r>
        <w:rPr>
          <w:color w:val="auto"/>
          <w:sz w:val="28"/>
          <w:szCs w:val="28"/>
          <w:highlight w:val="none"/>
        </w:rPr>
        <w:t>对各部门</w:t>
      </w:r>
      <w:r>
        <w:rPr>
          <w:rFonts w:hint="eastAsia"/>
          <w:color w:val="auto"/>
          <w:sz w:val="28"/>
          <w:szCs w:val="28"/>
          <w:highlight w:val="none"/>
        </w:rPr>
        <w:t>（自营部门和外包企业）</w:t>
      </w:r>
      <w:r>
        <w:rPr>
          <w:color w:val="auto"/>
          <w:sz w:val="28"/>
          <w:szCs w:val="28"/>
          <w:highlight w:val="none"/>
        </w:rPr>
        <w:t>的服务</w:t>
      </w:r>
      <w:r>
        <w:rPr>
          <w:rFonts w:hint="eastAsia"/>
          <w:color w:val="auto"/>
          <w:sz w:val="28"/>
          <w:szCs w:val="28"/>
          <w:highlight w:val="none"/>
        </w:rPr>
        <w:t>考核</w:t>
      </w:r>
      <w:r>
        <w:rPr>
          <w:color w:val="auto"/>
          <w:sz w:val="28"/>
          <w:szCs w:val="28"/>
          <w:highlight w:val="none"/>
        </w:rPr>
        <w:t>自动</w:t>
      </w:r>
      <w:r>
        <w:rPr>
          <w:rFonts w:hint="eastAsia"/>
          <w:color w:val="auto"/>
          <w:sz w:val="28"/>
          <w:szCs w:val="28"/>
          <w:highlight w:val="none"/>
        </w:rPr>
        <w:t>核算分值进行考核。</w:t>
      </w:r>
    </w:p>
    <w:p>
      <w:pPr>
        <w:ind w:left="142" w:firstLine="480"/>
        <w:rPr>
          <w:color w:val="auto"/>
          <w:sz w:val="28"/>
          <w:szCs w:val="28"/>
          <w:highlight w:val="none"/>
        </w:rPr>
      </w:pPr>
      <w:r>
        <w:rPr>
          <w:rFonts w:hint="eastAsia"/>
          <w:color w:val="auto"/>
          <w:sz w:val="28"/>
          <w:szCs w:val="28"/>
          <w:highlight w:val="none"/>
        </w:rPr>
        <w:t>检查方式：目前有部门自查、相关部门督察、专项检查、领导抽查、师生代表督察几种方式，各种检查方式权重不一样，方式可由管理员自定义</w:t>
      </w:r>
    </w:p>
    <w:p>
      <w:pPr>
        <w:ind w:left="142" w:firstLine="480"/>
        <w:rPr>
          <w:color w:val="auto"/>
          <w:sz w:val="28"/>
          <w:szCs w:val="28"/>
          <w:highlight w:val="none"/>
        </w:rPr>
      </w:pPr>
      <w:r>
        <w:rPr>
          <w:rFonts w:hint="eastAsia"/>
          <w:color w:val="auto"/>
          <w:sz w:val="28"/>
          <w:szCs w:val="28"/>
          <w:highlight w:val="none"/>
        </w:rPr>
        <w:t>系统参数：考核对象、考核业务（每个部门可对应多项业务），项目名称，项目内容，每条款分值等均可以自定义设置。各项业务对应多个服务部门，有后勤自营也有服务外包，考核检查项、检查</w:t>
      </w:r>
      <w:r>
        <w:rPr>
          <w:color w:val="auto"/>
          <w:sz w:val="28"/>
          <w:szCs w:val="28"/>
          <w:highlight w:val="none"/>
        </w:rPr>
        <w:t>内容、扣分说明、分值</w:t>
      </w:r>
      <w:r>
        <w:rPr>
          <w:rFonts w:hint="eastAsia"/>
          <w:color w:val="auto"/>
          <w:sz w:val="28"/>
          <w:szCs w:val="28"/>
          <w:highlight w:val="none"/>
        </w:rPr>
        <w:t>（百分制）</w:t>
      </w:r>
      <w:r>
        <w:rPr>
          <w:color w:val="auto"/>
          <w:sz w:val="28"/>
          <w:szCs w:val="28"/>
          <w:highlight w:val="none"/>
        </w:rPr>
        <w:t>、</w:t>
      </w:r>
      <w:r>
        <w:rPr>
          <w:rFonts w:hint="eastAsia"/>
          <w:color w:val="auto"/>
          <w:sz w:val="28"/>
          <w:szCs w:val="28"/>
          <w:highlight w:val="none"/>
        </w:rPr>
        <w:t>加权由</w:t>
      </w:r>
      <w:r>
        <w:rPr>
          <w:color w:val="auto"/>
          <w:sz w:val="28"/>
          <w:szCs w:val="28"/>
          <w:highlight w:val="none"/>
        </w:rPr>
        <w:t>系统管理员自定义</w:t>
      </w:r>
      <w:r>
        <w:rPr>
          <w:rFonts w:hint="eastAsia"/>
          <w:color w:val="auto"/>
          <w:sz w:val="28"/>
          <w:szCs w:val="28"/>
          <w:highlight w:val="none"/>
        </w:rPr>
        <w:t>设置编辑。一个</w:t>
      </w:r>
      <w:r>
        <w:rPr>
          <w:color w:val="auto"/>
          <w:sz w:val="28"/>
          <w:szCs w:val="28"/>
          <w:highlight w:val="none"/>
        </w:rPr>
        <w:t>部门可能对应多项业务，所以需要按业务</w:t>
      </w:r>
      <w:r>
        <w:rPr>
          <w:rFonts w:hint="eastAsia"/>
          <w:color w:val="auto"/>
          <w:sz w:val="28"/>
          <w:szCs w:val="28"/>
          <w:highlight w:val="none"/>
        </w:rPr>
        <w:t>自定义</w:t>
      </w:r>
      <w:r>
        <w:rPr>
          <w:color w:val="auto"/>
          <w:sz w:val="28"/>
          <w:szCs w:val="28"/>
          <w:highlight w:val="none"/>
        </w:rPr>
        <w:t>设置</w:t>
      </w:r>
      <w:r>
        <w:rPr>
          <w:rFonts w:hint="eastAsia"/>
          <w:color w:val="auto"/>
          <w:sz w:val="28"/>
          <w:szCs w:val="28"/>
          <w:highlight w:val="none"/>
        </w:rPr>
        <w:t>加权，</w:t>
      </w:r>
      <w:r>
        <w:rPr>
          <w:color w:val="auto"/>
          <w:sz w:val="28"/>
          <w:szCs w:val="28"/>
          <w:highlight w:val="none"/>
        </w:rPr>
        <w:t>对部门进行考核</w:t>
      </w:r>
      <w:r>
        <w:rPr>
          <w:rFonts w:hint="eastAsia"/>
          <w:color w:val="auto"/>
          <w:sz w:val="28"/>
          <w:szCs w:val="28"/>
          <w:highlight w:val="none"/>
        </w:rPr>
        <w:t>。不同检查方式对</w:t>
      </w:r>
      <w:r>
        <w:rPr>
          <w:color w:val="auto"/>
          <w:sz w:val="28"/>
          <w:szCs w:val="28"/>
          <w:highlight w:val="none"/>
        </w:rPr>
        <w:t>每个部门的检查</w:t>
      </w:r>
      <w:r>
        <w:rPr>
          <w:rFonts w:hint="eastAsia"/>
          <w:color w:val="auto"/>
          <w:sz w:val="28"/>
          <w:szCs w:val="28"/>
          <w:highlight w:val="none"/>
        </w:rPr>
        <w:t>考核</w:t>
      </w:r>
      <w:r>
        <w:rPr>
          <w:color w:val="auto"/>
          <w:sz w:val="28"/>
          <w:szCs w:val="28"/>
          <w:highlight w:val="none"/>
        </w:rPr>
        <w:t>分数权重</w:t>
      </w:r>
      <w:r>
        <w:rPr>
          <w:rFonts w:hint="eastAsia"/>
          <w:color w:val="auto"/>
          <w:sz w:val="28"/>
          <w:szCs w:val="28"/>
          <w:highlight w:val="none"/>
        </w:rPr>
        <w:t>可以</w:t>
      </w:r>
      <w:r>
        <w:rPr>
          <w:color w:val="auto"/>
          <w:sz w:val="28"/>
          <w:szCs w:val="28"/>
          <w:highlight w:val="none"/>
        </w:rPr>
        <w:t>自定义，目前</w:t>
      </w:r>
      <w:r>
        <w:rPr>
          <w:rFonts w:hint="eastAsia"/>
          <w:color w:val="auto"/>
          <w:sz w:val="28"/>
          <w:szCs w:val="28"/>
          <w:highlight w:val="none"/>
        </w:rPr>
        <w:t>检查</w:t>
      </w:r>
      <w:r>
        <w:rPr>
          <w:color w:val="auto"/>
          <w:sz w:val="28"/>
          <w:szCs w:val="28"/>
          <w:highlight w:val="none"/>
        </w:rPr>
        <w:t>角色主要分为：</w:t>
      </w:r>
      <w:r>
        <w:rPr>
          <w:rFonts w:hint="eastAsia"/>
          <w:color w:val="auto"/>
          <w:sz w:val="28"/>
          <w:szCs w:val="28"/>
          <w:highlight w:val="none"/>
        </w:rPr>
        <w:t>各部门内部检查员（内审员）、公司</w:t>
      </w:r>
      <w:r>
        <w:rPr>
          <w:color w:val="auto"/>
          <w:sz w:val="28"/>
          <w:szCs w:val="28"/>
          <w:highlight w:val="none"/>
        </w:rPr>
        <w:t>督查员、</w:t>
      </w:r>
      <w:r>
        <w:rPr>
          <w:rFonts w:hint="eastAsia"/>
          <w:color w:val="auto"/>
          <w:sz w:val="28"/>
          <w:szCs w:val="28"/>
          <w:highlight w:val="none"/>
        </w:rPr>
        <w:t>分管领导、</w:t>
      </w:r>
      <w:r>
        <w:rPr>
          <w:color w:val="auto"/>
          <w:sz w:val="28"/>
          <w:szCs w:val="28"/>
          <w:highlight w:val="none"/>
        </w:rPr>
        <w:t>学生代表检查员。</w:t>
      </w:r>
    </w:p>
    <w:p>
      <w:pPr>
        <w:ind w:left="142" w:firstLine="480"/>
        <w:rPr>
          <w:color w:val="auto"/>
          <w:sz w:val="28"/>
          <w:szCs w:val="28"/>
          <w:highlight w:val="none"/>
        </w:rPr>
      </w:pPr>
      <w:r>
        <w:rPr>
          <w:rFonts w:hint="eastAsia"/>
          <w:color w:val="auto"/>
          <w:sz w:val="28"/>
          <w:szCs w:val="28"/>
          <w:highlight w:val="none"/>
        </w:rPr>
        <w:t>统计功能：分角色按服务部门、按服务项目以及时间进行</w:t>
      </w:r>
      <w:r>
        <w:rPr>
          <w:color w:val="auto"/>
          <w:sz w:val="28"/>
          <w:szCs w:val="28"/>
          <w:highlight w:val="none"/>
        </w:rPr>
        <w:t>查询</w:t>
      </w:r>
      <w:r>
        <w:rPr>
          <w:rFonts w:hint="eastAsia"/>
          <w:color w:val="auto"/>
          <w:sz w:val="28"/>
          <w:szCs w:val="28"/>
          <w:highlight w:val="none"/>
        </w:rPr>
        <w:t>统计各项</w:t>
      </w:r>
      <w:r>
        <w:rPr>
          <w:color w:val="auto"/>
          <w:sz w:val="28"/>
          <w:szCs w:val="28"/>
          <w:highlight w:val="none"/>
        </w:rPr>
        <w:t>服务中存在的</w:t>
      </w:r>
      <w:r>
        <w:rPr>
          <w:rFonts w:hint="eastAsia"/>
          <w:color w:val="auto"/>
          <w:sz w:val="28"/>
          <w:szCs w:val="28"/>
          <w:highlight w:val="none"/>
        </w:rPr>
        <w:t>各项问题</w:t>
      </w:r>
      <w:r>
        <w:rPr>
          <w:color w:val="auto"/>
          <w:sz w:val="28"/>
          <w:szCs w:val="28"/>
          <w:highlight w:val="none"/>
        </w:rPr>
        <w:t>。</w:t>
      </w:r>
      <w:r>
        <w:rPr>
          <w:rFonts w:hint="eastAsia"/>
          <w:color w:val="auto"/>
          <w:sz w:val="28"/>
          <w:szCs w:val="28"/>
          <w:highlight w:val="none"/>
        </w:rPr>
        <w:t>可生成水印PDF报告，支持导出打印。</w:t>
      </w:r>
    </w:p>
    <w:p>
      <w:pPr>
        <w:spacing w:line="360" w:lineRule="auto"/>
        <w:rPr>
          <w:rFonts w:ascii="宋体" w:hAnsi="宋体"/>
          <w:color w:val="auto"/>
          <w:sz w:val="28"/>
          <w:szCs w:val="28"/>
          <w:highlight w:val="none"/>
        </w:rPr>
      </w:pPr>
      <w:r>
        <w:rPr>
          <w:rFonts w:hint="eastAsia" w:ascii="宋体" w:hAnsi="宋体"/>
          <w:color w:val="auto"/>
          <w:sz w:val="28"/>
          <w:szCs w:val="28"/>
          <w:highlight w:val="none"/>
        </w:rPr>
        <w:t>4.2在线满意度测评</w:t>
      </w:r>
      <w:bookmarkEnd w:id="32"/>
    </w:p>
    <w:p>
      <w:pPr>
        <w:ind w:left="142" w:firstLine="480"/>
        <w:rPr>
          <w:color w:val="auto"/>
          <w:sz w:val="28"/>
          <w:szCs w:val="28"/>
          <w:highlight w:val="none"/>
        </w:rPr>
      </w:pPr>
      <w:r>
        <w:rPr>
          <w:rFonts w:hint="eastAsia"/>
          <w:color w:val="auto"/>
          <w:sz w:val="28"/>
          <w:szCs w:val="28"/>
          <w:highlight w:val="none"/>
        </w:rPr>
        <w:t>在线师生满意度测评功能的各项内容可自定义，可提供现有的满意度测评模板，但测评内容会根据具体情况由系统管理员自定义调整。</w:t>
      </w:r>
    </w:p>
    <w:p>
      <w:pPr>
        <w:spacing w:before="312" w:beforeLines="100" w:after="312" w:afterLines="100" w:line="360" w:lineRule="auto"/>
        <w:outlineLvl w:val="0"/>
        <w:rPr>
          <w:rFonts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四、本项目需进行类似案例演示。</w:t>
      </w: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投标单位需要提供演示视频（U盘寄送，未寄送演示视频视为无效投标），总时长不超过15分钟。4个平台都需要提供类似案例演示，个别没有类似案例的平台，可提供Demo或者设计思路的图文讲解。</w:t>
      </w:r>
    </w:p>
    <w:p>
      <w:pPr>
        <w:spacing w:before="312" w:beforeLines="100" w:after="312" w:afterLines="100" w:line="360" w:lineRule="auto"/>
        <w:outlineLvl w:val="0"/>
        <w:rPr>
          <w:rFonts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五、完成进度和售后服务</w:t>
      </w:r>
    </w:p>
    <w:p>
      <w:pPr>
        <w:pStyle w:val="33"/>
        <w:spacing w:line="360" w:lineRule="auto"/>
        <w:ind w:firstLineChars="0"/>
        <w:rPr>
          <w:rFonts w:ascii="宋体" w:hAns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.本项目需要在</w:t>
      </w:r>
      <w:r>
        <w:rPr>
          <w:rFonts w:hint="eastAsia" w:ascii="宋体" w:hAnsi="宋体"/>
          <w:color w:val="auto"/>
          <w:sz w:val="28"/>
          <w:szCs w:val="28"/>
          <w:highlight w:val="none"/>
        </w:rPr>
        <w:t>150个日历天内完成所有平台部署上线，系统测试、试运行并进入验收，具体完成时间见下表。</w:t>
      </w:r>
    </w:p>
    <w:tbl>
      <w:tblPr>
        <w:tblStyle w:val="18"/>
        <w:tblW w:w="6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9"/>
        <w:gridCol w:w="3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209" w:type="dxa"/>
            <w:vAlign w:val="center"/>
          </w:tcPr>
          <w:p>
            <w:pPr>
              <w:snapToGrid w:val="0"/>
              <w:spacing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rPr>
              <w:t>平台名称</w:t>
            </w:r>
          </w:p>
        </w:tc>
        <w:tc>
          <w:tcPr>
            <w:tcW w:w="3209" w:type="dxa"/>
            <w:vAlign w:val="center"/>
          </w:tcPr>
          <w:p>
            <w:pPr>
              <w:snapToGrid w:val="0"/>
              <w:spacing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rPr>
              <w:t>完成时间（个日历天）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209" w:type="dxa"/>
            <w:vAlign w:val="center"/>
          </w:tcPr>
          <w:p>
            <w:pPr>
              <w:snapToGrid w:val="0"/>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网络报修平台</w:t>
            </w:r>
          </w:p>
        </w:tc>
        <w:tc>
          <w:tcPr>
            <w:tcW w:w="3209" w:type="dxa"/>
            <w:vAlign w:val="center"/>
          </w:tcPr>
          <w:p>
            <w:pPr>
              <w:snapToGrid w:val="0"/>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9" w:type="dxa"/>
            <w:vAlign w:val="center"/>
          </w:tcPr>
          <w:p>
            <w:pPr>
              <w:snapToGrid w:val="0"/>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环境曝光平台</w:t>
            </w:r>
          </w:p>
        </w:tc>
        <w:tc>
          <w:tcPr>
            <w:tcW w:w="3209" w:type="dxa"/>
            <w:vAlign w:val="center"/>
          </w:tcPr>
          <w:p>
            <w:pPr>
              <w:snapToGrid w:val="0"/>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9" w:type="dxa"/>
            <w:vAlign w:val="center"/>
          </w:tcPr>
          <w:p>
            <w:pPr>
              <w:snapToGrid w:val="0"/>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后勤人力资源管理系统</w:t>
            </w:r>
          </w:p>
        </w:tc>
        <w:tc>
          <w:tcPr>
            <w:tcW w:w="3209" w:type="dxa"/>
            <w:vAlign w:val="center"/>
          </w:tcPr>
          <w:p>
            <w:pPr>
              <w:snapToGrid w:val="0"/>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9" w:type="dxa"/>
            <w:vAlign w:val="center"/>
          </w:tcPr>
          <w:p>
            <w:pPr>
              <w:snapToGrid w:val="0"/>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服务评价考核平台</w:t>
            </w:r>
          </w:p>
        </w:tc>
        <w:tc>
          <w:tcPr>
            <w:tcW w:w="3209" w:type="dxa"/>
            <w:vAlign w:val="center"/>
          </w:tcPr>
          <w:p>
            <w:pPr>
              <w:snapToGrid w:val="0"/>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150</w:t>
            </w:r>
          </w:p>
        </w:tc>
      </w:tr>
    </w:tbl>
    <w:p>
      <w:pPr>
        <w:pStyle w:val="33"/>
        <w:spacing w:line="360" w:lineRule="auto"/>
        <w:ind w:firstLineChars="0"/>
        <w:rPr>
          <w:rFonts w:ascii="宋体" w:hAnsi="宋体" w:cs="宋体"/>
          <w:color w:val="auto"/>
          <w:sz w:val="28"/>
          <w:szCs w:val="28"/>
          <w:highlight w:val="none"/>
        </w:rPr>
      </w:pPr>
      <w:r>
        <w:rPr>
          <w:rFonts w:hint="eastAsia" w:ascii="宋体" w:hAnsi="宋体" w:cs="宋体"/>
          <w:color w:val="auto"/>
          <w:sz w:val="28"/>
          <w:szCs w:val="28"/>
          <w:highlight w:val="none"/>
        </w:rPr>
        <w:t>2</w:t>
      </w:r>
      <w:r>
        <w:rPr>
          <w:rFonts w:ascii="宋体" w:hAnsi="宋体" w:cs="宋体"/>
          <w:color w:val="auto"/>
          <w:sz w:val="28"/>
          <w:szCs w:val="28"/>
          <w:highlight w:val="none"/>
        </w:rPr>
        <w:t>.</w:t>
      </w:r>
      <w:r>
        <w:rPr>
          <w:rFonts w:hint="eastAsia" w:ascii="宋体" w:hAnsi="宋体" w:cs="宋体"/>
          <w:color w:val="auto"/>
          <w:sz w:val="28"/>
          <w:szCs w:val="28"/>
          <w:highlight w:val="none"/>
        </w:rPr>
        <w:t>验收合格后，提供免费的不少于三年的</w:t>
      </w:r>
      <w:r>
        <w:rPr>
          <w:rFonts w:hint="eastAsia" w:ascii="宋体" w:hAnsi="宋体"/>
          <w:color w:val="auto"/>
          <w:sz w:val="28"/>
          <w:szCs w:val="28"/>
          <w:highlight w:val="none"/>
        </w:rPr>
        <w:t>平台升级、维护和技术支持服务</w:t>
      </w:r>
      <w:r>
        <w:rPr>
          <w:rFonts w:hint="eastAsia" w:ascii="宋体" w:hAnsi="宋体" w:cs="宋体"/>
          <w:color w:val="auto"/>
          <w:sz w:val="28"/>
          <w:szCs w:val="28"/>
          <w:highlight w:val="none"/>
        </w:rPr>
        <w:t>；</w:t>
      </w:r>
    </w:p>
    <w:p>
      <w:pPr>
        <w:pStyle w:val="33"/>
        <w:spacing w:line="360" w:lineRule="auto"/>
        <w:ind w:firstLineChars="0"/>
        <w:rPr>
          <w:rFonts w:ascii="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.提供7*</w:t>
      </w:r>
      <w:r>
        <w:rPr>
          <w:rFonts w:ascii="宋体" w:hAnsi="宋体" w:cs="宋体"/>
          <w:color w:val="auto"/>
          <w:sz w:val="28"/>
          <w:szCs w:val="28"/>
          <w:highlight w:val="none"/>
        </w:rPr>
        <w:t>24</w:t>
      </w:r>
      <w:r>
        <w:rPr>
          <w:rFonts w:hint="eastAsia" w:ascii="宋体" w:hAnsi="宋体"/>
          <w:color w:val="auto"/>
          <w:sz w:val="28"/>
          <w:szCs w:val="28"/>
          <w:highlight w:val="none"/>
        </w:rPr>
        <w:t>小时在线支持服务；</w:t>
      </w:r>
    </w:p>
    <w:p>
      <w:pPr>
        <w:pStyle w:val="33"/>
        <w:spacing w:line="360" w:lineRule="auto"/>
        <w:ind w:firstLineChars="0"/>
        <w:rPr>
          <w:rFonts w:ascii="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.投标方需提供免费上门安装、调试等系统服务，提供相应配置的详细说明书及现场对相关人员做培训等工作；</w:t>
      </w:r>
    </w:p>
    <w:p>
      <w:pPr>
        <w:pStyle w:val="33"/>
        <w:spacing w:line="360" w:lineRule="auto"/>
        <w:ind w:firstLineChars="0"/>
        <w:rPr>
          <w:rFonts w:ascii="宋体" w:hAns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.全程跟踪项目实施进度，投标方须完成软件的需求制定，并且出具书面需求书，根据校方要求进行功能的修改、软件的开发、软件测试、软件部署及软件后期维护工作。</w:t>
      </w:r>
      <w:r>
        <w:rPr>
          <w:rFonts w:hAnsi="宋体"/>
          <w:b/>
          <w:color w:val="auto"/>
          <w:sz w:val="28"/>
          <w:szCs w:val="28"/>
          <w:highlight w:val="none"/>
        </w:rPr>
        <w:br w:type="page"/>
      </w:r>
    </w:p>
    <w:p>
      <w:pPr>
        <w:widowControl/>
        <w:jc w:val="left"/>
        <w:rPr>
          <w:rFonts w:hAnsi="宋体"/>
          <w:b/>
          <w:color w:val="auto"/>
          <w:sz w:val="36"/>
          <w:szCs w:val="36"/>
          <w:highlight w:val="none"/>
        </w:rPr>
      </w:pPr>
      <w:r>
        <w:rPr>
          <w:rFonts w:hint="eastAsia" w:hAnsi="宋体"/>
          <w:b/>
          <w:color w:val="auto"/>
          <w:sz w:val="28"/>
          <w:szCs w:val="28"/>
          <w:highlight w:val="none"/>
        </w:rPr>
        <w:t>附件</w:t>
      </w:r>
      <w:r>
        <w:rPr>
          <w:rFonts w:hAnsi="宋体"/>
          <w:b/>
          <w:color w:val="auto"/>
          <w:sz w:val="28"/>
          <w:szCs w:val="28"/>
          <w:highlight w:val="none"/>
        </w:rPr>
        <w:t>2</w:t>
      </w:r>
      <w:r>
        <w:rPr>
          <w:rFonts w:hint="eastAsia" w:hAnsi="宋体"/>
          <w:b/>
          <w:color w:val="auto"/>
          <w:sz w:val="28"/>
          <w:szCs w:val="28"/>
          <w:highlight w:val="none"/>
        </w:rPr>
        <w:t>：</w:t>
      </w:r>
    </w:p>
    <w:p>
      <w:pPr>
        <w:tabs>
          <w:tab w:val="left" w:pos="3270"/>
        </w:tabs>
        <w:autoSpaceDE w:val="0"/>
        <w:autoSpaceDN w:val="0"/>
        <w:adjustRightInd w:val="0"/>
        <w:spacing w:line="360" w:lineRule="exact"/>
        <w:rPr>
          <w:rFonts w:ascii="宋体" w:hAnsi="宋体"/>
          <w:b/>
          <w:color w:val="auto"/>
          <w:sz w:val="24"/>
          <w:highlight w:val="none"/>
          <w:lang w:val="zh-CN"/>
        </w:rPr>
      </w:pPr>
      <w:bookmarkStart w:id="33" w:name="_Hlk9862420"/>
    </w:p>
    <w:p>
      <w:pPr>
        <w:autoSpaceDE w:val="0"/>
        <w:autoSpaceDN w:val="0"/>
        <w:adjustRightInd w:val="0"/>
        <w:spacing w:line="360" w:lineRule="exact"/>
        <w:ind w:firstLine="723" w:firstLineChars="200"/>
        <w:jc w:val="center"/>
        <w:rPr>
          <w:rFonts w:ascii="宋体" w:hAnsi="宋体"/>
          <w:b/>
          <w:color w:val="auto"/>
          <w:sz w:val="36"/>
          <w:szCs w:val="36"/>
          <w:highlight w:val="none"/>
          <w:lang w:val="zh-CN"/>
        </w:rPr>
      </w:pPr>
      <w:r>
        <w:rPr>
          <w:rFonts w:hint="eastAsia" w:ascii="宋体" w:hAnsi="宋体"/>
          <w:b/>
          <w:color w:val="auto"/>
          <w:sz w:val="36"/>
          <w:szCs w:val="36"/>
          <w:highlight w:val="none"/>
          <w:lang w:val="zh-CN"/>
        </w:rPr>
        <w:t>投标函</w:t>
      </w:r>
    </w:p>
    <w:p>
      <w:pPr>
        <w:autoSpaceDE w:val="0"/>
        <w:autoSpaceDN w:val="0"/>
        <w:adjustRightInd w:val="0"/>
        <w:spacing w:line="300" w:lineRule="auto"/>
        <w:rPr>
          <w:rFonts w:ascii="宋体" w:hAnsi="宋体"/>
          <w:color w:val="auto"/>
          <w:sz w:val="24"/>
          <w:highlight w:val="none"/>
          <w:lang w:val="zh-CN"/>
        </w:rPr>
      </w:pPr>
      <w:r>
        <w:rPr>
          <w:rFonts w:hint="eastAsia" w:ascii="宋体" w:hAnsi="宋体"/>
          <w:color w:val="auto"/>
          <w:sz w:val="24"/>
          <w:highlight w:val="none"/>
          <w:lang w:val="zh-CN"/>
        </w:rPr>
        <w:t>致：南京信息工程大学</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根据贵方（项目名称）（项目编号）投标邀请，正式授权下述签字人</w:t>
      </w:r>
      <w:r>
        <w:rPr>
          <w:rFonts w:ascii="宋体" w:hAnsi="宋体"/>
          <w:color w:val="auto"/>
          <w:sz w:val="24"/>
          <w:highlight w:val="none"/>
          <w:lang w:val="zh-CN"/>
        </w:rPr>
        <w:t>(</w:t>
      </w:r>
      <w:r>
        <w:rPr>
          <w:rFonts w:hint="eastAsia" w:ascii="宋体" w:hAnsi="宋体"/>
          <w:color w:val="auto"/>
          <w:sz w:val="24"/>
          <w:highlight w:val="none"/>
          <w:lang w:val="zh-CN"/>
        </w:rPr>
        <w:t>姓名和职务</w:t>
      </w:r>
      <w:r>
        <w:rPr>
          <w:rFonts w:ascii="宋体" w:hAnsi="宋体"/>
          <w:color w:val="auto"/>
          <w:sz w:val="24"/>
          <w:highlight w:val="none"/>
          <w:lang w:val="zh-CN"/>
        </w:rPr>
        <w:t>)</w:t>
      </w:r>
      <w:r>
        <w:rPr>
          <w:rFonts w:hint="eastAsia" w:ascii="宋体" w:hAnsi="宋体"/>
          <w:color w:val="auto"/>
          <w:sz w:val="24"/>
          <w:highlight w:val="none"/>
          <w:lang w:val="zh-CN"/>
        </w:rPr>
        <w:t>代表投标人 （投标人名称），提交投标文件。</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color w:val="auto"/>
          <w:sz w:val="24"/>
          <w:highlight w:val="none"/>
        </w:rPr>
      </w:pPr>
      <w:r>
        <w:rPr>
          <w:rFonts w:ascii="宋体" w:hAnsi="宋体"/>
          <w:color w:val="auto"/>
          <w:sz w:val="24"/>
          <w:highlight w:val="none"/>
          <w:lang w:val="zh-CN"/>
        </w:rPr>
        <w:t>1</w:t>
      </w:r>
      <w:r>
        <w:rPr>
          <w:rFonts w:hint="eastAsia" w:ascii="宋体" w:hAnsi="宋体"/>
          <w:color w:val="auto"/>
          <w:sz w:val="24"/>
          <w:highlight w:val="none"/>
          <w:lang w:val="zh-CN"/>
        </w:rPr>
        <w:t>、</w:t>
      </w:r>
      <w:r>
        <w:rPr>
          <w:rFonts w:hint="eastAsia" w:ascii="宋体" w:hAnsi="宋体"/>
          <w:b/>
          <w:color w:val="auto"/>
          <w:sz w:val="24"/>
          <w:highlight w:val="none"/>
          <w:lang w:val="zh-CN"/>
        </w:rPr>
        <w:t>我们的资格条件完全符合政府采购法和本次招标要求</w:t>
      </w:r>
      <w:r>
        <w:rPr>
          <w:rFonts w:hint="eastAsia" w:ascii="宋体" w:hAnsi="宋体"/>
          <w:color w:val="auto"/>
          <w:sz w:val="24"/>
          <w:highlight w:val="none"/>
          <w:lang w:val="zh-CN"/>
        </w:rPr>
        <w:t>，</w:t>
      </w:r>
      <w:r>
        <w:rPr>
          <w:rFonts w:hint="eastAsia" w:ascii="宋体" w:hAnsi="宋体"/>
          <w:color w:val="auto"/>
          <w:sz w:val="24"/>
          <w:highlight w:val="none"/>
        </w:rPr>
        <w:t>我们</w:t>
      </w:r>
      <w:r>
        <w:rPr>
          <w:rFonts w:hint="eastAsia" w:ascii="宋体" w:hAnsi="宋体"/>
          <w:color w:val="auto"/>
          <w:sz w:val="24"/>
          <w:highlight w:val="none"/>
          <w:lang w:val="zh-CN"/>
        </w:rPr>
        <w:t>同意并向贵方提供了与投标有关的所有证据和资料。</w:t>
      </w:r>
    </w:p>
    <w:p>
      <w:pPr>
        <w:autoSpaceDE w:val="0"/>
        <w:autoSpaceDN w:val="0"/>
        <w:adjustRightInd w:val="0"/>
        <w:spacing w:line="300" w:lineRule="auto"/>
        <w:ind w:firstLine="480" w:firstLineChars="200"/>
        <w:rPr>
          <w:rFonts w:ascii="宋体" w:hAnsi="宋体"/>
          <w:color w:val="auto"/>
          <w:sz w:val="24"/>
          <w:highlight w:val="none"/>
          <w:lang w:val="zh-CN"/>
        </w:rPr>
      </w:pPr>
      <w:r>
        <w:rPr>
          <w:rFonts w:ascii="宋体" w:hAnsi="宋体"/>
          <w:color w:val="auto"/>
          <w:sz w:val="24"/>
          <w:highlight w:val="none"/>
        </w:rPr>
        <w:t>2</w:t>
      </w:r>
      <w:r>
        <w:rPr>
          <w:rFonts w:hint="eastAsia" w:ascii="宋体" w:hAnsi="宋体"/>
          <w:color w:val="auto"/>
          <w:sz w:val="24"/>
          <w:highlight w:val="none"/>
        </w:rPr>
        <w:t>、</w:t>
      </w:r>
      <w:r>
        <w:rPr>
          <w:rFonts w:hint="eastAsia" w:ascii="宋体" w:hAnsi="宋体"/>
          <w:color w:val="auto"/>
          <w:sz w:val="24"/>
          <w:highlight w:val="none"/>
          <w:lang w:val="zh-CN"/>
        </w:rPr>
        <w:t>按招标要求，我们的投标总报价为人民币大写</w:t>
      </w:r>
      <w:r>
        <w:rPr>
          <w:rFonts w:hint="eastAsia" w:ascii="宋体" w:hAnsi="宋体"/>
          <w:color w:val="auto"/>
          <w:sz w:val="24"/>
          <w:highlight w:val="none"/>
          <w:u w:val="single"/>
          <w:lang w:val="zh-CN"/>
        </w:rPr>
        <w:t xml:space="preserve">                        ，</w:t>
      </w:r>
      <w:r>
        <w:rPr>
          <w:rFonts w:hint="eastAsia" w:ascii="宋体" w:hAnsi="宋体"/>
          <w:color w:val="auto"/>
          <w:sz w:val="24"/>
          <w:highlight w:val="none"/>
          <w:lang w:val="zh-CN"/>
        </w:rPr>
        <w:t>小写：</w:t>
      </w:r>
      <w:r>
        <w:rPr>
          <w:rFonts w:hint="eastAsia" w:ascii="宋体" w:hAnsi="宋体"/>
          <w:color w:val="auto"/>
          <w:sz w:val="24"/>
          <w:highlight w:val="none"/>
          <w:u w:val="single"/>
          <w:lang w:val="zh-CN"/>
        </w:rPr>
        <w:t>￥         。</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3、项目负责人</w:t>
      </w:r>
      <w:r>
        <w:rPr>
          <w:rFonts w:ascii="宋体" w:hAnsi="宋体"/>
          <w:color w:val="auto"/>
          <w:sz w:val="24"/>
          <w:highlight w:val="none"/>
          <w:lang w:val="zh-CN"/>
        </w:rPr>
        <w:t>(</w:t>
      </w:r>
      <w:r>
        <w:rPr>
          <w:rFonts w:hint="eastAsia" w:ascii="宋体" w:hAnsi="宋体"/>
          <w:color w:val="auto"/>
          <w:sz w:val="24"/>
          <w:highlight w:val="none"/>
          <w:lang w:val="zh-CN"/>
        </w:rPr>
        <w:t>姓名</w:t>
      </w:r>
      <w:r>
        <w:rPr>
          <w:rFonts w:ascii="宋体" w:hAnsi="宋体"/>
          <w:color w:val="auto"/>
          <w:sz w:val="24"/>
          <w:highlight w:val="none"/>
          <w:lang w:val="zh-CN"/>
        </w:rPr>
        <w:t>)</w:t>
      </w:r>
      <w:r>
        <w:rPr>
          <w:rFonts w:hint="eastAsia" w:ascii="宋体" w:hAnsi="宋体"/>
          <w:color w:val="auto"/>
          <w:sz w:val="24"/>
          <w:highlight w:val="none"/>
          <w:lang w:val="zh-CN"/>
        </w:rPr>
        <w:t>，身份证号。</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4、我们已详细审核全部招标文件及其有效补充文件，我们放弃对招标文件任何误解的权利，提交投标文件后，</w:t>
      </w:r>
      <w:r>
        <w:rPr>
          <w:rFonts w:hint="eastAsia" w:ascii="宋体" w:hAnsi="宋体"/>
          <w:b/>
          <w:color w:val="auto"/>
          <w:sz w:val="24"/>
          <w:highlight w:val="none"/>
          <w:lang w:val="zh-CN"/>
        </w:rPr>
        <w:t>不对招标文件本身提出质疑</w:t>
      </w:r>
      <w:r>
        <w:rPr>
          <w:rFonts w:hint="eastAsia" w:ascii="宋体" w:hAnsi="宋体"/>
          <w:color w:val="auto"/>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6、一旦我方中标，我方将根据招标文件的规定严格履行合同，并保证于承诺的时间完成服务的启动</w:t>
      </w:r>
      <w:r>
        <w:rPr>
          <w:rFonts w:ascii="宋体" w:hAnsi="宋体"/>
          <w:color w:val="auto"/>
          <w:sz w:val="24"/>
          <w:highlight w:val="none"/>
          <w:lang w:val="zh-CN"/>
        </w:rPr>
        <w:t>/</w:t>
      </w:r>
      <w:r>
        <w:rPr>
          <w:rFonts w:hint="eastAsia" w:ascii="宋体" w:hAnsi="宋体"/>
          <w:color w:val="auto"/>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color w:val="auto"/>
          <w:sz w:val="24"/>
          <w:highlight w:val="none"/>
          <w:lang w:val="zh-CN"/>
        </w:rPr>
      </w:pPr>
      <w:r>
        <w:rPr>
          <w:rFonts w:ascii="宋体" w:hAnsi="宋体"/>
          <w:color w:val="auto"/>
          <w:sz w:val="24"/>
          <w:highlight w:val="none"/>
          <w:lang w:val="zh-CN"/>
        </w:rPr>
        <w:t>8</w:t>
      </w:r>
      <w:r>
        <w:rPr>
          <w:rFonts w:hint="eastAsia" w:ascii="宋体" w:hAnsi="宋体"/>
          <w:color w:val="auto"/>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地址：</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电话：</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传真：</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开户银行：</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银行账号：</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投标人法定代表人姓名（签字）：</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投标人名称：（盖章）</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日期：     年   月    日</w:t>
      </w:r>
    </w:p>
    <w:p>
      <w:pPr>
        <w:spacing w:line="360" w:lineRule="auto"/>
        <w:rPr>
          <w:rFonts w:ascii="宋体"/>
          <w:b/>
          <w:color w:val="auto"/>
          <w:sz w:val="28"/>
          <w:szCs w:val="28"/>
          <w:highlight w:val="none"/>
        </w:rPr>
      </w:pPr>
      <w:r>
        <w:rPr>
          <w:rFonts w:ascii="宋体" w:hAnsi="宋体"/>
          <w:b/>
          <w:color w:val="auto"/>
          <w:sz w:val="28"/>
          <w:szCs w:val="28"/>
          <w:highlight w:val="none"/>
        </w:rPr>
        <w:br w:type="page"/>
      </w:r>
      <w:r>
        <w:rPr>
          <w:rFonts w:hint="eastAsia" w:ascii="宋体" w:hAnsi="宋体"/>
          <w:b/>
          <w:color w:val="auto"/>
          <w:sz w:val="28"/>
          <w:szCs w:val="28"/>
          <w:highlight w:val="none"/>
        </w:rPr>
        <w:t>附件</w:t>
      </w:r>
      <w:r>
        <w:rPr>
          <w:rFonts w:ascii="宋体" w:hAnsi="宋体"/>
          <w:b/>
          <w:color w:val="auto"/>
          <w:sz w:val="28"/>
          <w:szCs w:val="28"/>
          <w:highlight w:val="none"/>
        </w:rPr>
        <w:t>3</w:t>
      </w:r>
      <w:r>
        <w:rPr>
          <w:rFonts w:hint="eastAsia" w:ascii="宋体" w:hAnsi="宋体"/>
          <w:b/>
          <w:color w:val="auto"/>
          <w:sz w:val="28"/>
          <w:szCs w:val="28"/>
          <w:highlight w:val="none"/>
        </w:rPr>
        <w:t>：</w:t>
      </w:r>
    </w:p>
    <w:p>
      <w:pPr>
        <w:spacing w:line="360" w:lineRule="auto"/>
        <w:jc w:val="center"/>
        <w:rPr>
          <w:rFonts w:ascii="宋体"/>
          <w:color w:val="auto"/>
          <w:sz w:val="44"/>
          <w:szCs w:val="44"/>
          <w:highlight w:val="none"/>
        </w:rPr>
      </w:pPr>
      <w:r>
        <w:rPr>
          <w:rFonts w:hint="eastAsia" w:ascii="宋体" w:hAnsi="宋体"/>
          <w:color w:val="auto"/>
          <w:sz w:val="44"/>
          <w:szCs w:val="44"/>
          <w:highlight w:val="none"/>
        </w:rPr>
        <w:t>投标项目报价明细表</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投标人</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招标编号及分包号</w:t>
      </w:r>
    </w:p>
    <w:p>
      <w:pPr>
        <w:spacing w:line="360" w:lineRule="auto"/>
        <w:rPr>
          <w:rFonts w:ascii="宋体" w:hAnsi="宋体"/>
          <w:color w:val="auto"/>
          <w:sz w:val="28"/>
          <w:szCs w:val="28"/>
          <w:highlight w:val="none"/>
        </w:rPr>
      </w:pPr>
      <w:r>
        <w:rPr>
          <w:rFonts w:hint="eastAsia" w:ascii="宋体" w:hAnsi="宋体"/>
          <w:color w:val="auto"/>
          <w:sz w:val="28"/>
          <w:szCs w:val="28"/>
          <w:highlight w:val="none"/>
        </w:rPr>
        <w:t>投标报价</w:t>
      </w:r>
    </w:p>
    <w:tbl>
      <w:tblPr>
        <w:tblStyle w:val="1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9"/>
        <w:gridCol w:w="2172"/>
        <w:gridCol w:w="1701"/>
        <w:gridCol w:w="1559"/>
        <w:gridCol w:w="1305"/>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9" w:type="dxa"/>
            <w:vAlign w:val="center"/>
          </w:tcPr>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序号</w:t>
            </w:r>
          </w:p>
        </w:tc>
        <w:tc>
          <w:tcPr>
            <w:tcW w:w="2172" w:type="dxa"/>
            <w:vAlign w:val="center"/>
          </w:tcPr>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平台名称</w:t>
            </w:r>
          </w:p>
        </w:tc>
        <w:tc>
          <w:tcPr>
            <w:tcW w:w="1701" w:type="dxa"/>
            <w:vAlign w:val="center"/>
          </w:tcPr>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单价</w:t>
            </w:r>
          </w:p>
        </w:tc>
        <w:tc>
          <w:tcPr>
            <w:tcW w:w="1559" w:type="dxa"/>
            <w:vAlign w:val="center"/>
          </w:tcPr>
          <w:p>
            <w:pPr>
              <w:pStyle w:val="10"/>
              <w:adjustRightInd w:val="0"/>
              <w:snapToGrid w:val="0"/>
              <w:spacing w:before="156" w:after="156" w:line="360" w:lineRule="auto"/>
              <w:ind w:firstLine="470"/>
              <w:rPr>
                <w:rFonts w:hAnsi="宋体"/>
                <w:color w:val="auto"/>
                <w:sz w:val="28"/>
                <w:szCs w:val="28"/>
                <w:highlight w:val="none"/>
              </w:rPr>
            </w:pPr>
            <w:r>
              <w:rPr>
                <w:rFonts w:hAnsi="宋体"/>
                <w:color w:val="auto"/>
                <w:sz w:val="28"/>
                <w:szCs w:val="28"/>
                <w:highlight w:val="none"/>
              </w:rPr>
              <w:t xml:space="preserve">  </w:t>
            </w:r>
            <w:r>
              <w:rPr>
                <w:rFonts w:hint="eastAsia" w:hAnsi="宋体"/>
                <w:color w:val="auto"/>
                <w:sz w:val="28"/>
                <w:szCs w:val="28"/>
                <w:highlight w:val="none"/>
              </w:rPr>
              <w:t>数量</w:t>
            </w:r>
          </w:p>
        </w:tc>
        <w:tc>
          <w:tcPr>
            <w:tcW w:w="1305" w:type="dxa"/>
            <w:vAlign w:val="center"/>
          </w:tcPr>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金额</w:t>
            </w:r>
          </w:p>
        </w:tc>
        <w:tc>
          <w:tcPr>
            <w:tcW w:w="1388" w:type="dxa"/>
            <w:vAlign w:val="center"/>
          </w:tcPr>
          <w:p>
            <w:pPr>
              <w:pStyle w:val="10"/>
              <w:adjustRightInd w:val="0"/>
              <w:snapToGrid w:val="0"/>
              <w:spacing w:before="156" w:after="156" w:line="360" w:lineRule="auto"/>
              <w:rPr>
                <w:rFonts w:hAnsi="宋体"/>
                <w:color w:val="auto"/>
                <w:sz w:val="28"/>
                <w:szCs w:val="28"/>
                <w:highlight w:val="none"/>
              </w:rPr>
            </w:pPr>
            <w:r>
              <w:rPr>
                <w:rFonts w:hint="eastAsia" w:hAnsi="宋体"/>
                <w:color w:val="auto"/>
                <w:sz w:val="28"/>
                <w:szCs w:val="28"/>
                <w:highlight w:val="none"/>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9" w:type="dxa"/>
            <w:vAlign w:val="center"/>
          </w:tcPr>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1</w:t>
            </w:r>
          </w:p>
        </w:tc>
        <w:tc>
          <w:tcPr>
            <w:tcW w:w="2172" w:type="dxa"/>
            <w:vAlign w:val="center"/>
          </w:tcPr>
          <w:p>
            <w:pPr>
              <w:pStyle w:val="10"/>
              <w:adjustRightInd w:val="0"/>
              <w:snapToGrid w:val="0"/>
              <w:spacing w:before="156" w:after="156" w:line="360" w:lineRule="auto"/>
              <w:ind w:firstLine="470"/>
              <w:rPr>
                <w:rFonts w:hAnsi="宋体"/>
                <w:color w:val="auto"/>
                <w:sz w:val="28"/>
                <w:szCs w:val="28"/>
                <w:highlight w:val="none"/>
              </w:rPr>
            </w:pPr>
          </w:p>
        </w:tc>
        <w:tc>
          <w:tcPr>
            <w:tcW w:w="1701" w:type="dxa"/>
            <w:vAlign w:val="center"/>
          </w:tcPr>
          <w:p>
            <w:pPr>
              <w:pStyle w:val="10"/>
              <w:adjustRightInd w:val="0"/>
              <w:snapToGrid w:val="0"/>
              <w:spacing w:before="156" w:after="156" w:line="360" w:lineRule="auto"/>
              <w:ind w:firstLine="470"/>
              <w:rPr>
                <w:rFonts w:hAnsi="宋体"/>
                <w:color w:val="auto"/>
                <w:sz w:val="28"/>
                <w:szCs w:val="28"/>
                <w:highlight w:val="none"/>
              </w:rPr>
            </w:pPr>
          </w:p>
        </w:tc>
        <w:tc>
          <w:tcPr>
            <w:tcW w:w="1559" w:type="dxa"/>
            <w:vAlign w:val="center"/>
          </w:tcPr>
          <w:p>
            <w:pPr>
              <w:pStyle w:val="10"/>
              <w:adjustRightInd w:val="0"/>
              <w:snapToGrid w:val="0"/>
              <w:spacing w:before="156" w:after="156" w:line="360" w:lineRule="auto"/>
              <w:ind w:firstLine="470"/>
              <w:rPr>
                <w:rFonts w:hAnsi="宋体"/>
                <w:color w:val="auto"/>
                <w:sz w:val="28"/>
                <w:szCs w:val="28"/>
                <w:highlight w:val="none"/>
              </w:rPr>
            </w:pPr>
          </w:p>
        </w:tc>
        <w:tc>
          <w:tcPr>
            <w:tcW w:w="1305" w:type="dxa"/>
            <w:vAlign w:val="center"/>
          </w:tcPr>
          <w:p>
            <w:pPr>
              <w:pStyle w:val="10"/>
              <w:adjustRightInd w:val="0"/>
              <w:snapToGrid w:val="0"/>
              <w:spacing w:before="156" w:after="156" w:line="360" w:lineRule="auto"/>
              <w:ind w:firstLine="470"/>
              <w:rPr>
                <w:rFonts w:hAnsi="宋体"/>
                <w:color w:val="auto"/>
                <w:sz w:val="28"/>
                <w:szCs w:val="28"/>
                <w:highlight w:val="none"/>
              </w:rPr>
            </w:pPr>
          </w:p>
        </w:tc>
        <w:tc>
          <w:tcPr>
            <w:tcW w:w="1388" w:type="dxa"/>
            <w:vAlign w:val="center"/>
          </w:tcPr>
          <w:p>
            <w:pPr>
              <w:pStyle w:val="10"/>
              <w:adjustRightInd w:val="0"/>
              <w:snapToGrid w:val="0"/>
              <w:spacing w:before="156" w:after="156" w:line="360" w:lineRule="auto"/>
              <w:ind w:firstLine="470"/>
              <w:rPr>
                <w:rFonts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9" w:type="dxa"/>
            <w:vAlign w:val="center"/>
          </w:tcPr>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2</w:t>
            </w:r>
          </w:p>
        </w:tc>
        <w:tc>
          <w:tcPr>
            <w:tcW w:w="2172" w:type="dxa"/>
            <w:vAlign w:val="center"/>
          </w:tcPr>
          <w:p>
            <w:pPr>
              <w:pStyle w:val="10"/>
              <w:adjustRightInd w:val="0"/>
              <w:snapToGrid w:val="0"/>
              <w:spacing w:before="156" w:after="156" w:line="360" w:lineRule="auto"/>
              <w:ind w:firstLine="470"/>
              <w:rPr>
                <w:rFonts w:hAnsi="宋体"/>
                <w:color w:val="auto"/>
                <w:sz w:val="28"/>
                <w:szCs w:val="28"/>
                <w:highlight w:val="none"/>
              </w:rPr>
            </w:pPr>
          </w:p>
        </w:tc>
        <w:tc>
          <w:tcPr>
            <w:tcW w:w="1701" w:type="dxa"/>
            <w:vAlign w:val="center"/>
          </w:tcPr>
          <w:p>
            <w:pPr>
              <w:pStyle w:val="10"/>
              <w:adjustRightInd w:val="0"/>
              <w:snapToGrid w:val="0"/>
              <w:spacing w:before="156" w:after="156" w:line="360" w:lineRule="auto"/>
              <w:ind w:firstLine="470"/>
              <w:rPr>
                <w:rFonts w:hAnsi="宋体"/>
                <w:color w:val="auto"/>
                <w:sz w:val="28"/>
                <w:szCs w:val="28"/>
                <w:highlight w:val="none"/>
              </w:rPr>
            </w:pPr>
          </w:p>
        </w:tc>
        <w:tc>
          <w:tcPr>
            <w:tcW w:w="1559" w:type="dxa"/>
            <w:vAlign w:val="center"/>
          </w:tcPr>
          <w:p>
            <w:pPr>
              <w:pStyle w:val="10"/>
              <w:adjustRightInd w:val="0"/>
              <w:snapToGrid w:val="0"/>
              <w:spacing w:before="156" w:after="156" w:line="360" w:lineRule="auto"/>
              <w:ind w:firstLine="470"/>
              <w:rPr>
                <w:rFonts w:hAnsi="宋体"/>
                <w:color w:val="auto"/>
                <w:sz w:val="28"/>
                <w:szCs w:val="28"/>
                <w:highlight w:val="none"/>
              </w:rPr>
            </w:pPr>
          </w:p>
        </w:tc>
        <w:tc>
          <w:tcPr>
            <w:tcW w:w="1305" w:type="dxa"/>
            <w:vAlign w:val="center"/>
          </w:tcPr>
          <w:p>
            <w:pPr>
              <w:pStyle w:val="10"/>
              <w:adjustRightInd w:val="0"/>
              <w:snapToGrid w:val="0"/>
              <w:spacing w:before="156" w:after="156" w:line="360" w:lineRule="auto"/>
              <w:ind w:firstLine="470"/>
              <w:rPr>
                <w:rFonts w:hAnsi="宋体"/>
                <w:color w:val="auto"/>
                <w:sz w:val="28"/>
                <w:szCs w:val="28"/>
                <w:highlight w:val="none"/>
              </w:rPr>
            </w:pPr>
          </w:p>
        </w:tc>
        <w:tc>
          <w:tcPr>
            <w:tcW w:w="1388" w:type="dxa"/>
            <w:vAlign w:val="center"/>
          </w:tcPr>
          <w:p>
            <w:pPr>
              <w:pStyle w:val="10"/>
              <w:adjustRightInd w:val="0"/>
              <w:snapToGrid w:val="0"/>
              <w:spacing w:before="156" w:after="156" w:line="360" w:lineRule="auto"/>
              <w:ind w:firstLine="470"/>
              <w:rPr>
                <w:rFonts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9" w:type="dxa"/>
            <w:vAlign w:val="center"/>
          </w:tcPr>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3</w:t>
            </w:r>
          </w:p>
        </w:tc>
        <w:tc>
          <w:tcPr>
            <w:tcW w:w="2172" w:type="dxa"/>
            <w:vAlign w:val="center"/>
          </w:tcPr>
          <w:p>
            <w:pPr>
              <w:pStyle w:val="10"/>
              <w:adjustRightInd w:val="0"/>
              <w:snapToGrid w:val="0"/>
              <w:spacing w:before="156" w:after="156" w:line="360" w:lineRule="auto"/>
              <w:ind w:firstLine="470"/>
              <w:rPr>
                <w:rFonts w:hAnsi="宋体"/>
                <w:color w:val="auto"/>
                <w:sz w:val="28"/>
                <w:szCs w:val="28"/>
                <w:highlight w:val="none"/>
              </w:rPr>
            </w:pPr>
          </w:p>
        </w:tc>
        <w:tc>
          <w:tcPr>
            <w:tcW w:w="1701" w:type="dxa"/>
            <w:vAlign w:val="center"/>
          </w:tcPr>
          <w:p>
            <w:pPr>
              <w:pStyle w:val="10"/>
              <w:adjustRightInd w:val="0"/>
              <w:snapToGrid w:val="0"/>
              <w:spacing w:before="156" w:after="156" w:line="360" w:lineRule="auto"/>
              <w:ind w:firstLine="470"/>
              <w:rPr>
                <w:rFonts w:hAnsi="宋体"/>
                <w:color w:val="auto"/>
                <w:sz w:val="28"/>
                <w:szCs w:val="28"/>
                <w:highlight w:val="none"/>
              </w:rPr>
            </w:pPr>
          </w:p>
        </w:tc>
        <w:tc>
          <w:tcPr>
            <w:tcW w:w="1559" w:type="dxa"/>
            <w:vAlign w:val="center"/>
          </w:tcPr>
          <w:p>
            <w:pPr>
              <w:pStyle w:val="10"/>
              <w:adjustRightInd w:val="0"/>
              <w:snapToGrid w:val="0"/>
              <w:spacing w:before="156" w:after="156" w:line="360" w:lineRule="auto"/>
              <w:ind w:firstLine="470"/>
              <w:rPr>
                <w:rFonts w:hAnsi="宋体"/>
                <w:color w:val="auto"/>
                <w:sz w:val="28"/>
                <w:szCs w:val="28"/>
                <w:highlight w:val="none"/>
              </w:rPr>
            </w:pPr>
          </w:p>
        </w:tc>
        <w:tc>
          <w:tcPr>
            <w:tcW w:w="1305" w:type="dxa"/>
            <w:vAlign w:val="center"/>
          </w:tcPr>
          <w:p>
            <w:pPr>
              <w:pStyle w:val="10"/>
              <w:adjustRightInd w:val="0"/>
              <w:snapToGrid w:val="0"/>
              <w:spacing w:before="156" w:after="156" w:line="360" w:lineRule="auto"/>
              <w:ind w:firstLine="470"/>
              <w:rPr>
                <w:rFonts w:hAnsi="宋体"/>
                <w:color w:val="auto"/>
                <w:sz w:val="28"/>
                <w:szCs w:val="28"/>
                <w:highlight w:val="none"/>
              </w:rPr>
            </w:pPr>
          </w:p>
        </w:tc>
        <w:tc>
          <w:tcPr>
            <w:tcW w:w="1388" w:type="dxa"/>
            <w:vAlign w:val="center"/>
          </w:tcPr>
          <w:p>
            <w:pPr>
              <w:pStyle w:val="10"/>
              <w:adjustRightInd w:val="0"/>
              <w:snapToGrid w:val="0"/>
              <w:spacing w:before="156" w:after="156" w:line="360" w:lineRule="auto"/>
              <w:ind w:firstLine="470"/>
              <w:rPr>
                <w:rFonts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9" w:type="dxa"/>
            <w:vAlign w:val="center"/>
          </w:tcPr>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4</w:t>
            </w:r>
          </w:p>
        </w:tc>
        <w:tc>
          <w:tcPr>
            <w:tcW w:w="2172" w:type="dxa"/>
            <w:vAlign w:val="center"/>
          </w:tcPr>
          <w:p>
            <w:pPr>
              <w:pStyle w:val="10"/>
              <w:adjustRightInd w:val="0"/>
              <w:snapToGrid w:val="0"/>
              <w:spacing w:before="156" w:after="156" w:line="360" w:lineRule="auto"/>
              <w:ind w:firstLine="470"/>
              <w:rPr>
                <w:rFonts w:hAnsi="宋体"/>
                <w:color w:val="auto"/>
                <w:sz w:val="28"/>
                <w:szCs w:val="28"/>
                <w:highlight w:val="none"/>
              </w:rPr>
            </w:pPr>
          </w:p>
        </w:tc>
        <w:tc>
          <w:tcPr>
            <w:tcW w:w="1701" w:type="dxa"/>
            <w:vAlign w:val="center"/>
          </w:tcPr>
          <w:p>
            <w:pPr>
              <w:pStyle w:val="10"/>
              <w:adjustRightInd w:val="0"/>
              <w:snapToGrid w:val="0"/>
              <w:spacing w:before="156" w:after="156" w:line="360" w:lineRule="auto"/>
              <w:ind w:firstLine="470"/>
              <w:rPr>
                <w:rFonts w:hAnsi="宋体"/>
                <w:color w:val="auto"/>
                <w:sz w:val="28"/>
                <w:szCs w:val="28"/>
                <w:highlight w:val="none"/>
              </w:rPr>
            </w:pPr>
          </w:p>
        </w:tc>
        <w:tc>
          <w:tcPr>
            <w:tcW w:w="1559" w:type="dxa"/>
            <w:vAlign w:val="center"/>
          </w:tcPr>
          <w:p>
            <w:pPr>
              <w:pStyle w:val="10"/>
              <w:adjustRightInd w:val="0"/>
              <w:snapToGrid w:val="0"/>
              <w:spacing w:before="156" w:after="156" w:line="360" w:lineRule="auto"/>
              <w:ind w:firstLine="470"/>
              <w:rPr>
                <w:rFonts w:hAnsi="宋体"/>
                <w:color w:val="auto"/>
                <w:sz w:val="28"/>
                <w:szCs w:val="28"/>
                <w:highlight w:val="none"/>
              </w:rPr>
            </w:pPr>
          </w:p>
        </w:tc>
        <w:tc>
          <w:tcPr>
            <w:tcW w:w="1305" w:type="dxa"/>
            <w:vAlign w:val="center"/>
          </w:tcPr>
          <w:p>
            <w:pPr>
              <w:pStyle w:val="10"/>
              <w:adjustRightInd w:val="0"/>
              <w:snapToGrid w:val="0"/>
              <w:spacing w:before="156" w:after="156" w:line="360" w:lineRule="auto"/>
              <w:ind w:firstLine="470"/>
              <w:rPr>
                <w:rFonts w:hAnsi="宋体"/>
                <w:color w:val="auto"/>
                <w:sz w:val="28"/>
                <w:szCs w:val="28"/>
                <w:highlight w:val="none"/>
              </w:rPr>
            </w:pPr>
          </w:p>
        </w:tc>
        <w:tc>
          <w:tcPr>
            <w:tcW w:w="1388" w:type="dxa"/>
            <w:vAlign w:val="center"/>
          </w:tcPr>
          <w:p>
            <w:pPr>
              <w:pStyle w:val="10"/>
              <w:adjustRightInd w:val="0"/>
              <w:snapToGrid w:val="0"/>
              <w:spacing w:before="156" w:after="156" w:line="360" w:lineRule="auto"/>
              <w:ind w:firstLine="470"/>
              <w:rPr>
                <w:rFonts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4" w:type="dxa"/>
            <w:gridSpan w:val="6"/>
            <w:vAlign w:val="center"/>
          </w:tcPr>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合计总价     大写：                 小写：</w:t>
            </w:r>
          </w:p>
        </w:tc>
      </w:tr>
    </w:tbl>
    <w:p>
      <w:pPr>
        <w:pStyle w:val="2"/>
        <w:ind w:left="1470" w:right="1470"/>
        <w:rPr>
          <w:color w:val="auto"/>
          <w:highlight w:val="none"/>
        </w:rPr>
      </w:pPr>
    </w:p>
    <w:p>
      <w:pPr>
        <w:spacing w:line="360" w:lineRule="auto"/>
        <w:rPr>
          <w:rFonts w:ascii="宋体"/>
          <w:color w:val="auto"/>
          <w:sz w:val="28"/>
          <w:szCs w:val="28"/>
          <w:highlight w:val="none"/>
        </w:rPr>
      </w:pPr>
      <w:r>
        <w:rPr>
          <w:rFonts w:hint="eastAsia" w:ascii="宋体" w:hAnsi="宋体"/>
          <w:color w:val="auto"/>
          <w:sz w:val="28"/>
          <w:szCs w:val="28"/>
          <w:highlight w:val="none"/>
        </w:rPr>
        <w:t>（可续页）</w:t>
      </w:r>
    </w:p>
    <w:p>
      <w:pPr>
        <w:spacing w:line="360" w:lineRule="auto"/>
        <w:rPr>
          <w:rFonts w:ascii="宋体"/>
          <w:color w:val="auto"/>
          <w:sz w:val="28"/>
          <w:szCs w:val="28"/>
          <w:highlight w:val="none"/>
        </w:rPr>
      </w:pPr>
    </w:p>
    <w:p>
      <w:pPr>
        <w:spacing w:line="360" w:lineRule="auto"/>
        <w:rPr>
          <w:rFonts w:ascii="宋体"/>
          <w:color w:val="auto"/>
          <w:sz w:val="28"/>
          <w:szCs w:val="28"/>
          <w:highlight w:val="none"/>
          <w:u w:val="single"/>
        </w:rPr>
      </w:pPr>
      <w:r>
        <w:rPr>
          <w:rFonts w:hint="eastAsia" w:ascii="宋体" w:hAnsi="宋体"/>
          <w:color w:val="auto"/>
          <w:sz w:val="28"/>
          <w:szCs w:val="28"/>
          <w:highlight w:val="none"/>
        </w:rPr>
        <w:t>单位盖章：</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授权代表签字：</w:t>
      </w:r>
    </w:p>
    <w:p>
      <w:pPr>
        <w:spacing w:line="360" w:lineRule="auto"/>
        <w:rPr>
          <w:rFonts w:ascii="宋体"/>
          <w:color w:val="auto"/>
          <w:sz w:val="28"/>
          <w:szCs w:val="28"/>
          <w:highlight w:val="none"/>
        </w:rPr>
      </w:pPr>
    </w:p>
    <w:p>
      <w:pPr>
        <w:spacing w:line="360" w:lineRule="auto"/>
        <w:rPr>
          <w:rFonts w:ascii="宋体"/>
          <w:color w:val="auto"/>
          <w:sz w:val="28"/>
          <w:szCs w:val="28"/>
          <w:highlight w:val="none"/>
        </w:rPr>
      </w:pPr>
      <w:r>
        <w:rPr>
          <w:rFonts w:hint="eastAsia" w:ascii="宋体" w:hAnsi="宋体"/>
          <w:color w:val="auto"/>
          <w:sz w:val="28"/>
          <w:szCs w:val="28"/>
          <w:highlight w:val="none"/>
        </w:rPr>
        <w:t>年月日</w:t>
      </w:r>
    </w:p>
    <w:p>
      <w:pPr>
        <w:widowControl/>
        <w:jc w:val="left"/>
        <w:rPr>
          <w:b/>
          <w:color w:val="auto"/>
          <w:sz w:val="28"/>
          <w:szCs w:val="28"/>
          <w:highlight w:val="none"/>
        </w:rPr>
      </w:pPr>
      <w:r>
        <w:rPr>
          <w:b/>
          <w:color w:val="auto"/>
          <w:sz w:val="28"/>
          <w:szCs w:val="28"/>
          <w:highlight w:val="none"/>
        </w:rPr>
        <w:br w:type="page"/>
      </w:r>
    </w:p>
    <w:p>
      <w:pPr>
        <w:jc w:val="left"/>
        <w:rPr>
          <w:b/>
          <w:color w:val="auto"/>
          <w:sz w:val="28"/>
          <w:szCs w:val="28"/>
          <w:highlight w:val="none"/>
        </w:rPr>
      </w:pPr>
    </w:p>
    <w:bookmarkEnd w:id="9"/>
    <w:bookmarkEnd w:id="33"/>
    <w:p>
      <w:pPr>
        <w:jc w:val="left"/>
        <w:rPr>
          <w:b/>
          <w:color w:val="auto"/>
          <w:sz w:val="28"/>
          <w:szCs w:val="28"/>
          <w:highlight w:val="none"/>
        </w:rPr>
      </w:pPr>
      <w:r>
        <w:rPr>
          <w:rFonts w:hint="eastAsia"/>
          <w:b/>
          <w:color w:val="auto"/>
          <w:sz w:val="28"/>
          <w:szCs w:val="28"/>
          <w:highlight w:val="none"/>
        </w:rPr>
        <w:t>附件</w:t>
      </w:r>
      <w:r>
        <w:rPr>
          <w:b/>
          <w:color w:val="auto"/>
          <w:sz w:val="28"/>
          <w:szCs w:val="28"/>
          <w:highlight w:val="none"/>
        </w:rPr>
        <w:t>4</w:t>
      </w:r>
      <w:r>
        <w:rPr>
          <w:rFonts w:hint="eastAsia"/>
          <w:b/>
          <w:color w:val="auto"/>
          <w:sz w:val="28"/>
          <w:szCs w:val="28"/>
          <w:highlight w:val="none"/>
        </w:rPr>
        <w:t>：服务要求</w:t>
      </w:r>
    </w:p>
    <w:p>
      <w:pPr>
        <w:adjustRightInd w:val="0"/>
        <w:snapToGrid w:val="0"/>
        <w:spacing w:line="360" w:lineRule="auto"/>
        <w:ind w:firstLine="562" w:firstLineChars="200"/>
        <w:rPr>
          <w:rFonts w:ascii="宋体" w:hAnsi="宋体"/>
          <w:b/>
          <w:bCs/>
          <w:color w:val="auto"/>
          <w:sz w:val="28"/>
          <w:szCs w:val="28"/>
          <w:highlight w:val="none"/>
        </w:rPr>
      </w:pPr>
      <w:r>
        <w:rPr>
          <w:rFonts w:hint="eastAsia" w:ascii="宋体" w:hAnsi="宋体"/>
          <w:b/>
          <w:bCs/>
          <w:color w:val="auto"/>
          <w:sz w:val="28"/>
          <w:szCs w:val="28"/>
          <w:highlight w:val="none"/>
        </w:rPr>
        <w:t>1</w:t>
      </w:r>
      <w:r>
        <w:rPr>
          <w:rFonts w:ascii="宋体" w:hAnsi="宋体"/>
          <w:b/>
          <w:bCs/>
          <w:color w:val="auto"/>
          <w:sz w:val="28"/>
          <w:szCs w:val="28"/>
          <w:highlight w:val="none"/>
        </w:rPr>
        <w:t>.交货期及交货地点</w:t>
      </w: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1.1</w:t>
      </w:r>
      <w:r>
        <w:rPr>
          <w:rFonts w:ascii="宋体" w:hAnsi="宋体"/>
          <w:color w:val="auto"/>
          <w:sz w:val="28"/>
          <w:szCs w:val="28"/>
          <w:highlight w:val="none"/>
        </w:rPr>
        <w:t>交货期</w:t>
      </w:r>
      <w:r>
        <w:rPr>
          <w:rFonts w:hint="eastAsia" w:ascii="宋体" w:hAnsi="宋体"/>
          <w:color w:val="auto"/>
          <w:sz w:val="28"/>
          <w:szCs w:val="28"/>
          <w:highlight w:val="none"/>
        </w:rPr>
        <w:t>：</w:t>
      </w:r>
      <w:r>
        <w:rPr>
          <w:rFonts w:ascii="宋体" w:hAnsi="宋体"/>
          <w:color w:val="auto"/>
          <w:sz w:val="28"/>
          <w:szCs w:val="28"/>
          <w:highlight w:val="none"/>
        </w:rPr>
        <w:t>自合同签订之日起</w:t>
      </w:r>
      <w:r>
        <w:rPr>
          <w:rFonts w:hint="eastAsia" w:ascii="宋体" w:hAnsi="宋体"/>
          <w:color w:val="auto"/>
          <w:sz w:val="28"/>
          <w:szCs w:val="28"/>
          <w:highlight w:val="none"/>
        </w:rPr>
        <w:t>150</w:t>
      </w:r>
      <w:r>
        <w:rPr>
          <w:rFonts w:ascii="宋体" w:hAnsi="宋体"/>
          <w:color w:val="auto"/>
          <w:sz w:val="28"/>
          <w:szCs w:val="28"/>
          <w:highlight w:val="none"/>
        </w:rPr>
        <w:t>个</w:t>
      </w:r>
      <w:r>
        <w:rPr>
          <w:rFonts w:hint="eastAsia" w:ascii="宋体" w:hAnsi="宋体"/>
          <w:color w:val="auto"/>
          <w:sz w:val="28"/>
          <w:szCs w:val="28"/>
          <w:highlight w:val="none"/>
        </w:rPr>
        <w:t>日历天</w:t>
      </w:r>
      <w:r>
        <w:rPr>
          <w:rFonts w:ascii="宋体" w:hAnsi="宋体"/>
          <w:color w:val="auto"/>
          <w:sz w:val="28"/>
          <w:szCs w:val="28"/>
          <w:highlight w:val="none"/>
        </w:rPr>
        <w:t>内完成</w:t>
      </w:r>
      <w:r>
        <w:rPr>
          <w:rFonts w:hint="eastAsia" w:ascii="宋体" w:hAnsi="宋体"/>
          <w:color w:val="auto"/>
          <w:sz w:val="28"/>
          <w:szCs w:val="28"/>
          <w:highlight w:val="none"/>
        </w:rPr>
        <w:t>整个</w:t>
      </w:r>
      <w:r>
        <w:rPr>
          <w:rFonts w:ascii="宋体" w:hAnsi="宋体"/>
          <w:color w:val="auto"/>
          <w:sz w:val="28"/>
          <w:szCs w:val="28"/>
          <w:highlight w:val="none"/>
        </w:rPr>
        <w:t>项目。</w:t>
      </w: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1.</w:t>
      </w:r>
      <w:r>
        <w:rPr>
          <w:rFonts w:ascii="宋体" w:hAnsi="宋体"/>
          <w:color w:val="auto"/>
          <w:sz w:val="28"/>
          <w:szCs w:val="28"/>
          <w:highlight w:val="none"/>
        </w:rPr>
        <w:t>2交货地点：采购人指定地点。</w:t>
      </w:r>
    </w:p>
    <w:p>
      <w:pPr>
        <w:adjustRightInd w:val="0"/>
        <w:snapToGrid w:val="0"/>
        <w:spacing w:line="360" w:lineRule="auto"/>
        <w:ind w:firstLine="562" w:firstLineChars="200"/>
        <w:rPr>
          <w:rFonts w:ascii="宋体" w:hAnsi="宋体"/>
          <w:b/>
          <w:bCs/>
          <w:color w:val="auto"/>
          <w:sz w:val="28"/>
          <w:szCs w:val="28"/>
          <w:highlight w:val="none"/>
        </w:rPr>
      </w:pPr>
      <w:r>
        <w:rPr>
          <w:rFonts w:hint="eastAsia" w:ascii="宋体" w:hAnsi="宋体"/>
          <w:b/>
          <w:bCs/>
          <w:color w:val="auto"/>
          <w:sz w:val="28"/>
          <w:szCs w:val="28"/>
          <w:highlight w:val="none"/>
        </w:rPr>
        <w:t>2</w:t>
      </w:r>
      <w:r>
        <w:rPr>
          <w:rFonts w:ascii="宋体" w:hAnsi="宋体"/>
          <w:b/>
          <w:bCs/>
          <w:color w:val="auto"/>
          <w:sz w:val="28"/>
          <w:szCs w:val="28"/>
          <w:highlight w:val="none"/>
        </w:rPr>
        <w:t>.质保期要求</w:t>
      </w: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2.</w:t>
      </w:r>
      <w:r>
        <w:rPr>
          <w:rFonts w:ascii="宋体" w:hAnsi="宋体"/>
          <w:color w:val="auto"/>
          <w:sz w:val="28"/>
          <w:szCs w:val="28"/>
          <w:highlight w:val="none"/>
        </w:rPr>
        <w:t>1要求提供</w:t>
      </w:r>
      <w:r>
        <w:rPr>
          <w:rFonts w:hint="eastAsia" w:ascii="宋体" w:hAnsi="宋体"/>
          <w:color w:val="auto"/>
          <w:sz w:val="28"/>
          <w:szCs w:val="28"/>
          <w:highlight w:val="none"/>
        </w:rPr>
        <w:t>不低于三</w:t>
      </w:r>
      <w:r>
        <w:rPr>
          <w:rFonts w:ascii="宋体" w:hAnsi="宋体"/>
          <w:color w:val="auto"/>
          <w:sz w:val="28"/>
          <w:szCs w:val="28"/>
          <w:highlight w:val="none"/>
        </w:rPr>
        <w:t>年免费原厂运维服务（含版本升级），自正式验收合格之日开始计算。</w:t>
      </w: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2.</w:t>
      </w:r>
      <w:r>
        <w:rPr>
          <w:rFonts w:ascii="宋体" w:hAnsi="宋体"/>
          <w:color w:val="auto"/>
          <w:sz w:val="28"/>
          <w:szCs w:val="28"/>
          <w:highlight w:val="none"/>
        </w:rPr>
        <w:t>2要求提供7×12小时售后服务和技术支持。在保修期内提供免费质保服务；超出保修期后，也应参照合同规定的价格继续提供用户服务。</w:t>
      </w: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2.3</w:t>
      </w:r>
      <w:r>
        <w:rPr>
          <w:rFonts w:ascii="宋体" w:hAnsi="宋体"/>
          <w:color w:val="auto"/>
          <w:sz w:val="28"/>
          <w:szCs w:val="28"/>
          <w:highlight w:val="none"/>
        </w:rPr>
        <w:t>免费服务期满后，双方共同协商签订有偿技术支持服务协议，费用不得高于项目总额的8%。</w:t>
      </w:r>
    </w:p>
    <w:p>
      <w:pPr>
        <w:adjustRightInd w:val="0"/>
        <w:snapToGrid w:val="0"/>
        <w:spacing w:line="360" w:lineRule="auto"/>
        <w:ind w:firstLine="562" w:firstLineChars="200"/>
        <w:rPr>
          <w:rFonts w:ascii="宋体" w:hAnsi="宋体"/>
          <w:b/>
          <w:bCs/>
          <w:color w:val="auto"/>
          <w:sz w:val="28"/>
          <w:szCs w:val="28"/>
          <w:highlight w:val="none"/>
        </w:rPr>
      </w:pPr>
      <w:r>
        <w:rPr>
          <w:rFonts w:hint="eastAsia" w:ascii="宋体" w:hAnsi="宋体"/>
          <w:b/>
          <w:bCs/>
          <w:color w:val="auto"/>
          <w:sz w:val="28"/>
          <w:szCs w:val="28"/>
          <w:highlight w:val="none"/>
        </w:rPr>
        <w:t>3.</w:t>
      </w:r>
      <w:r>
        <w:rPr>
          <w:rFonts w:ascii="宋体" w:hAnsi="宋体"/>
          <w:b/>
          <w:bCs/>
          <w:color w:val="auto"/>
          <w:sz w:val="28"/>
          <w:szCs w:val="28"/>
          <w:highlight w:val="none"/>
        </w:rPr>
        <w:t>验收</w:t>
      </w: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对照供货清单逐一验收，安装调试结束，能正常使用。</w:t>
      </w:r>
    </w:p>
    <w:p>
      <w:pPr>
        <w:adjustRightInd w:val="0"/>
        <w:snapToGrid w:val="0"/>
        <w:spacing w:line="360" w:lineRule="auto"/>
        <w:ind w:firstLine="562" w:firstLineChars="200"/>
        <w:rPr>
          <w:rFonts w:ascii="宋体" w:hAnsi="宋体"/>
          <w:b/>
          <w:bCs/>
          <w:color w:val="auto"/>
          <w:sz w:val="28"/>
          <w:szCs w:val="28"/>
          <w:highlight w:val="none"/>
        </w:rPr>
      </w:pPr>
      <w:r>
        <w:rPr>
          <w:rFonts w:hint="eastAsia" w:ascii="宋体" w:hAnsi="宋体"/>
          <w:b/>
          <w:bCs/>
          <w:color w:val="auto"/>
          <w:sz w:val="28"/>
          <w:szCs w:val="28"/>
          <w:highlight w:val="none"/>
        </w:rPr>
        <w:t>4</w:t>
      </w:r>
      <w:r>
        <w:rPr>
          <w:rFonts w:ascii="宋体" w:hAnsi="宋体"/>
          <w:b/>
          <w:bCs/>
          <w:color w:val="auto"/>
          <w:sz w:val="28"/>
          <w:szCs w:val="28"/>
          <w:highlight w:val="none"/>
        </w:rPr>
        <w:t>.安装</w:t>
      </w: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4.</w:t>
      </w:r>
      <w:r>
        <w:rPr>
          <w:rFonts w:ascii="宋体" w:hAnsi="宋体"/>
          <w:color w:val="auto"/>
          <w:sz w:val="28"/>
          <w:szCs w:val="28"/>
          <w:highlight w:val="none"/>
        </w:rPr>
        <w:t>1安装时间：由投标人自报。</w:t>
      </w: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4.</w:t>
      </w:r>
      <w:r>
        <w:rPr>
          <w:rFonts w:ascii="宋体" w:hAnsi="宋体"/>
          <w:color w:val="auto"/>
          <w:sz w:val="28"/>
          <w:szCs w:val="28"/>
          <w:highlight w:val="none"/>
        </w:rPr>
        <w:t>2安装费：包含在报价总价内。</w:t>
      </w: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r>
        <w:rPr>
          <w:rFonts w:hint="eastAsia" w:ascii="宋体" w:hAnsi="宋体" w:cs="仿宋"/>
          <w:b/>
          <w:bCs/>
          <w:color w:val="auto"/>
          <w:sz w:val="28"/>
          <w:szCs w:val="28"/>
          <w:highlight w:val="none"/>
        </w:rPr>
        <w:t>附件</w:t>
      </w:r>
      <w:r>
        <w:rPr>
          <w:rFonts w:ascii="宋体" w:hAnsi="宋体" w:cs="仿宋"/>
          <w:b/>
          <w:bCs/>
          <w:color w:val="auto"/>
          <w:sz w:val="28"/>
          <w:szCs w:val="28"/>
          <w:highlight w:val="none"/>
        </w:rPr>
        <w:t>5</w:t>
      </w:r>
      <w:r>
        <w:rPr>
          <w:rFonts w:hint="eastAsia" w:ascii="宋体" w:hAnsi="宋体" w:cs="仿宋"/>
          <w:b/>
          <w:bCs/>
          <w:color w:val="auto"/>
          <w:sz w:val="28"/>
          <w:szCs w:val="28"/>
          <w:highlight w:val="none"/>
        </w:rPr>
        <w:t>：评标办法</w:t>
      </w:r>
    </w:p>
    <w:p>
      <w:pPr>
        <w:adjustRightInd w:val="0"/>
        <w:snapToGrid w:val="0"/>
        <w:spacing w:line="360" w:lineRule="auto"/>
        <w:ind w:firstLine="480" w:firstLineChars="200"/>
        <w:rPr>
          <w:rFonts w:ascii="宋体" w:hAnsi="宋体" w:cs="仿宋"/>
          <w:color w:val="auto"/>
          <w:sz w:val="24"/>
          <w:highlight w:val="none"/>
        </w:rPr>
      </w:pPr>
      <w:r>
        <w:rPr>
          <w:rFonts w:hint="eastAsia" w:ascii="宋体" w:hAnsi="宋体"/>
          <w:bCs/>
          <w:snapToGrid w:val="0"/>
          <w:color w:val="auto"/>
          <w:kern w:val="0"/>
          <w:sz w:val="24"/>
          <w:szCs w:val="21"/>
          <w:highlight w:val="none"/>
        </w:rPr>
        <w:t>评委会将对确定为实质性响应招标文件要求的投标文件进行评价和比较，评标采用</w:t>
      </w:r>
      <w:r>
        <w:rPr>
          <w:rFonts w:hint="eastAsia" w:ascii="宋体" w:hAnsi="宋体"/>
          <w:b/>
          <w:bCs/>
          <w:snapToGrid w:val="0"/>
          <w:color w:val="auto"/>
          <w:kern w:val="0"/>
          <w:sz w:val="24"/>
          <w:szCs w:val="21"/>
          <w:highlight w:val="none"/>
        </w:rPr>
        <w:t>综合评分法</w:t>
      </w:r>
      <w:r>
        <w:rPr>
          <w:rFonts w:hint="eastAsia" w:ascii="宋体" w:hAnsi="宋体"/>
          <w:bCs/>
          <w:snapToGrid w:val="0"/>
          <w:color w:val="auto"/>
          <w:kern w:val="0"/>
          <w:sz w:val="24"/>
          <w:szCs w:val="21"/>
          <w:highlight w:val="none"/>
        </w:rPr>
        <w:t>确定中标候选人。按评审后得分由高到低顺序排列。得分相同的，按投标报价由低到高顺序排列</w:t>
      </w:r>
      <w:r>
        <w:rPr>
          <w:rFonts w:hint="eastAsia" w:ascii="宋体" w:hAnsi="宋体" w:cs="仿宋"/>
          <w:color w:val="auto"/>
          <w:sz w:val="24"/>
          <w:highlight w:val="none"/>
        </w:rPr>
        <w:t>。得分且投标报价相同的，按技术指标优劣顺序排列。</w:t>
      </w:r>
    </w:p>
    <w:tbl>
      <w:tblPr>
        <w:tblStyle w:val="17"/>
        <w:tblW w:w="9209" w:type="dxa"/>
        <w:jc w:val="center"/>
        <w:tblLayout w:type="fixed"/>
        <w:tblCellMar>
          <w:top w:w="0" w:type="dxa"/>
          <w:left w:w="108" w:type="dxa"/>
          <w:bottom w:w="0" w:type="dxa"/>
          <w:right w:w="108" w:type="dxa"/>
        </w:tblCellMar>
      </w:tblPr>
      <w:tblGrid>
        <w:gridCol w:w="704"/>
        <w:gridCol w:w="1306"/>
        <w:gridCol w:w="804"/>
        <w:gridCol w:w="4590"/>
        <w:gridCol w:w="1805"/>
      </w:tblGrid>
      <w:tr>
        <w:tblPrEx>
          <w:tblCellMar>
            <w:top w:w="0" w:type="dxa"/>
            <w:left w:w="108" w:type="dxa"/>
            <w:bottom w:w="0" w:type="dxa"/>
            <w:right w:w="108" w:type="dxa"/>
          </w:tblCellMar>
        </w:tblPrEx>
        <w:trPr>
          <w:cantSplit/>
          <w:trHeight w:val="40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line="276" w:lineRule="auto"/>
              <w:rPr>
                <w:rFonts w:ascii="宋体" w:hAnsi="宋体" w:cs="宋体"/>
                <w:b/>
                <w:bCs/>
                <w:color w:val="auto"/>
                <w:sz w:val="24"/>
                <w:highlight w:val="none"/>
              </w:rPr>
            </w:pPr>
            <w:r>
              <w:rPr>
                <w:rFonts w:hint="eastAsia" w:ascii="宋体" w:hAnsi="宋体"/>
                <w:b/>
                <w:bCs/>
                <w:color w:val="auto"/>
                <w:sz w:val="24"/>
                <w:highlight w:val="none"/>
              </w:rPr>
              <w:t>序号</w:t>
            </w:r>
          </w:p>
        </w:tc>
        <w:tc>
          <w:tcPr>
            <w:tcW w:w="1306" w:type="dxa"/>
            <w:tcBorders>
              <w:top w:val="single" w:color="auto" w:sz="4" w:space="0"/>
              <w:left w:val="nil"/>
              <w:bottom w:val="single" w:color="auto" w:sz="4" w:space="0"/>
              <w:right w:val="single" w:color="auto" w:sz="4" w:space="0"/>
            </w:tcBorders>
            <w:vAlign w:val="center"/>
          </w:tcPr>
          <w:p>
            <w:pPr>
              <w:spacing w:before="120" w:line="276" w:lineRule="auto"/>
              <w:rPr>
                <w:rFonts w:ascii="宋体" w:hAnsi="宋体" w:cs="宋体"/>
                <w:b/>
                <w:bCs/>
                <w:color w:val="auto"/>
                <w:sz w:val="24"/>
                <w:highlight w:val="none"/>
              </w:rPr>
            </w:pPr>
            <w:r>
              <w:rPr>
                <w:rFonts w:hint="eastAsia" w:ascii="宋体" w:hAnsi="宋体"/>
                <w:b/>
                <w:bCs/>
                <w:color w:val="auto"/>
                <w:sz w:val="24"/>
                <w:highlight w:val="none"/>
              </w:rPr>
              <w:t>评分因素</w:t>
            </w:r>
          </w:p>
        </w:tc>
        <w:tc>
          <w:tcPr>
            <w:tcW w:w="804" w:type="dxa"/>
            <w:tcBorders>
              <w:top w:val="single" w:color="auto" w:sz="4" w:space="0"/>
              <w:left w:val="nil"/>
              <w:bottom w:val="single" w:color="auto" w:sz="4" w:space="0"/>
              <w:right w:val="single" w:color="auto" w:sz="4" w:space="0"/>
            </w:tcBorders>
            <w:vAlign w:val="center"/>
          </w:tcPr>
          <w:p>
            <w:pPr>
              <w:spacing w:before="120" w:line="276" w:lineRule="auto"/>
              <w:rPr>
                <w:rFonts w:ascii="宋体" w:hAnsi="宋体" w:cs="宋体"/>
                <w:b/>
                <w:bCs/>
                <w:color w:val="auto"/>
                <w:sz w:val="24"/>
                <w:highlight w:val="none"/>
              </w:rPr>
            </w:pPr>
            <w:r>
              <w:rPr>
                <w:rFonts w:hint="eastAsia" w:ascii="宋体" w:hAnsi="宋体"/>
                <w:b/>
                <w:bCs/>
                <w:color w:val="auto"/>
                <w:sz w:val="24"/>
                <w:highlight w:val="none"/>
              </w:rPr>
              <w:t>分值</w:t>
            </w:r>
          </w:p>
        </w:tc>
        <w:tc>
          <w:tcPr>
            <w:tcW w:w="4590" w:type="dxa"/>
            <w:tcBorders>
              <w:top w:val="single" w:color="auto" w:sz="4" w:space="0"/>
              <w:left w:val="nil"/>
              <w:bottom w:val="single" w:color="auto" w:sz="4" w:space="0"/>
              <w:right w:val="single" w:color="auto" w:sz="4" w:space="0"/>
            </w:tcBorders>
            <w:vAlign w:val="center"/>
          </w:tcPr>
          <w:p>
            <w:pPr>
              <w:spacing w:before="120" w:line="276" w:lineRule="auto"/>
              <w:ind w:firstLine="482"/>
              <w:rPr>
                <w:rFonts w:ascii="宋体" w:hAnsi="宋体" w:cs="宋体"/>
                <w:b/>
                <w:bCs/>
                <w:color w:val="auto"/>
                <w:sz w:val="24"/>
                <w:highlight w:val="none"/>
              </w:rPr>
            </w:pPr>
            <w:r>
              <w:rPr>
                <w:rFonts w:hint="eastAsia" w:ascii="宋体" w:hAnsi="宋体"/>
                <w:b/>
                <w:bCs/>
                <w:color w:val="auto"/>
                <w:sz w:val="24"/>
                <w:highlight w:val="none"/>
              </w:rPr>
              <w:t>评分标准</w:t>
            </w:r>
          </w:p>
        </w:tc>
        <w:tc>
          <w:tcPr>
            <w:tcW w:w="1805" w:type="dxa"/>
            <w:tcBorders>
              <w:top w:val="single" w:color="auto" w:sz="4" w:space="0"/>
              <w:left w:val="nil"/>
              <w:bottom w:val="single" w:color="auto" w:sz="4" w:space="0"/>
              <w:right w:val="single" w:color="auto" w:sz="4" w:space="0"/>
            </w:tcBorders>
            <w:vAlign w:val="center"/>
          </w:tcPr>
          <w:p>
            <w:pPr>
              <w:spacing w:before="120" w:line="276" w:lineRule="auto"/>
              <w:ind w:firstLine="482"/>
              <w:rPr>
                <w:rFonts w:ascii="宋体" w:hAnsi="宋体" w:cs="宋体"/>
                <w:b/>
                <w:bCs/>
                <w:color w:val="auto"/>
                <w:sz w:val="24"/>
                <w:highlight w:val="none"/>
              </w:rPr>
            </w:pPr>
            <w:r>
              <w:rPr>
                <w:rFonts w:hint="eastAsia" w:ascii="宋体" w:hAnsi="宋体"/>
                <w:b/>
                <w:bCs/>
                <w:color w:val="auto"/>
                <w:sz w:val="24"/>
                <w:highlight w:val="none"/>
              </w:rPr>
              <w:t>说明</w:t>
            </w:r>
          </w:p>
        </w:tc>
      </w:tr>
      <w:tr>
        <w:tblPrEx>
          <w:tblCellMar>
            <w:top w:w="0" w:type="dxa"/>
            <w:left w:w="108" w:type="dxa"/>
            <w:bottom w:w="0" w:type="dxa"/>
            <w:right w:w="108" w:type="dxa"/>
          </w:tblCellMar>
        </w:tblPrEx>
        <w:trPr>
          <w:cantSplit/>
          <w:trHeight w:val="40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line="276" w:lineRule="auto"/>
              <w:ind w:firstLine="174" w:firstLineChars="83"/>
              <w:rPr>
                <w:rFonts w:ascii="宋体" w:hAnsi="宋体" w:cs="宋体"/>
                <w:color w:val="auto"/>
                <w:szCs w:val="21"/>
                <w:highlight w:val="none"/>
              </w:rPr>
            </w:pPr>
            <w:r>
              <w:rPr>
                <w:rFonts w:hint="eastAsia" w:ascii="宋体" w:hAnsi="宋体"/>
                <w:color w:val="auto"/>
                <w:szCs w:val="21"/>
                <w:highlight w:val="none"/>
              </w:rPr>
              <w:t>1</w:t>
            </w:r>
          </w:p>
        </w:tc>
        <w:tc>
          <w:tcPr>
            <w:tcW w:w="1306" w:type="dxa"/>
            <w:tcBorders>
              <w:top w:val="single" w:color="auto" w:sz="4" w:space="0"/>
              <w:left w:val="nil"/>
              <w:bottom w:val="single" w:color="auto" w:sz="4" w:space="0"/>
              <w:right w:val="single" w:color="auto" w:sz="4" w:space="0"/>
            </w:tcBorders>
            <w:vAlign w:val="center"/>
          </w:tcPr>
          <w:p>
            <w:pPr>
              <w:spacing w:before="120" w:line="276" w:lineRule="auto"/>
              <w:ind w:firstLine="174" w:firstLineChars="83"/>
              <w:rPr>
                <w:rFonts w:ascii="宋体" w:hAnsi="宋体" w:cs="宋体"/>
                <w:color w:val="auto"/>
                <w:szCs w:val="21"/>
                <w:highlight w:val="none"/>
              </w:rPr>
            </w:pPr>
            <w:r>
              <w:rPr>
                <w:rFonts w:hint="eastAsia" w:ascii="宋体" w:hAnsi="宋体"/>
                <w:color w:val="auto"/>
                <w:szCs w:val="21"/>
                <w:highlight w:val="none"/>
              </w:rPr>
              <w:t>报价</w:t>
            </w:r>
          </w:p>
        </w:tc>
        <w:tc>
          <w:tcPr>
            <w:tcW w:w="804" w:type="dxa"/>
            <w:tcBorders>
              <w:top w:val="single" w:color="auto" w:sz="4" w:space="0"/>
              <w:left w:val="nil"/>
              <w:bottom w:val="single" w:color="auto" w:sz="4" w:space="0"/>
              <w:right w:val="single" w:color="auto" w:sz="4" w:space="0"/>
            </w:tcBorders>
            <w:vAlign w:val="center"/>
          </w:tcPr>
          <w:p>
            <w:pPr>
              <w:spacing w:before="120" w:line="276" w:lineRule="auto"/>
              <w:rPr>
                <w:rFonts w:ascii="宋体" w:hAnsi="宋体" w:cs="宋体"/>
                <w:color w:val="auto"/>
                <w:szCs w:val="21"/>
                <w:highlight w:val="none"/>
              </w:rPr>
            </w:pPr>
            <w:r>
              <w:rPr>
                <w:rFonts w:ascii="宋体" w:hAnsi="宋体"/>
                <w:color w:val="auto"/>
                <w:szCs w:val="21"/>
                <w:highlight w:val="none"/>
              </w:rPr>
              <w:t>30</w:t>
            </w:r>
          </w:p>
        </w:tc>
        <w:tc>
          <w:tcPr>
            <w:tcW w:w="4590" w:type="dxa"/>
            <w:tcBorders>
              <w:top w:val="single" w:color="auto" w:sz="4" w:space="0"/>
              <w:left w:val="nil"/>
              <w:bottom w:val="single" w:color="auto" w:sz="4" w:space="0"/>
              <w:right w:val="single" w:color="auto" w:sz="4" w:space="0"/>
            </w:tcBorders>
            <w:vAlign w:val="center"/>
          </w:tcPr>
          <w:p>
            <w:pPr>
              <w:tabs>
                <w:tab w:val="left" w:pos="8200"/>
              </w:tabs>
              <w:adjustRightInd w:val="0"/>
              <w:snapToGrid w:val="0"/>
              <w:spacing w:line="360" w:lineRule="auto"/>
              <w:ind w:firstLine="420" w:firstLineChars="200"/>
              <w:rPr>
                <w:rFonts w:ascii="宋体" w:hAnsi="宋体"/>
                <w:color w:val="auto"/>
                <w:szCs w:val="21"/>
                <w:highlight w:val="none"/>
              </w:rPr>
            </w:pPr>
            <w:r>
              <w:rPr>
                <w:rFonts w:hint="eastAsia" w:ascii="宋体" w:hAnsi="宋体" w:cs="宋体"/>
                <w:color w:val="auto"/>
                <w:kern w:val="0"/>
                <w:szCs w:val="21"/>
                <w:highlight w:val="none"/>
              </w:rPr>
              <w:t>价格分采用低价优先法计算，即满足招标文件要求且报价最低的供应商报价为评标基准价，其价格分为满分</w:t>
            </w:r>
            <w:r>
              <w:rPr>
                <w:rFonts w:ascii="宋体" w:hAnsi="宋体"/>
                <w:color w:val="auto"/>
                <w:szCs w:val="21"/>
                <w:highlight w:val="none"/>
              </w:rPr>
              <w:t>30</w:t>
            </w:r>
            <w:r>
              <w:rPr>
                <w:rFonts w:hint="eastAsia" w:ascii="宋体" w:hAnsi="宋体" w:cs="宋体"/>
                <w:color w:val="auto"/>
                <w:kern w:val="0"/>
                <w:szCs w:val="21"/>
                <w:highlight w:val="none"/>
              </w:rPr>
              <w:t>分，其它投标人的价格分统一按照以下公式计算：投标报价得分=（评标基准价/该投标人的投标报价）×</w:t>
            </w:r>
            <w:r>
              <w:rPr>
                <w:rFonts w:ascii="宋体" w:hAnsi="宋体"/>
                <w:color w:val="auto"/>
                <w:szCs w:val="21"/>
                <w:highlight w:val="none"/>
              </w:rPr>
              <w:t>30</w:t>
            </w:r>
            <w:r>
              <w:rPr>
                <w:rFonts w:hint="eastAsia" w:ascii="宋体" w:hAnsi="宋体" w:cs="宋体"/>
                <w:color w:val="auto"/>
                <w:kern w:val="0"/>
                <w:szCs w:val="21"/>
                <w:highlight w:val="none"/>
              </w:rPr>
              <w:t>分。分值保留小数点后1位。</w:t>
            </w:r>
          </w:p>
        </w:tc>
        <w:tc>
          <w:tcPr>
            <w:tcW w:w="1805" w:type="dxa"/>
            <w:tcBorders>
              <w:top w:val="single" w:color="auto" w:sz="4" w:space="0"/>
              <w:left w:val="nil"/>
              <w:bottom w:val="single" w:color="auto" w:sz="4" w:space="0"/>
              <w:right w:val="single" w:color="auto" w:sz="4" w:space="0"/>
            </w:tcBorders>
            <w:vAlign w:val="center"/>
          </w:tcPr>
          <w:p>
            <w:pPr>
              <w:spacing w:line="276" w:lineRule="auto"/>
              <w:ind w:right="-76" w:rightChars="-36" w:firstLine="480"/>
              <w:jc w:val="left"/>
              <w:rPr>
                <w:rFonts w:ascii="宋体" w:hAnsi="宋体" w:cs="宋体"/>
                <w:color w:val="auto"/>
                <w:sz w:val="28"/>
                <w:szCs w:val="28"/>
                <w:highlight w:val="none"/>
              </w:rPr>
            </w:pPr>
          </w:p>
        </w:tc>
      </w:tr>
      <w:tr>
        <w:tblPrEx>
          <w:tblCellMar>
            <w:top w:w="0" w:type="dxa"/>
            <w:left w:w="108" w:type="dxa"/>
            <w:bottom w:w="0" w:type="dxa"/>
            <w:right w:w="108" w:type="dxa"/>
          </w:tblCellMar>
        </w:tblPrEx>
        <w:trPr>
          <w:cantSplit/>
          <w:trHeight w:val="40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line="276" w:lineRule="auto"/>
              <w:ind w:firstLine="174" w:firstLineChars="83"/>
              <w:rPr>
                <w:rFonts w:ascii="宋体" w:hAnsi="宋体" w:cs="宋体"/>
                <w:color w:val="auto"/>
                <w:szCs w:val="21"/>
                <w:highlight w:val="none"/>
              </w:rPr>
            </w:pPr>
            <w:r>
              <w:rPr>
                <w:rFonts w:hint="eastAsia" w:ascii="宋体" w:hAnsi="宋体"/>
                <w:color w:val="auto"/>
                <w:szCs w:val="21"/>
                <w:highlight w:val="none"/>
              </w:rPr>
              <w:t>2</w:t>
            </w:r>
          </w:p>
        </w:tc>
        <w:tc>
          <w:tcPr>
            <w:tcW w:w="1306" w:type="dxa"/>
            <w:tcBorders>
              <w:top w:val="single" w:color="auto" w:sz="4" w:space="0"/>
              <w:left w:val="nil"/>
              <w:bottom w:val="single" w:color="auto" w:sz="4" w:space="0"/>
              <w:right w:val="single" w:color="auto" w:sz="4" w:space="0"/>
            </w:tcBorders>
            <w:vAlign w:val="center"/>
          </w:tcPr>
          <w:p>
            <w:pPr>
              <w:spacing w:before="120" w:line="276" w:lineRule="auto"/>
              <w:rPr>
                <w:rFonts w:ascii="宋体" w:hAnsi="宋体"/>
                <w:color w:val="auto"/>
                <w:szCs w:val="21"/>
                <w:highlight w:val="none"/>
              </w:rPr>
            </w:pPr>
            <w:r>
              <w:rPr>
                <w:rFonts w:hint="eastAsia" w:ascii="宋体" w:hAnsi="宋体"/>
                <w:color w:val="auto"/>
                <w:szCs w:val="21"/>
                <w:highlight w:val="none"/>
              </w:rPr>
              <w:t>技术指标和参数要求</w:t>
            </w:r>
          </w:p>
        </w:tc>
        <w:tc>
          <w:tcPr>
            <w:tcW w:w="804" w:type="dxa"/>
            <w:tcBorders>
              <w:top w:val="single" w:color="auto" w:sz="4" w:space="0"/>
              <w:left w:val="nil"/>
              <w:bottom w:val="single" w:color="auto" w:sz="4" w:space="0"/>
              <w:right w:val="single" w:color="auto" w:sz="4" w:space="0"/>
            </w:tcBorders>
            <w:vAlign w:val="center"/>
          </w:tcPr>
          <w:p>
            <w:pPr>
              <w:spacing w:before="120" w:line="276" w:lineRule="auto"/>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4</w:t>
            </w:r>
          </w:p>
        </w:tc>
        <w:tc>
          <w:tcPr>
            <w:tcW w:w="4590" w:type="dxa"/>
            <w:tcBorders>
              <w:top w:val="single" w:color="auto" w:sz="4" w:space="0"/>
              <w:left w:val="nil"/>
              <w:bottom w:val="single" w:color="auto" w:sz="4" w:space="0"/>
              <w:right w:val="single" w:color="auto" w:sz="4" w:space="0"/>
            </w:tcBorders>
            <w:vAlign w:val="center"/>
          </w:tcPr>
          <w:p>
            <w:pPr>
              <w:tabs>
                <w:tab w:val="left" w:pos="8200"/>
              </w:tabs>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评委根据投标人提供的所投产品功能及技术要求偏离表，对照招标要求的功能要及技术参数进行比较，功能及技术要求完全符合招标文件实质性参数要求，没有负偏离得</w:t>
            </w:r>
            <w:r>
              <w:rPr>
                <w:rFonts w:hint="eastAsia" w:ascii="宋体" w:hAnsi="宋体"/>
                <w:color w:val="auto"/>
                <w:szCs w:val="21"/>
                <w:highlight w:val="none"/>
              </w:rPr>
              <w:t>2</w:t>
            </w:r>
            <w:r>
              <w:rPr>
                <w:rFonts w:ascii="宋体" w:hAnsi="宋体"/>
                <w:color w:val="auto"/>
                <w:szCs w:val="21"/>
                <w:highlight w:val="none"/>
              </w:rPr>
              <w:t>4</w:t>
            </w:r>
            <w:r>
              <w:rPr>
                <w:rFonts w:hint="eastAsia" w:ascii="宋体" w:hAnsi="宋体" w:cs="宋体"/>
                <w:color w:val="auto"/>
                <w:kern w:val="0"/>
                <w:szCs w:val="21"/>
                <w:highlight w:val="none"/>
              </w:rPr>
              <w:t>分。</w:t>
            </w:r>
          </w:p>
          <w:p>
            <w:pPr>
              <w:tabs>
                <w:tab w:val="left" w:pos="8200"/>
              </w:tabs>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与招标文件要求有非实质性重大负偏离的，一项扣1分，扣完为止。 带“</w:t>
            </w:r>
            <w:r>
              <w:rPr>
                <w:rFonts w:hint="eastAsia"/>
                <w:color w:val="auto"/>
                <w:sz w:val="28"/>
                <w:szCs w:val="28"/>
                <w:highlight w:val="none"/>
              </w:rPr>
              <w:t>▲</w:t>
            </w:r>
            <w:r>
              <w:rPr>
                <w:rFonts w:hint="eastAsia" w:ascii="宋体" w:hAnsi="宋体" w:cs="宋体"/>
                <w:color w:val="auto"/>
                <w:kern w:val="0"/>
                <w:szCs w:val="21"/>
                <w:highlight w:val="none"/>
              </w:rPr>
              <w:t>”的为实质性参数，一项不满足扣3分，扣完为止。</w:t>
            </w:r>
          </w:p>
        </w:tc>
        <w:tc>
          <w:tcPr>
            <w:tcW w:w="1805" w:type="dxa"/>
            <w:tcBorders>
              <w:top w:val="single" w:color="auto" w:sz="4" w:space="0"/>
              <w:left w:val="nil"/>
              <w:bottom w:val="single" w:color="auto" w:sz="4" w:space="0"/>
              <w:right w:val="single" w:color="auto" w:sz="4" w:space="0"/>
            </w:tcBorders>
            <w:vAlign w:val="center"/>
          </w:tcPr>
          <w:p>
            <w:pPr>
              <w:spacing w:before="120" w:line="276" w:lineRule="auto"/>
              <w:ind w:firstLine="480"/>
              <w:rPr>
                <w:rFonts w:ascii="宋体" w:hAnsi="宋体"/>
                <w:color w:val="auto"/>
                <w:szCs w:val="21"/>
                <w:highlight w:val="none"/>
              </w:rPr>
            </w:pPr>
            <w:r>
              <w:rPr>
                <w:rFonts w:hint="eastAsia" w:ascii="宋体" w:hAnsi="宋体"/>
                <w:color w:val="auto"/>
                <w:szCs w:val="21"/>
                <w:highlight w:val="none"/>
              </w:rPr>
              <w:t>针对“</w:t>
            </w:r>
            <w:r>
              <w:rPr>
                <w:rFonts w:hint="eastAsia"/>
                <w:color w:val="auto"/>
                <w:sz w:val="28"/>
                <w:szCs w:val="28"/>
                <w:highlight w:val="none"/>
              </w:rPr>
              <w:t>▲</w:t>
            </w:r>
            <w:r>
              <w:rPr>
                <w:rFonts w:hint="eastAsia" w:ascii="宋体" w:hAnsi="宋体"/>
                <w:color w:val="auto"/>
                <w:szCs w:val="21"/>
                <w:highlight w:val="none"/>
              </w:rPr>
              <w:t>”号条款技术参数及</w:t>
            </w:r>
            <w:r>
              <w:rPr>
                <w:rFonts w:ascii="宋体" w:hAnsi="宋体"/>
                <w:color w:val="auto"/>
                <w:szCs w:val="21"/>
                <w:highlight w:val="none"/>
              </w:rPr>
              <w:t>其他参数</w:t>
            </w:r>
            <w:r>
              <w:rPr>
                <w:rFonts w:hint="eastAsia" w:ascii="宋体" w:hAnsi="宋体"/>
                <w:color w:val="auto"/>
                <w:szCs w:val="21"/>
                <w:highlight w:val="none"/>
              </w:rPr>
              <w:t>正偏离的，投标人须提供产品截图等说明材料，否则不予认定。</w:t>
            </w:r>
          </w:p>
        </w:tc>
      </w:tr>
      <w:tr>
        <w:tblPrEx>
          <w:tblCellMar>
            <w:top w:w="0" w:type="dxa"/>
            <w:left w:w="108" w:type="dxa"/>
            <w:bottom w:w="0" w:type="dxa"/>
            <w:right w:w="108" w:type="dxa"/>
          </w:tblCellMar>
        </w:tblPrEx>
        <w:trPr>
          <w:cantSplit/>
          <w:trHeight w:val="40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line="276" w:lineRule="auto"/>
              <w:ind w:firstLine="174" w:firstLineChars="83"/>
              <w:rPr>
                <w:rFonts w:ascii="宋体" w:hAnsi="宋体"/>
                <w:color w:val="auto"/>
                <w:szCs w:val="21"/>
                <w:highlight w:val="none"/>
              </w:rPr>
            </w:pPr>
            <w:r>
              <w:rPr>
                <w:rFonts w:hint="eastAsia" w:ascii="宋体" w:hAnsi="宋体"/>
                <w:color w:val="auto"/>
                <w:szCs w:val="21"/>
                <w:highlight w:val="none"/>
              </w:rPr>
              <w:t>3</w:t>
            </w:r>
          </w:p>
        </w:tc>
        <w:tc>
          <w:tcPr>
            <w:tcW w:w="1306" w:type="dxa"/>
            <w:tcBorders>
              <w:top w:val="single" w:color="auto" w:sz="4" w:space="0"/>
              <w:left w:val="nil"/>
              <w:bottom w:val="single" w:color="auto" w:sz="4" w:space="0"/>
              <w:right w:val="single" w:color="auto" w:sz="4" w:space="0"/>
            </w:tcBorders>
            <w:vAlign w:val="center"/>
          </w:tcPr>
          <w:p>
            <w:pPr>
              <w:spacing w:before="120" w:line="276" w:lineRule="auto"/>
              <w:rPr>
                <w:rFonts w:ascii="宋体" w:hAnsi="宋体"/>
                <w:color w:val="auto"/>
                <w:szCs w:val="21"/>
                <w:highlight w:val="none"/>
              </w:rPr>
            </w:pPr>
            <w:r>
              <w:rPr>
                <w:rFonts w:hint="eastAsia" w:ascii="宋体" w:hAnsi="宋体" w:cs="宋体"/>
                <w:bCs/>
                <w:color w:val="auto"/>
                <w:kern w:val="0"/>
                <w:szCs w:val="21"/>
                <w:highlight w:val="none"/>
              </w:rPr>
              <w:t>视频演示</w:t>
            </w:r>
          </w:p>
        </w:tc>
        <w:tc>
          <w:tcPr>
            <w:tcW w:w="804" w:type="dxa"/>
            <w:tcBorders>
              <w:top w:val="single" w:color="auto" w:sz="4" w:space="0"/>
              <w:left w:val="nil"/>
              <w:bottom w:val="single" w:color="auto" w:sz="4" w:space="0"/>
              <w:right w:val="single" w:color="auto" w:sz="4" w:space="0"/>
            </w:tcBorders>
            <w:vAlign w:val="center"/>
          </w:tcPr>
          <w:p>
            <w:pPr>
              <w:spacing w:line="276" w:lineRule="auto"/>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4</w:t>
            </w:r>
          </w:p>
        </w:tc>
        <w:tc>
          <w:tcPr>
            <w:tcW w:w="4590" w:type="dxa"/>
            <w:tcBorders>
              <w:top w:val="single" w:color="auto" w:sz="4" w:space="0"/>
              <w:left w:val="nil"/>
              <w:bottom w:val="single" w:color="auto" w:sz="4" w:space="0"/>
              <w:right w:val="single" w:color="auto" w:sz="4" w:space="0"/>
            </w:tcBorders>
            <w:vAlign w:val="center"/>
          </w:tcPr>
          <w:p>
            <w:pPr>
              <w:tabs>
                <w:tab w:val="left" w:pos="8200"/>
              </w:tabs>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投标单位需要提供演示视频（U盘寄送，未寄送演示视频视为无效投标），总时长不超过15分钟。评委根据各平台演示情况进行综合评定。</w:t>
            </w:r>
          </w:p>
          <w:p>
            <w:pPr>
              <w:tabs>
                <w:tab w:val="left" w:pos="8200"/>
              </w:tabs>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网络报修平台（最优8分，一般6分，差4分），环境曝光平台（最优5分，一般4分，差2分），后勤人力资源管理系统（最优</w:t>
            </w:r>
            <w:r>
              <w:rPr>
                <w:rFonts w:ascii="宋体" w:hAnsi="宋体" w:cs="宋体"/>
                <w:color w:val="auto"/>
                <w:kern w:val="0"/>
                <w:szCs w:val="21"/>
                <w:highlight w:val="none"/>
              </w:rPr>
              <w:t>6</w:t>
            </w:r>
            <w:r>
              <w:rPr>
                <w:rFonts w:hint="eastAsia" w:ascii="宋体" w:hAnsi="宋体" w:cs="宋体"/>
                <w:color w:val="auto"/>
                <w:kern w:val="0"/>
                <w:szCs w:val="21"/>
                <w:highlight w:val="none"/>
              </w:rPr>
              <w:t>分，一般</w:t>
            </w:r>
            <w:r>
              <w:rPr>
                <w:rFonts w:ascii="宋体" w:hAnsi="宋体" w:cs="宋体"/>
                <w:color w:val="auto"/>
                <w:kern w:val="0"/>
                <w:szCs w:val="21"/>
                <w:highlight w:val="none"/>
              </w:rPr>
              <w:t>5</w:t>
            </w:r>
            <w:r>
              <w:rPr>
                <w:rFonts w:hint="eastAsia" w:ascii="宋体" w:hAnsi="宋体" w:cs="宋体"/>
                <w:color w:val="auto"/>
                <w:kern w:val="0"/>
                <w:szCs w:val="21"/>
                <w:highlight w:val="none"/>
              </w:rPr>
              <w:t>分，差</w:t>
            </w:r>
            <w:r>
              <w:rPr>
                <w:rFonts w:ascii="宋体" w:hAnsi="宋体" w:cs="宋体"/>
                <w:color w:val="auto"/>
                <w:kern w:val="0"/>
                <w:szCs w:val="21"/>
                <w:highlight w:val="none"/>
              </w:rPr>
              <w:t>3</w:t>
            </w:r>
            <w:r>
              <w:rPr>
                <w:rFonts w:hint="eastAsia" w:ascii="宋体" w:hAnsi="宋体" w:cs="宋体"/>
                <w:color w:val="auto"/>
                <w:kern w:val="0"/>
                <w:szCs w:val="21"/>
                <w:highlight w:val="none"/>
              </w:rPr>
              <w:t>分），服务评价考核平台（最优5分，一般4分，差2分）</w:t>
            </w:r>
          </w:p>
        </w:tc>
        <w:tc>
          <w:tcPr>
            <w:tcW w:w="1805" w:type="dxa"/>
            <w:tcBorders>
              <w:top w:val="single" w:color="auto" w:sz="4" w:space="0"/>
              <w:left w:val="nil"/>
              <w:bottom w:val="single" w:color="auto" w:sz="4" w:space="0"/>
              <w:right w:val="single" w:color="auto" w:sz="4" w:space="0"/>
            </w:tcBorders>
            <w:vAlign w:val="center"/>
          </w:tcPr>
          <w:p>
            <w:pPr>
              <w:adjustRightInd w:val="0"/>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4个平台都需要要类似案例演示，如没有类似案例需提供Demo或设计思路的图文讲解。</w:t>
            </w:r>
          </w:p>
        </w:tc>
      </w:tr>
      <w:tr>
        <w:tblPrEx>
          <w:tblCellMar>
            <w:top w:w="0" w:type="dxa"/>
            <w:left w:w="108" w:type="dxa"/>
            <w:bottom w:w="0" w:type="dxa"/>
            <w:right w:w="108" w:type="dxa"/>
          </w:tblCellMar>
        </w:tblPrEx>
        <w:trPr>
          <w:cantSplit/>
          <w:trHeight w:val="50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line="276" w:lineRule="auto"/>
              <w:ind w:firstLine="174" w:firstLineChars="83"/>
              <w:rPr>
                <w:rFonts w:ascii="宋体" w:hAnsi="宋体" w:cs="宋体"/>
                <w:color w:val="auto"/>
                <w:szCs w:val="21"/>
                <w:highlight w:val="none"/>
              </w:rPr>
            </w:pPr>
            <w:r>
              <w:rPr>
                <w:rFonts w:hint="eastAsia" w:ascii="宋体" w:hAnsi="宋体"/>
                <w:color w:val="auto"/>
                <w:szCs w:val="21"/>
                <w:highlight w:val="none"/>
              </w:rPr>
              <w:t>4</w:t>
            </w:r>
          </w:p>
        </w:tc>
        <w:tc>
          <w:tcPr>
            <w:tcW w:w="1306" w:type="dxa"/>
            <w:tcBorders>
              <w:top w:val="single" w:color="auto" w:sz="4" w:space="0"/>
              <w:left w:val="nil"/>
              <w:bottom w:val="single" w:color="auto" w:sz="4" w:space="0"/>
              <w:right w:val="single" w:color="auto" w:sz="4" w:space="0"/>
            </w:tcBorders>
            <w:vAlign w:val="center"/>
          </w:tcPr>
          <w:p>
            <w:pPr>
              <w:spacing w:before="120" w:line="276" w:lineRule="auto"/>
              <w:rPr>
                <w:rFonts w:ascii="宋体" w:hAnsi="宋体" w:cs="宋体"/>
                <w:color w:val="auto"/>
                <w:szCs w:val="21"/>
                <w:highlight w:val="none"/>
              </w:rPr>
            </w:pPr>
            <w:r>
              <w:rPr>
                <w:rFonts w:hint="eastAsia" w:ascii="宋体" w:hAnsi="宋体"/>
                <w:color w:val="auto"/>
                <w:szCs w:val="21"/>
                <w:highlight w:val="none"/>
              </w:rPr>
              <w:t>知识产权及成熟度</w:t>
            </w:r>
          </w:p>
        </w:tc>
        <w:tc>
          <w:tcPr>
            <w:tcW w:w="804" w:type="dxa"/>
            <w:tcBorders>
              <w:top w:val="single" w:color="auto" w:sz="4" w:space="0"/>
              <w:left w:val="nil"/>
              <w:bottom w:val="single" w:color="auto" w:sz="4" w:space="0"/>
              <w:right w:val="single" w:color="auto" w:sz="4" w:space="0"/>
            </w:tcBorders>
            <w:vAlign w:val="center"/>
          </w:tcPr>
          <w:p>
            <w:pPr>
              <w:spacing w:line="276" w:lineRule="auto"/>
              <w:ind w:firstLine="174" w:firstLineChars="83"/>
              <w:rPr>
                <w:rFonts w:ascii="宋体" w:hAnsi="宋体" w:cs="宋体"/>
                <w:color w:val="auto"/>
                <w:szCs w:val="21"/>
                <w:highlight w:val="none"/>
              </w:rPr>
            </w:pPr>
            <w:r>
              <w:rPr>
                <w:rFonts w:ascii="宋体" w:hAnsi="宋体"/>
                <w:color w:val="auto"/>
                <w:szCs w:val="21"/>
                <w:highlight w:val="none"/>
              </w:rPr>
              <w:t>2</w:t>
            </w:r>
          </w:p>
        </w:tc>
        <w:tc>
          <w:tcPr>
            <w:tcW w:w="4590" w:type="dxa"/>
            <w:tcBorders>
              <w:top w:val="single" w:color="auto" w:sz="4" w:space="0"/>
              <w:left w:val="nil"/>
              <w:bottom w:val="single" w:color="auto" w:sz="4" w:space="0"/>
              <w:right w:val="single" w:color="auto" w:sz="4" w:space="0"/>
            </w:tcBorders>
            <w:vAlign w:val="center"/>
          </w:tcPr>
          <w:p>
            <w:pPr>
              <w:widowControl/>
              <w:spacing w:before="120" w:line="276"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投标人或所投产品具有网络报修平台软件著作权，得1分；投标人或所投产品具有人力资源管理系统软件著作权，得1分。</w:t>
            </w:r>
          </w:p>
        </w:tc>
        <w:tc>
          <w:tcPr>
            <w:tcW w:w="1805" w:type="dxa"/>
            <w:tcBorders>
              <w:top w:val="single" w:color="auto" w:sz="4" w:space="0"/>
              <w:left w:val="nil"/>
              <w:bottom w:val="single" w:color="auto" w:sz="4" w:space="0"/>
              <w:right w:val="single" w:color="auto" w:sz="4" w:space="0"/>
            </w:tcBorders>
            <w:vAlign w:val="center"/>
          </w:tcPr>
          <w:p>
            <w:pPr>
              <w:spacing w:before="120" w:line="276" w:lineRule="auto"/>
              <w:ind w:firstLine="480"/>
              <w:rPr>
                <w:rFonts w:ascii="宋体" w:hAnsi="宋体" w:cs="宋体"/>
                <w:color w:val="auto"/>
                <w:sz w:val="28"/>
                <w:szCs w:val="28"/>
                <w:highlight w:val="none"/>
              </w:rPr>
            </w:pPr>
          </w:p>
        </w:tc>
      </w:tr>
      <w:tr>
        <w:tblPrEx>
          <w:tblCellMar>
            <w:top w:w="0" w:type="dxa"/>
            <w:left w:w="108" w:type="dxa"/>
            <w:bottom w:w="0" w:type="dxa"/>
            <w:right w:w="108" w:type="dxa"/>
          </w:tblCellMar>
        </w:tblPrEx>
        <w:trPr>
          <w:cantSplit/>
          <w:trHeight w:val="2565" w:hRule="atLeast"/>
          <w:jc w:val="center"/>
        </w:trPr>
        <w:tc>
          <w:tcPr>
            <w:tcW w:w="704" w:type="dxa"/>
            <w:tcBorders>
              <w:top w:val="single" w:color="auto" w:sz="4" w:space="0"/>
              <w:left w:val="single" w:color="auto" w:sz="4" w:space="0"/>
              <w:right w:val="single" w:color="auto" w:sz="4" w:space="0"/>
            </w:tcBorders>
            <w:vAlign w:val="center"/>
          </w:tcPr>
          <w:p>
            <w:pPr>
              <w:spacing w:before="120" w:line="276" w:lineRule="auto"/>
              <w:ind w:firstLine="174" w:firstLineChars="83"/>
              <w:rPr>
                <w:rFonts w:ascii="宋体" w:hAnsi="宋体" w:cs="宋体"/>
                <w:color w:val="auto"/>
                <w:szCs w:val="21"/>
                <w:highlight w:val="none"/>
              </w:rPr>
            </w:pPr>
            <w:r>
              <w:rPr>
                <w:rFonts w:hint="eastAsia" w:ascii="宋体" w:hAnsi="宋体" w:cs="宋体"/>
                <w:color w:val="auto"/>
                <w:szCs w:val="21"/>
                <w:highlight w:val="none"/>
              </w:rPr>
              <w:t>5</w:t>
            </w:r>
          </w:p>
        </w:tc>
        <w:tc>
          <w:tcPr>
            <w:tcW w:w="1306" w:type="dxa"/>
            <w:tcBorders>
              <w:top w:val="single" w:color="auto" w:sz="4" w:space="0"/>
              <w:left w:val="nil"/>
              <w:right w:val="single" w:color="auto" w:sz="4" w:space="0"/>
            </w:tcBorders>
            <w:vAlign w:val="center"/>
          </w:tcPr>
          <w:p>
            <w:pPr>
              <w:spacing w:before="120" w:line="276" w:lineRule="auto"/>
              <w:ind w:firstLine="174" w:firstLineChars="83"/>
              <w:rPr>
                <w:rFonts w:ascii="宋体" w:hAnsi="宋体" w:cs="宋体"/>
                <w:color w:val="auto"/>
                <w:szCs w:val="21"/>
                <w:highlight w:val="none"/>
              </w:rPr>
            </w:pPr>
            <w:r>
              <w:rPr>
                <w:rFonts w:hint="eastAsia" w:ascii="宋体" w:hAnsi="宋体"/>
                <w:color w:val="auto"/>
                <w:szCs w:val="21"/>
                <w:highlight w:val="none"/>
              </w:rPr>
              <w:t>业绩</w:t>
            </w:r>
          </w:p>
        </w:tc>
        <w:tc>
          <w:tcPr>
            <w:tcW w:w="804" w:type="dxa"/>
            <w:tcBorders>
              <w:top w:val="single" w:color="auto" w:sz="4" w:space="0"/>
              <w:left w:val="nil"/>
              <w:right w:val="single" w:color="auto" w:sz="4" w:space="0"/>
            </w:tcBorders>
            <w:vAlign w:val="center"/>
          </w:tcPr>
          <w:p>
            <w:pPr>
              <w:spacing w:line="276" w:lineRule="auto"/>
              <w:rPr>
                <w:rFonts w:ascii="宋体" w:hAnsi="宋体" w:cs="宋体"/>
                <w:color w:val="auto"/>
                <w:szCs w:val="21"/>
                <w:highlight w:val="none"/>
              </w:rPr>
            </w:pPr>
            <w:r>
              <w:rPr>
                <w:rFonts w:ascii="宋体" w:hAnsi="宋体"/>
                <w:color w:val="auto"/>
                <w:szCs w:val="21"/>
                <w:highlight w:val="none"/>
              </w:rPr>
              <w:t>5</w:t>
            </w:r>
          </w:p>
        </w:tc>
        <w:tc>
          <w:tcPr>
            <w:tcW w:w="4590" w:type="dxa"/>
            <w:tcBorders>
              <w:top w:val="single" w:color="auto" w:sz="4" w:space="0"/>
              <w:left w:val="nil"/>
              <w:right w:val="single" w:color="auto" w:sz="4" w:space="0"/>
            </w:tcBorders>
            <w:vAlign w:val="center"/>
          </w:tcPr>
          <w:p>
            <w:pPr>
              <w:tabs>
                <w:tab w:val="left" w:pos="8200"/>
              </w:tabs>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投标人或投标产品近三年来在信息化项目的成功案例（每个1分，满分</w:t>
            </w:r>
            <w:r>
              <w:rPr>
                <w:rFonts w:ascii="宋体" w:hAnsi="宋体" w:cs="宋体"/>
                <w:color w:val="auto"/>
                <w:kern w:val="0"/>
                <w:szCs w:val="21"/>
                <w:highlight w:val="none"/>
              </w:rPr>
              <w:t>2</w:t>
            </w:r>
            <w:r>
              <w:rPr>
                <w:rFonts w:hint="eastAsia" w:ascii="宋体" w:hAnsi="宋体" w:cs="宋体"/>
                <w:color w:val="auto"/>
                <w:kern w:val="0"/>
                <w:szCs w:val="21"/>
                <w:highlight w:val="none"/>
              </w:rPr>
              <w:t>分）</w:t>
            </w:r>
          </w:p>
          <w:p>
            <w:pPr>
              <w:tabs>
                <w:tab w:val="left" w:pos="8200"/>
              </w:tabs>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根据所投产品应用信息化评优活动中（近三年）获奖情况进行评分，每个计1分，满分3分。</w:t>
            </w:r>
          </w:p>
        </w:tc>
        <w:tc>
          <w:tcPr>
            <w:tcW w:w="1805" w:type="dxa"/>
            <w:tcBorders>
              <w:top w:val="single" w:color="auto" w:sz="4" w:space="0"/>
              <w:left w:val="nil"/>
              <w:right w:val="single" w:color="auto" w:sz="4" w:space="0"/>
            </w:tcBorders>
            <w:vAlign w:val="center"/>
          </w:tcPr>
          <w:p>
            <w:pPr>
              <w:spacing w:before="120" w:line="276" w:lineRule="auto"/>
              <w:ind w:left="-38"/>
              <w:rPr>
                <w:rFonts w:ascii="宋体" w:hAnsi="宋体" w:cs="宋体"/>
                <w:color w:val="auto"/>
                <w:sz w:val="28"/>
                <w:szCs w:val="28"/>
                <w:highlight w:val="none"/>
              </w:rPr>
            </w:pPr>
            <w:r>
              <w:rPr>
                <w:rFonts w:ascii="宋体" w:hAnsi="宋体"/>
                <w:color w:val="auto"/>
                <w:kern w:val="0"/>
                <w:szCs w:val="21"/>
                <w:highlight w:val="none"/>
              </w:rPr>
              <w:t>以合同</w:t>
            </w:r>
            <w:r>
              <w:rPr>
                <w:rFonts w:hint="eastAsia" w:ascii="宋体" w:hAnsi="宋体"/>
                <w:color w:val="auto"/>
                <w:kern w:val="0"/>
                <w:szCs w:val="21"/>
                <w:highlight w:val="none"/>
              </w:rPr>
              <w:t>或</w:t>
            </w:r>
            <w:r>
              <w:rPr>
                <w:rFonts w:ascii="宋体" w:hAnsi="宋体"/>
                <w:color w:val="auto"/>
                <w:kern w:val="0"/>
                <w:szCs w:val="21"/>
                <w:highlight w:val="none"/>
              </w:rPr>
              <w:t>中标通知书复印件</w:t>
            </w:r>
            <w:r>
              <w:rPr>
                <w:rFonts w:hint="eastAsia" w:ascii="宋体" w:hAnsi="宋体"/>
                <w:color w:val="auto"/>
                <w:kern w:val="0"/>
                <w:szCs w:val="21"/>
                <w:highlight w:val="none"/>
              </w:rPr>
              <w:t>、</w:t>
            </w:r>
            <w:r>
              <w:rPr>
                <w:rFonts w:ascii="宋体" w:hAnsi="宋体" w:cs="宋体"/>
                <w:color w:val="auto"/>
                <w:szCs w:val="21"/>
                <w:highlight w:val="none"/>
              </w:rPr>
              <w:t>合同</w:t>
            </w:r>
            <w:r>
              <w:rPr>
                <w:rFonts w:hint="eastAsia" w:ascii="宋体" w:hAnsi="宋体" w:cs="宋体"/>
                <w:color w:val="auto"/>
                <w:szCs w:val="21"/>
                <w:highlight w:val="none"/>
              </w:rPr>
              <w:t>复印件</w:t>
            </w:r>
            <w:r>
              <w:rPr>
                <w:rFonts w:ascii="宋体" w:hAnsi="宋体" w:cs="宋体"/>
                <w:color w:val="auto"/>
                <w:szCs w:val="21"/>
                <w:highlight w:val="none"/>
              </w:rPr>
              <w:t>及全国评优活动评优决定为准</w:t>
            </w:r>
          </w:p>
        </w:tc>
      </w:tr>
      <w:tr>
        <w:tblPrEx>
          <w:tblCellMar>
            <w:top w:w="0" w:type="dxa"/>
            <w:left w:w="108" w:type="dxa"/>
            <w:bottom w:w="0" w:type="dxa"/>
            <w:right w:w="108" w:type="dxa"/>
          </w:tblCellMar>
        </w:tblPrEx>
        <w:trPr>
          <w:cantSplit/>
          <w:trHeight w:val="2762" w:hRule="atLeast"/>
          <w:jc w:val="center"/>
        </w:trPr>
        <w:tc>
          <w:tcPr>
            <w:tcW w:w="704" w:type="dxa"/>
            <w:tcBorders>
              <w:top w:val="single" w:color="auto" w:sz="4" w:space="0"/>
              <w:left w:val="single" w:color="auto" w:sz="4" w:space="0"/>
              <w:right w:val="single" w:color="auto" w:sz="4" w:space="0"/>
            </w:tcBorders>
            <w:vAlign w:val="center"/>
          </w:tcPr>
          <w:p>
            <w:pPr>
              <w:spacing w:before="120" w:line="276" w:lineRule="auto"/>
              <w:ind w:firstLine="174" w:firstLineChars="83"/>
              <w:rPr>
                <w:rFonts w:ascii="宋体" w:hAnsi="宋体" w:cs="宋体"/>
                <w:color w:val="auto"/>
                <w:szCs w:val="21"/>
                <w:highlight w:val="none"/>
              </w:rPr>
            </w:pPr>
            <w:r>
              <w:rPr>
                <w:rFonts w:hint="eastAsia" w:ascii="宋体" w:hAnsi="宋体"/>
                <w:color w:val="auto"/>
                <w:szCs w:val="21"/>
                <w:highlight w:val="none"/>
              </w:rPr>
              <w:t>6</w:t>
            </w:r>
          </w:p>
        </w:tc>
        <w:tc>
          <w:tcPr>
            <w:tcW w:w="1306" w:type="dxa"/>
            <w:tcBorders>
              <w:top w:val="single" w:color="auto" w:sz="4" w:space="0"/>
              <w:left w:val="nil"/>
              <w:right w:val="single" w:color="auto" w:sz="4" w:space="0"/>
            </w:tcBorders>
            <w:vAlign w:val="center"/>
          </w:tcPr>
          <w:p>
            <w:pPr>
              <w:spacing w:before="120" w:line="276" w:lineRule="auto"/>
              <w:rPr>
                <w:rFonts w:ascii="宋体" w:hAnsi="宋体" w:cs="宋体"/>
                <w:color w:val="auto"/>
                <w:szCs w:val="21"/>
                <w:highlight w:val="none"/>
              </w:rPr>
            </w:pPr>
            <w:r>
              <w:rPr>
                <w:rFonts w:hint="eastAsia" w:ascii="宋体" w:hAnsi="宋体" w:cs="宋体"/>
                <w:color w:val="auto"/>
                <w:szCs w:val="21"/>
                <w:highlight w:val="none"/>
              </w:rPr>
              <w:t>信誉</w:t>
            </w:r>
            <w:r>
              <w:rPr>
                <w:rFonts w:ascii="宋体" w:hAnsi="宋体" w:cs="宋体"/>
                <w:color w:val="auto"/>
                <w:szCs w:val="21"/>
                <w:highlight w:val="none"/>
              </w:rPr>
              <w:t>及质量保证</w:t>
            </w:r>
          </w:p>
        </w:tc>
        <w:tc>
          <w:tcPr>
            <w:tcW w:w="804" w:type="dxa"/>
            <w:tcBorders>
              <w:top w:val="single" w:color="auto" w:sz="4" w:space="0"/>
              <w:left w:val="nil"/>
              <w:right w:val="single" w:color="auto" w:sz="4" w:space="0"/>
            </w:tcBorders>
            <w:vAlign w:val="center"/>
          </w:tcPr>
          <w:p>
            <w:pPr>
              <w:spacing w:line="276" w:lineRule="auto"/>
              <w:rPr>
                <w:rFonts w:ascii="宋体" w:hAnsi="宋体" w:cs="宋体"/>
                <w:color w:val="auto"/>
                <w:szCs w:val="21"/>
                <w:highlight w:val="none"/>
              </w:rPr>
            </w:pPr>
            <w:r>
              <w:rPr>
                <w:rFonts w:ascii="宋体" w:hAnsi="宋体"/>
                <w:color w:val="auto"/>
                <w:szCs w:val="21"/>
                <w:highlight w:val="none"/>
              </w:rPr>
              <w:t>5</w:t>
            </w:r>
          </w:p>
        </w:tc>
        <w:tc>
          <w:tcPr>
            <w:tcW w:w="4590" w:type="dxa"/>
            <w:tcBorders>
              <w:top w:val="single" w:color="auto" w:sz="4" w:space="0"/>
              <w:left w:val="nil"/>
              <w:right w:val="single" w:color="auto" w:sz="4" w:space="0"/>
            </w:tcBorders>
            <w:vAlign w:val="center"/>
          </w:tcPr>
          <w:p>
            <w:pPr>
              <w:tabs>
                <w:tab w:val="left" w:pos="8200"/>
              </w:tabs>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投标人具有ISO9001、ISO14001、ISO18001企业资质证书，提供3个证书得3分，缺1个扣1分；投标人具有国家高新技术企业证书得1分，未提供不得分；投标人具有省级软件企业证书得1分，未提供不得分；</w:t>
            </w:r>
            <w:r>
              <w:rPr>
                <w:rFonts w:ascii="宋体" w:hAnsi="宋体" w:cs="宋体"/>
                <w:color w:val="auto"/>
                <w:kern w:val="0"/>
                <w:szCs w:val="21"/>
                <w:highlight w:val="none"/>
              </w:rPr>
              <w:t xml:space="preserve"> </w:t>
            </w:r>
          </w:p>
        </w:tc>
        <w:tc>
          <w:tcPr>
            <w:tcW w:w="1805" w:type="dxa"/>
            <w:tcBorders>
              <w:top w:val="single" w:color="auto" w:sz="4" w:space="0"/>
              <w:left w:val="nil"/>
              <w:right w:val="single" w:color="auto" w:sz="4" w:space="0"/>
            </w:tcBorders>
            <w:vAlign w:val="center"/>
          </w:tcPr>
          <w:p>
            <w:pPr>
              <w:spacing w:before="120" w:line="276" w:lineRule="auto"/>
              <w:ind w:left="-38"/>
              <w:rPr>
                <w:rFonts w:ascii="宋体" w:hAnsi="宋体" w:cs="宋体"/>
                <w:color w:val="auto"/>
                <w:szCs w:val="21"/>
                <w:highlight w:val="none"/>
              </w:rPr>
            </w:pPr>
            <w:r>
              <w:rPr>
                <w:rFonts w:hint="eastAsia" w:ascii="宋体" w:hAnsi="宋体" w:cs="宋体"/>
                <w:color w:val="auto"/>
                <w:szCs w:val="21"/>
                <w:highlight w:val="none"/>
              </w:rPr>
              <w:t>以上证书须提供复印件加盖公章，原件备查</w:t>
            </w:r>
          </w:p>
        </w:tc>
      </w:tr>
      <w:tr>
        <w:tblPrEx>
          <w:tblCellMar>
            <w:top w:w="0" w:type="dxa"/>
            <w:left w:w="108" w:type="dxa"/>
            <w:bottom w:w="0" w:type="dxa"/>
            <w:right w:w="108" w:type="dxa"/>
          </w:tblCellMar>
        </w:tblPrEx>
        <w:trPr>
          <w:cantSplit/>
          <w:trHeight w:val="5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line="276" w:lineRule="auto"/>
              <w:ind w:firstLine="174" w:firstLineChars="83"/>
              <w:rPr>
                <w:rFonts w:ascii="宋体" w:hAnsi="宋体" w:cs="宋体"/>
                <w:color w:val="auto"/>
                <w:szCs w:val="21"/>
                <w:highlight w:val="none"/>
              </w:rPr>
            </w:pPr>
            <w:r>
              <w:rPr>
                <w:rFonts w:hint="eastAsia" w:ascii="宋体" w:hAnsi="宋体"/>
                <w:color w:val="auto"/>
                <w:szCs w:val="21"/>
                <w:highlight w:val="none"/>
              </w:rPr>
              <w:t>7</w:t>
            </w:r>
          </w:p>
        </w:tc>
        <w:tc>
          <w:tcPr>
            <w:tcW w:w="1306" w:type="dxa"/>
            <w:tcBorders>
              <w:top w:val="single" w:color="auto" w:sz="4" w:space="0"/>
              <w:left w:val="nil"/>
              <w:bottom w:val="single" w:color="auto" w:sz="4" w:space="0"/>
              <w:right w:val="single" w:color="auto" w:sz="4" w:space="0"/>
            </w:tcBorders>
            <w:vAlign w:val="center"/>
          </w:tcPr>
          <w:p>
            <w:pPr>
              <w:spacing w:before="120" w:line="276" w:lineRule="auto"/>
              <w:rPr>
                <w:rFonts w:ascii="宋体" w:hAnsi="宋体" w:cs="宋体"/>
                <w:color w:val="auto"/>
                <w:szCs w:val="21"/>
                <w:highlight w:val="none"/>
              </w:rPr>
            </w:pPr>
            <w:r>
              <w:rPr>
                <w:rFonts w:hint="eastAsia" w:ascii="宋体" w:hAnsi="宋体"/>
                <w:color w:val="auto"/>
                <w:kern w:val="0"/>
                <w:szCs w:val="21"/>
                <w:highlight w:val="none"/>
              </w:rPr>
              <w:t>项目实施方案</w:t>
            </w:r>
          </w:p>
        </w:tc>
        <w:tc>
          <w:tcPr>
            <w:tcW w:w="804" w:type="dxa"/>
            <w:tcBorders>
              <w:top w:val="single" w:color="auto" w:sz="4" w:space="0"/>
              <w:left w:val="nil"/>
              <w:bottom w:val="single" w:color="auto" w:sz="4" w:space="0"/>
              <w:right w:val="single" w:color="auto" w:sz="4" w:space="0"/>
            </w:tcBorders>
            <w:vAlign w:val="center"/>
          </w:tcPr>
          <w:p>
            <w:pPr>
              <w:spacing w:line="276" w:lineRule="auto"/>
              <w:ind w:firstLine="174" w:firstLineChars="83"/>
              <w:rPr>
                <w:rFonts w:ascii="宋体" w:hAnsi="宋体" w:cs="宋体"/>
                <w:color w:val="auto"/>
                <w:szCs w:val="21"/>
                <w:highlight w:val="none"/>
              </w:rPr>
            </w:pPr>
            <w:r>
              <w:rPr>
                <w:rFonts w:hint="eastAsia" w:ascii="宋体" w:hAnsi="宋体" w:cs="宋体"/>
                <w:color w:val="auto"/>
                <w:szCs w:val="21"/>
                <w:highlight w:val="none"/>
              </w:rPr>
              <w:t>3</w:t>
            </w:r>
          </w:p>
        </w:tc>
        <w:tc>
          <w:tcPr>
            <w:tcW w:w="4590" w:type="dxa"/>
            <w:tcBorders>
              <w:top w:val="single" w:color="auto" w:sz="4" w:space="0"/>
              <w:left w:val="nil"/>
              <w:bottom w:val="single" w:color="auto" w:sz="4" w:space="0"/>
              <w:right w:val="single" w:color="auto" w:sz="4" w:space="0"/>
            </w:tcBorders>
            <w:vAlign w:val="center"/>
          </w:tcPr>
          <w:p>
            <w:pPr>
              <w:tabs>
                <w:tab w:val="left" w:pos="8200"/>
              </w:tabs>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评委将根据投标人提供的项目实施组织机构合理性、项目组成人员分工和人员保证、项目实施方式与采用项目管理工具有完整的项目实施计划和工作内容及过程控制文件，能够满足本项目的需求进行评定，完善得3分、一般得1分，差不得分。</w:t>
            </w:r>
          </w:p>
        </w:tc>
        <w:tc>
          <w:tcPr>
            <w:tcW w:w="1805" w:type="dxa"/>
            <w:tcBorders>
              <w:top w:val="single" w:color="auto" w:sz="4" w:space="0"/>
              <w:left w:val="nil"/>
              <w:bottom w:val="single" w:color="auto" w:sz="4" w:space="0"/>
              <w:right w:val="single" w:color="auto" w:sz="4" w:space="0"/>
            </w:tcBorders>
            <w:vAlign w:val="center"/>
          </w:tcPr>
          <w:p>
            <w:pPr>
              <w:spacing w:before="120" w:line="276" w:lineRule="auto"/>
              <w:ind w:firstLine="480"/>
              <w:rPr>
                <w:rFonts w:ascii="宋体" w:hAnsi="宋体" w:cs="宋体"/>
                <w:color w:val="auto"/>
                <w:sz w:val="28"/>
                <w:szCs w:val="28"/>
                <w:highlight w:val="none"/>
              </w:rPr>
            </w:pPr>
          </w:p>
        </w:tc>
      </w:tr>
      <w:tr>
        <w:tblPrEx>
          <w:tblCellMar>
            <w:top w:w="0" w:type="dxa"/>
            <w:left w:w="108" w:type="dxa"/>
            <w:bottom w:w="0" w:type="dxa"/>
            <w:right w:w="108" w:type="dxa"/>
          </w:tblCellMar>
        </w:tblPrEx>
        <w:trPr>
          <w:cantSplit/>
          <w:trHeight w:val="5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line="276" w:lineRule="auto"/>
              <w:ind w:firstLine="174" w:firstLineChars="83"/>
              <w:rPr>
                <w:rFonts w:ascii="宋体" w:hAnsi="宋体"/>
                <w:color w:val="auto"/>
                <w:szCs w:val="21"/>
                <w:highlight w:val="none"/>
              </w:rPr>
            </w:pPr>
            <w:r>
              <w:rPr>
                <w:rFonts w:hint="eastAsia" w:ascii="宋体" w:hAnsi="宋体"/>
                <w:color w:val="auto"/>
                <w:szCs w:val="21"/>
                <w:highlight w:val="none"/>
              </w:rPr>
              <w:t>8</w:t>
            </w:r>
          </w:p>
        </w:tc>
        <w:tc>
          <w:tcPr>
            <w:tcW w:w="1306" w:type="dxa"/>
            <w:tcBorders>
              <w:top w:val="single" w:color="auto" w:sz="4" w:space="0"/>
              <w:left w:val="nil"/>
              <w:bottom w:val="single" w:color="auto" w:sz="4" w:space="0"/>
              <w:right w:val="single" w:color="auto" w:sz="4" w:space="0"/>
            </w:tcBorders>
            <w:vAlign w:val="center"/>
          </w:tcPr>
          <w:p>
            <w:pPr>
              <w:spacing w:before="120" w:line="276" w:lineRule="auto"/>
              <w:rPr>
                <w:rFonts w:ascii="宋体" w:hAnsi="宋体"/>
                <w:color w:val="auto"/>
                <w:kern w:val="0"/>
                <w:szCs w:val="21"/>
                <w:highlight w:val="none"/>
              </w:rPr>
            </w:pPr>
            <w:r>
              <w:rPr>
                <w:rFonts w:hint="eastAsia" w:ascii="宋体" w:hAnsi="宋体"/>
                <w:color w:val="auto"/>
                <w:kern w:val="0"/>
                <w:szCs w:val="21"/>
                <w:highlight w:val="none"/>
              </w:rPr>
              <w:t>项目实施能力</w:t>
            </w:r>
          </w:p>
        </w:tc>
        <w:tc>
          <w:tcPr>
            <w:tcW w:w="804" w:type="dxa"/>
            <w:tcBorders>
              <w:top w:val="single" w:color="auto" w:sz="4" w:space="0"/>
              <w:left w:val="nil"/>
              <w:bottom w:val="single" w:color="auto" w:sz="4" w:space="0"/>
              <w:right w:val="single" w:color="auto" w:sz="4" w:space="0"/>
            </w:tcBorders>
            <w:vAlign w:val="center"/>
          </w:tcPr>
          <w:p>
            <w:pPr>
              <w:spacing w:line="276" w:lineRule="auto"/>
              <w:ind w:firstLine="174" w:firstLineChars="83"/>
              <w:rPr>
                <w:rFonts w:ascii="宋体" w:hAnsi="宋体" w:cs="宋体"/>
                <w:color w:val="auto"/>
                <w:szCs w:val="21"/>
                <w:highlight w:val="none"/>
              </w:rPr>
            </w:pPr>
            <w:r>
              <w:rPr>
                <w:rFonts w:ascii="宋体" w:hAnsi="宋体" w:cs="宋体"/>
                <w:color w:val="auto"/>
                <w:szCs w:val="21"/>
                <w:highlight w:val="none"/>
              </w:rPr>
              <w:t>2</w:t>
            </w:r>
          </w:p>
        </w:tc>
        <w:tc>
          <w:tcPr>
            <w:tcW w:w="4590" w:type="dxa"/>
            <w:tcBorders>
              <w:top w:val="single" w:color="auto" w:sz="4" w:space="0"/>
              <w:left w:val="nil"/>
              <w:bottom w:val="single" w:color="auto" w:sz="4" w:space="0"/>
              <w:right w:val="single" w:color="auto" w:sz="4" w:space="0"/>
            </w:tcBorders>
            <w:vAlign w:val="center"/>
          </w:tcPr>
          <w:p>
            <w:pPr>
              <w:tabs>
                <w:tab w:val="left" w:pos="8200"/>
              </w:tabs>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项目团队成员具备PMP证书的，得1分；</w:t>
            </w:r>
          </w:p>
          <w:p>
            <w:pPr>
              <w:tabs>
                <w:tab w:val="left" w:pos="8200"/>
              </w:tabs>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拟投入本项目团队核心成员不低于10人，本科及以上学历不低于90%，满足条件得</w:t>
            </w:r>
            <w:r>
              <w:rPr>
                <w:rFonts w:ascii="宋体" w:hAnsi="宋体" w:cs="宋体"/>
                <w:color w:val="auto"/>
                <w:kern w:val="0"/>
                <w:szCs w:val="21"/>
                <w:highlight w:val="none"/>
              </w:rPr>
              <w:t>1</w:t>
            </w:r>
            <w:r>
              <w:rPr>
                <w:rFonts w:hint="eastAsia" w:ascii="宋体" w:hAnsi="宋体" w:cs="宋体"/>
                <w:color w:val="auto"/>
                <w:kern w:val="0"/>
                <w:szCs w:val="21"/>
                <w:highlight w:val="none"/>
              </w:rPr>
              <w:t>分，否则不得分。</w:t>
            </w:r>
          </w:p>
        </w:tc>
        <w:tc>
          <w:tcPr>
            <w:tcW w:w="1805" w:type="dxa"/>
            <w:tcBorders>
              <w:top w:val="single" w:color="auto" w:sz="4" w:space="0"/>
              <w:left w:val="nil"/>
              <w:bottom w:val="single" w:color="auto" w:sz="4" w:space="0"/>
              <w:right w:val="single" w:color="auto" w:sz="4" w:space="0"/>
            </w:tcBorders>
            <w:vAlign w:val="center"/>
          </w:tcPr>
          <w:p>
            <w:pPr>
              <w:spacing w:before="120" w:line="276" w:lineRule="auto"/>
              <w:ind w:firstLine="480"/>
              <w:rPr>
                <w:rFonts w:ascii="宋体" w:hAnsi="宋体" w:cs="宋体"/>
                <w:color w:val="auto"/>
                <w:sz w:val="28"/>
                <w:szCs w:val="28"/>
                <w:highlight w:val="none"/>
              </w:rPr>
            </w:pPr>
          </w:p>
        </w:tc>
      </w:tr>
      <w:tr>
        <w:tblPrEx>
          <w:tblCellMar>
            <w:top w:w="0" w:type="dxa"/>
            <w:left w:w="108" w:type="dxa"/>
            <w:bottom w:w="0" w:type="dxa"/>
            <w:right w:w="108" w:type="dxa"/>
          </w:tblCellMar>
        </w:tblPrEx>
        <w:trPr>
          <w:cantSplit/>
          <w:trHeight w:val="40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line="276" w:lineRule="auto"/>
              <w:ind w:firstLine="174" w:firstLineChars="83"/>
              <w:rPr>
                <w:rFonts w:ascii="宋体" w:hAnsi="宋体" w:cs="宋体"/>
                <w:color w:val="auto"/>
                <w:szCs w:val="21"/>
                <w:highlight w:val="none"/>
              </w:rPr>
            </w:pPr>
            <w:r>
              <w:rPr>
                <w:rFonts w:ascii="宋体" w:hAnsi="宋体" w:cs="宋体"/>
                <w:color w:val="auto"/>
                <w:szCs w:val="21"/>
                <w:highlight w:val="none"/>
              </w:rPr>
              <w:t>9</w:t>
            </w:r>
          </w:p>
        </w:tc>
        <w:tc>
          <w:tcPr>
            <w:tcW w:w="1306" w:type="dxa"/>
            <w:tcBorders>
              <w:top w:val="single" w:color="auto" w:sz="4" w:space="0"/>
              <w:left w:val="nil"/>
              <w:bottom w:val="single" w:color="auto" w:sz="4" w:space="0"/>
              <w:right w:val="single" w:color="auto" w:sz="4" w:space="0"/>
            </w:tcBorders>
            <w:vAlign w:val="center"/>
          </w:tcPr>
          <w:p>
            <w:pPr>
              <w:spacing w:line="276" w:lineRule="auto"/>
              <w:ind w:right="-84" w:rightChars="-40"/>
              <w:rPr>
                <w:rFonts w:ascii="宋体" w:hAnsi="宋体" w:cs="宋体"/>
                <w:color w:val="auto"/>
                <w:szCs w:val="21"/>
                <w:highlight w:val="none"/>
              </w:rPr>
            </w:pPr>
            <w:r>
              <w:rPr>
                <w:rFonts w:hint="eastAsia" w:ascii="宋体" w:hAnsi="宋体"/>
                <w:color w:val="auto"/>
                <w:szCs w:val="21"/>
                <w:highlight w:val="none"/>
              </w:rPr>
              <w:t>售后服务</w:t>
            </w:r>
          </w:p>
        </w:tc>
        <w:tc>
          <w:tcPr>
            <w:tcW w:w="804" w:type="dxa"/>
            <w:tcBorders>
              <w:top w:val="single" w:color="auto" w:sz="4" w:space="0"/>
              <w:left w:val="nil"/>
              <w:bottom w:val="single" w:color="auto" w:sz="4" w:space="0"/>
              <w:right w:val="single" w:color="auto" w:sz="4" w:space="0"/>
            </w:tcBorders>
            <w:vAlign w:val="center"/>
          </w:tcPr>
          <w:p>
            <w:pPr>
              <w:spacing w:line="276" w:lineRule="auto"/>
              <w:ind w:firstLine="174" w:firstLineChars="83"/>
              <w:rPr>
                <w:rFonts w:ascii="宋体" w:hAnsi="宋体" w:cs="宋体"/>
                <w:color w:val="auto"/>
                <w:szCs w:val="21"/>
                <w:highlight w:val="none"/>
              </w:rPr>
            </w:pPr>
            <w:r>
              <w:rPr>
                <w:rFonts w:ascii="宋体" w:hAnsi="宋体" w:cs="宋体"/>
                <w:color w:val="auto"/>
                <w:szCs w:val="21"/>
                <w:highlight w:val="none"/>
              </w:rPr>
              <w:t>3</w:t>
            </w:r>
          </w:p>
        </w:tc>
        <w:tc>
          <w:tcPr>
            <w:tcW w:w="4590" w:type="dxa"/>
            <w:tcBorders>
              <w:top w:val="single" w:color="auto" w:sz="4" w:space="0"/>
              <w:left w:val="nil"/>
              <w:bottom w:val="single" w:color="auto" w:sz="4" w:space="0"/>
              <w:right w:val="single" w:color="auto" w:sz="4" w:space="0"/>
            </w:tcBorders>
            <w:vAlign w:val="center"/>
          </w:tcPr>
          <w:p>
            <w:pPr>
              <w:tabs>
                <w:tab w:val="left" w:pos="8200"/>
              </w:tabs>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完全满足招标文件售后服务要求的得1分。</w:t>
            </w:r>
          </w:p>
          <w:p>
            <w:pPr>
              <w:tabs>
                <w:tab w:val="left" w:pos="8200"/>
              </w:tabs>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能够承诺提供1人驻场开发及维护的得1分，增加1人加1分，最多得2分。</w:t>
            </w:r>
          </w:p>
        </w:tc>
        <w:tc>
          <w:tcPr>
            <w:tcW w:w="1805" w:type="dxa"/>
            <w:tcBorders>
              <w:top w:val="single" w:color="auto" w:sz="4" w:space="0"/>
              <w:left w:val="nil"/>
              <w:bottom w:val="single" w:color="auto" w:sz="4" w:space="0"/>
              <w:right w:val="single" w:color="auto" w:sz="4" w:space="0"/>
            </w:tcBorders>
            <w:vAlign w:val="center"/>
          </w:tcPr>
          <w:p>
            <w:pPr>
              <w:spacing w:before="120" w:line="276" w:lineRule="auto"/>
              <w:ind w:left="-38" w:firstLine="480"/>
              <w:rPr>
                <w:rFonts w:ascii="宋体" w:hAnsi="宋体" w:cs="宋体"/>
                <w:color w:val="auto"/>
                <w:sz w:val="28"/>
                <w:szCs w:val="28"/>
                <w:highlight w:val="none"/>
              </w:rPr>
            </w:pPr>
          </w:p>
        </w:tc>
      </w:tr>
      <w:tr>
        <w:tblPrEx>
          <w:tblCellMar>
            <w:top w:w="0" w:type="dxa"/>
            <w:left w:w="108" w:type="dxa"/>
            <w:bottom w:w="0" w:type="dxa"/>
            <w:right w:w="108" w:type="dxa"/>
          </w:tblCellMar>
        </w:tblPrEx>
        <w:trPr>
          <w:cantSplit/>
          <w:trHeight w:val="40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line="276" w:lineRule="auto"/>
              <w:ind w:firstLine="174" w:firstLineChars="83"/>
              <w:rPr>
                <w:rFonts w:ascii="宋体" w:hAnsi="宋体" w:cs="宋体"/>
                <w:color w:val="auto"/>
                <w:szCs w:val="21"/>
                <w:highlight w:val="none"/>
              </w:rPr>
            </w:pPr>
            <w:r>
              <w:rPr>
                <w:rFonts w:ascii="宋体" w:hAnsi="宋体" w:cs="宋体"/>
                <w:color w:val="auto"/>
                <w:szCs w:val="21"/>
                <w:highlight w:val="none"/>
              </w:rPr>
              <w:t>10</w:t>
            </w:r>
          </w:p>
        </w:tc>
        <w:tc>
          <w:tcPr>
            <w:tcW w:w="1306" w:type="dxa"/>
            <w:tcBorders>
              <w:top w:val="single" w:color="auto" w:sz="4" w:space="0"/>
              <w:left w:val="nil"/>
              <w:bottom w:val="single" w:color="auto" w:sz="4" w:space="0"/>
              <w:right w:val="single" w:color="auto" w:sz="4" w:space="0"/>
            </w:tcBorders>
            <w:vAlign w:val="center"/>
          </w:tcPr>
          <w:p>
            <w:pPr>
              <w:spacing w:line="276" w:lineRule="auto"/>
              <w:ind w:right="-84" w:rightChars="-40"/>
              <w:rPr>
                <w:rFonts w:ascii="宋体" w:hAnsi="宋体" w:cs="宋体"/>
                <w:color w:val="auto"/>
                <w:szCs w:val="21"/>
                <w:highlight w:val="none"/>
              </w:rPr>
            </w:pPr>
            <w:r>
              <w:rPr>
                <w:rFonts w:hint="eastAsia" w:ascii="宋体" w:hAnsi="宋体"/>
                <w:color w:val="auto"/>
                <w:szCs w:val="21"/>
                <w:highlight w:val="none"/>
              </w:rPr>
              <w:t>投标文件规范性、完整性</w:t>
            </w:r>
          </w:p>
        </w:tc>
        <w:tc>
          <w:tcPr>
            <w:tcW w:w="804" w:type="dxa"/>
            <w:tcBorders>
              <w:top w:val="single" w:color="auto" w:sz="4" w:space="0"/>
              <w:left w:val="nil"/>
              <w:bottom w:val="single" w:color="auto" w:sz="4" w:space="0"/>
              <w:right w:val="single" w:color="auto" w:sz="4" w:space="0"/>
            </w:tcBorders>
            <w:vAlign w:val="center"/>
          </w:tcPr>
          <w:p>
            <w:pPr>
              <w:spacing w:line="276" w:lineRule="auto"/>
              <w:ind w:firstLine="174" w:firstLineChars="83"/>
              <w:rPr>
                <w:rFonts w:ascii="宋体" w:hAnsi="宋体" w:cs="宋体"/>
                <w:color w:val="auto"/>
                <w:szCs w:val="21"/>
                <w:highlight w:val="none"/>
              </w:rPr>
            </w:pPr>
            <w:r>
              <w:rPr>
                <w:rFonts w:ascii="宋体" w:hAnsi="宋体"/>
                <w:color w:val="auto"/>
                <w:szCs w:val="21"/>
                <w:highlight w:val="none"/>
              </w:rPr>
              <w:t>2</w:t>
            </w:r>
          </w:p>
        </w:tc>
        <w:tc>
          <w:tcPr>
            <w:tcW w:w="4590" w:type="dxa"/>
            <w:tcBorders>
              <w:top w:val="single" w:color="auto" w:sz="4" w:space="0"/>
              <w:left w:val="nil"/>
              <w:bottom w:val="single" w:color="auto" w:sz="4" w:space="0"/>
              <w:right w:val="single" w:color="auto" w:sz="4" w:space="0"/>
            </w:tcBorders>
            <w:vAlign w:val="center"/>
          </w:tcPr>
          <w:p>
            <w:pPr>
              <w:tabs>
                <w:tab w:val="left" w:pos="8200"/>
              </w:tabs>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文件内容完备，格式规范，封装整齐，满足招标文件要求得2分。没有目录或目录与内文不对应扣1分；编排混乱、前后矛盾，评审委员会允许且需要通过询标等程序进行澄清的，扣0.5分；字迹模糊难辨扣0.5分。</w:t>
            </w:r>
          </w:p>
        </w:tc>
        <w:tc>
          <w:tcPr>
            <w:tcW w:w="1805" w:type="dxa"/>
            <w:tcBorders>
              <w:top w:val="single" w:color="auto" w:sz="4" w:space="0"/>
              <w:left w:val="nil"/>
              <w:bottom w:val="single" w:color="auto" w:sz="4" w:space="0"/>
              <w:right w:val="single" w:color="auto" w:sz="4" w:space="0"/>
            </w:tcBorders>
            <w:vAlign w:val="center"/>
          </w:tcPr>
          <w:p>
            <w:pPr>
              <w:spacing w:before="120" w:line="276" w:lineRule="auto"/>
              <w:ind w:firstLine="480"/>
              <w:rPr>
                <w:rFonts w:ascii="宋体" w:hAnsi="宋体" w:cs="宋体"/>
                <w:color w:val="auto"/>
                <w:sz w:val="28"/>
                <w:szCs w:val="28"/>
                <w:highlight w:val="none"/>
              </w:rPr>
            </w:pPr>
          </w:p>
        </w:tc>
      </w:tr>
    </w:tbl>
    <w:p>
      <w:pPr>
        <w:spacing w:line="360" w:lineRule="auto"/>
        <w:rPr>
          <w:color w:val="auto"/>
          <w:highlight w:val="none"/>
        </w:rPr>
      </w:pPr>
    </w:p>
    <w:p>
      <w:pPr>
        <w:spacing w:line="360" w:lineRule="auto"/>
        <w:rPr>
          <w:b/>
          <w:color w:val="auto"/>
          <w:sz w:val="28"/>
          <w:szCs w:val="28"/>
          <w:highlight w:val="none"/>
        </w:rPr>
      </w:pPr>
    </w:p>
    <w:p>
      <w:pPr>
        <w:pStyle w:val="2"/>
        <w:ind w:left="1470" w:right="1470"/>
        <w:rPr>
          <w:color w:val="auto"/>
          <w:highlight w:val="none"/>
        </w:rPr>
      </w:pPr>
    </w:p>
    <w:p>
      <w:pPr>
        <w:pStyle w:val="2"/>
        <w:ind w:left="1470" w:right="1470"/>
        <w:rPr>
          <w:color w:val="auto"/>
          <w:highlight w:val="none"/>
        </w:rPr>
      </w:pPr>
    </w:p>
    <w:p>
      <w:pPr>
        <w:spacing w:line="360" w:lineRule="auto"/>
        <w:rPr>
          <w:b/>
          <w:color w:val="auto"/>
          <w:sz w:val="28"/>
          <w:szCs w:val="28"/>
          <w:highlight w:val="none"/>
        </w:rPr>
      </w:pPr>
      <w:r>
        <w:rPr>
          <w:rFonts w:hint="eastAsia"/>
          <w:b/>
          <w:color w:val="auto"/>
          <w:sz w:val="28"/>
          <w:szCs w:val="28"/>
          <w:highlight w:val="none"/>
        </w:rPr>
        <w:t>附件</w:t>
      </w:r>
      <w:r>
        <w:rPr>
          <w:b/>
          <w:color w:val="auto"/>
          <w:sz w:val="28"/>
          <w:szCs w:val="28"/>
          <w:highlight w:val="none"/>
        </w:rPr>
        <w:t>6</w:t>
      </w:r>
      <w:r>
        <w:rPr>
          <w:rFonts w:hint="eastAsia"/>
          <w:b/>
          <w:color w:val="auto"/>
          <w:sz w:val="28"/>
          <w:szCs w:val="28"/>
          <w:highlight w:val="none"/>
        </w:rPr>
        <w:t>：</w:t>
      </w:r>
    </w:p>
    <w:p>
      <w:pPr>
        <w:adjustRightInd w:val="0"/>
        <w:snapToGrid w:val="0"/>
        <w:spacing w:before="156" w:beforeLines="50" w:after="156" w:afterLines="50" w:line="360" w:lineRule="auto"/>
        <w:ind w:firstLine="666"/>
        <w:jc w:val="center"/>
        <w:outlineLvl w:val="0"/>
        <w:rPr>
          <w:rFonts w:ascii="黑体" w:hAnsi="黑体" w:eastAsia="黑体"/>
          <w:b/>
          <w:bCs/>
          <w:color w:val="auto"/>
          <w:sz w:val="28"/>
          <w:szCs w:val="28"/>
          <w:highlight w:val="none"/>
        </w:rPr>
      </w:pPr>
      <w:r>
        <w:rPr>
          <w:rFonts w:hint="eastAsia" w:ascii="黑体" w:hAnsi="黑体" w:eastAsia="黑体"/>
          <w:b/>
          <w:color w:val="auto"/>
          <w:sz w:val="28"/>
          <w:szCs w:val="28"/>
          <w:highlight w:val="none"/>
        </w:rPr>
        <w:t>系统开发服务合同</w:t>
      </w:r>
    </w:p>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项目名称：</w:t>
      </w:r>
      <w:r>
        <w:rPr>
          <w:rFonts w:hAnsi="宋体"/>
          <w:color w:val="auto"/>
          <w:sz w:val="28"/>
          <w:szCs w:val="28"/>
          <w:highlight w:val="none"/>
        </w:rPr>
        <w:t xml:space="preserve">                                       </w:t>
      </w:r>
      <w:r>
        <w:rPr>
          <w:rFonts w:hint="eastAsia" w:hAnsi="宋体"/>
          <w:color w:val="auto"/>
          <w:sz w:val="28"/>
          <w:szCs w:val="28"/>
          <w:highlight w:val="none"/>
        </w:rPr>
        <w:t>项目编号：</w:t>
      </w:r>
    </w:p>
    <w:p>
      <w:pPr>
        <w:pStyle w:val="10"/>
        <w:adjustRightInd w:val="0"/>
        <w:snapToGrid w:val="0"/>
        <w:spacing w:before="156" w:after="156" w:line="360" w:lineRule="auto"/>
        <w:ind w:firstLine="470"/>
        <w:rPr>
          <w:rFonts w:hAnsi="宋体"/>
          <w:color w:val="auto"/>
          <w:sz w:val="28"/>
          <w:szCs w:val="28"/>
          <w:highlight w:val="none"/>
          <w:u w:val="single"/>
        </w:rPr>
      </w:pPr>
      <w:r>
        <w:rPr>
          <w:rFonts w:hint="eastAsia" w:hAnsi="宋体"/>
          <w:color w:val="auto"/>
          <w:sz w:val="28"/>
          <w:szCs w:val="28"/>
          <w:highlight w:val="none"/>
        </w:rPr>
        <w:t>甲方：（委托方）</w:t>
      </w:r>
      <w:r>
        <w:rPr>
          <w:rFonts w:hint="eastAsia" w:hAnsi="宋体"/>
          <w:color w:val="auto"/>
          <w:sz w:val="28"/>
          <w:szCs w:val="28"/>
          <w:highlight w:val="none"/>
          <w:u w:val="single"/>
        </w:rPr>
        <w:t xml:space="preserve">                               </w:t>
      </w:r>
    </w:p>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乙方：（受托方）</w:t>
      </w:r>
      <w:r>
        <w:rPr>
          <w:rFonts w:hint="eastAsia" w:hAnsi="宋体"/>
          <w:color w:val="auto"/>
          <w:sz w:val="28"/>
          <w:szCs w:val="28"/>
          <w:highlight w:val="none"/>
          <w:u w:val="single"/>
        </w:rPr>
        <w:t xml:space="preserve">                               </w:t>
      </w:r>
    </w:p>
    <w:p>
      <w:pPr>
        <w:pStyle w:val="10"/>
        <w:adjustRightInd w:val="0"/>
        <w:snapToGrid w:val="0"/>
        <w:spacing w:before="156" w:after="156" w:line="360" w:lineRule="auto"/>
        <w:ind w:firstLine="470"/>
        <w:rPr>
          <w:rFonts w:hAnsi="宋体"/>
          <w:b/>
          <w:color w:val="auto"/>
          <w:sz w:val="28"/>
          <w:szCs w:val="28"/>
          <w:highlight w:val="none"/>
        </w:rPr>
      </w:pPr>
      <w:r>
        <w:rPr>
          <w:rFonts w:hint="eastAsia" w:hAnsi="宋体"/>
          <w:color w:val="auto"/>
          <w:sz w:val="28"/>
          <w:szCs w:val="28"/>
          <w:highlight w:val="none"/>
        </w:rPr>
        <w:t>甲、乙双方根据甲方项目采购谈判的结果，签署本合同。</w:t>
      </w:r>
    </w:p>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一、（采购内容）（表格中建议添加核心功能描述）</w:t>
      </w:r>
    </w:p>
    <w:tbl>
      <w:tblPr>
        <w:tblStyle w:val="18"/>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9"/>
        <w:gridCol w:w="3189"/>
        <w:gridCol w:w="1472"/>
        <w:gridCol w:w="1662"/>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9" w:type="dxa"/>
            <w:vAlign w:val="center"/>
          </w:tcPr>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序号</w:t>
            </w:r>
          </w:p>
        </w:tc>
        <w:tc>
          <w:tcPr>
            <w:tcW w:w="3189" w:type="dxa"/>
            <w:vAlign w:val="center"/>
          </w:tcPr>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平台名称</w:t>
            </w:r>
          </w:p>
        </w:tc>
        <w:tc>
          <w:tcPr>
            <w:tcW w:w="1472" w:type="dxa"/>
            <w:vAlign w:val="center"/>
          </w:tcPr>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单价</w:t>
            </w:r>
          </w:p>
        </w:tc>
        <w:tc>
          <w:tcPr>
            <w:tcW w:w="1662" w:type="dxa"/>
            <w:vAlign w:val="center"/>
          </w:tcPr>
          <w:p>
            <w:pPr>
              <w:pStyle w:val="10"/>
              <w:adjustRightInd w:val="0"/>
              <w:snapToGrid w:val="0"/>
              <w:spacing w:before="156" w:after="156" w:line="360" w:lineRule="auto"/>
              <w:ind w:firstLine="470"/>
              <w:rPr>
                <w:rFonts w:hAnsi="宋体"/>
                <w:color w:val="auto"/>
                <w:sz w:val="28"/>
                <w:szCs w:val="28"/>
                <w:highlight w:val="none"/>
              </w:rPr>
            </w:pPr>
            <w:r>
              <w:rPr>
                <w:rFonts w:hAnsi="宋体"/>
                <w:color w:val="auto"/>
                <w:sz w:val="28"/>
                <w:szCs w:val="28"/>
                <w:highlight w:val="none"/>
              </w:rPr>
              <w:t xml:space="preserve">  </w:t>
            </w:r>
            <w:r>
              <w:rPr>
                <w:rFonts w:hint="eastAsia" w:hAnsi="宋体"/>
                <w:color w:val="auto"/>
                <w:sz w:val="28"/>
                <w:szCs w:val="28"/>
                <w:highlight w:val="none"/>
              </w:rPr>
              <w:t>数量</w:t>
            </w:r>
          </w:p>
        </w:tc>
        <w:tc>
          <w:tcPr>
            <w:tcW w:w="1570" w:type="dxa"/>
            <w:vAlign w:val="center"/>
          </w:tcPr>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9" w:type="dxa"/>
            <w:vAlign w:val="center"/>
          </w:tcPr>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1</w:t>
            </w:r>
          </w:p>
        </w:tc>
        <w:tc>
          <w:tcPr>
            <w:tcW w:w="3189" w:type="dxa"/>
            <w:vAlign w:val="center"/>
          </w:tcPr>
          <w:p>
            <w:pPr>
              <w:pStyle w:val="10"/>
              <w:adjustRightInd w:val="0"/>
              <w:snapToGrid w:val="0"/>
              <w:spacing w:before="156" w:after="156" w:line="360" w:lineRule="auto"/>
              <w:ind w:firstLine="470"/>
              <w:rPr>
                <w:rFonts w:hAnsi="宋体"/>
                <w:color w:val="auto"/>
                <w:sz w:val="28"/>
                <w:szCs w:val="28"/>
                <w:highlight w:val="none"/>
              </w:rPr>
            </w:pPr>
          </w:p>
        </w:tc>
        <w:tc>
          <w:tcPr>
            <w:tcW w:w="1472" w:type="dxa"/>
            <w:vAlign w:val="center"/>
          </w:tcPr>
          <w:p>
            <w:pPr>
              <w:pStyle w:val="10"/>
              <w:adjustRightInd w:val="0"/>
              <w:snapToGrid w:val="0"/>
              <w:spacing w:before="156" w:after="156" w:line="360" w:lineRule="auto"/>
              <w:ind w:firstLine="470"/>
              <w:rPr>
                <w:rFonts w:hAnsi="宋体"/>
                <w:color w:val="auto"/>
                <w:sz w:val="28"/>
                <w:szCs w:val="28"/>
                <w:highlight w:val="none"/>
              </w:rPr>
            </w:pPr>
          </w:p>
        </w:tc>
        <w:tc>
          <w:tcPr>
            <w:tcW w:w="1662" w:type="dxa"/>
            <w:vAlign w:val="center"/>
          </w:tcPr>
          <w:p>
            <w:pPr>
              <w:pStyle w:val="10"/>
              <w:adjustRightInd w:val="0"/>
              <w:snapToGrid w:val="0"/>
              <w:spacing w:before="156" w:after="156" w:line="360" w:lineRule="auto"/>
              <w:ind w:firstLine="470"/>
              <w:rPr>
                <w:rFonts w:hAnsi="宋体"/>
                <w:color w:val="auto"/>
                <w:sz w:val="28"/>
                <w:szCs w:val="28"/>
                <w:highlight w:val="none"/>
              </w:rPr>
            </w:pPr>
          </w:p>
        </w:tc>
        <w:tc>
          <w:tcPr>
            <w:tcW w:w="1570" w:type="dxa"/>
            <w:vAlign w:val="center"/>
          </w:tcPr>
          <w:p>
            <w:pPr>
              <w:pStyle w:val="10"/>
              <w:adjustRightInd w:val="0"/>
              <w:snapToGrid w:val="0"/>
              <w:spacing w:before="156" w:after="156" w:line="360" w:lineRule="auto"/>
              <w:ind w:firstLine="470"/>
              <w:rPr>
                <w:rFonts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9" w:type="dxa"/>
            <w:vAlign w:val="center"/>
          </w:tcPr>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2</w:t>
            </w:r>
          </w:p>
        </w:tc>
        <w:tc>
          <w:tcPr>
            <w:tcW w:w="3189" w:type="dxa"/>
            <w:vAlign w:val="center"/>
          </w:tcPr>
          <w:p>
            <w:pPr>
              <w:pStyle w:val="10"/>
              <w:adjustRightInd w:val="0"/>
              <w:snapToGrid w:val="0"/>
              <w:spacing w:before="156" w:after="156" w:line="360" w:lineRule="auto"/>
              <w:ind w:firstLine="470"/>
              <w:rPr>
                <w:rFonts w:hAnsi="宋体"/>
                <w:color w:val="auto"/>
                <w:sz w:val="28"/>
                <w:szCs w:val="28"/>
                <w:highlight w:val="none"/>
              </w:rPr>
            </w:pPr>
          </w:p>
        </w:tc>
        <w:tc>
          <w:tcPr>
            <w:tcW w:w="1472" w:type="dxa"/>
            <w:vAlign w:val="center"/>
          </w:tcPr>
          <w:p>
            <w:pPr>
              <w:pStyle w:val="10"/>
              <w:adjustRightInd w:val="0"/>
              <w:snapToGrid w:val="0"/>
              <w:spacing w:before="156" w:after="156" w:line="360" w:lineRule="auto"/>
              <w:ind w:firstLine="470"/>
              <w:rPr>
                <w:rFonts w:hAnsi="宋体"/>
                <w:color w:val="auto"/>
                <w:sz w:val="28"/>
                <w:szCs w:val="28"/>
                <w:highlight w:val="none"/>
              </w:rPr>
            </w:pPr>
          </w:p>
        </w:tc>
        <w:tc>
          <w:tcPr>
            <w:tcW w:w="1662" w:type="dxa"/>
            <w:vAlign w:val="center"/>
          </w:tcPr>
          <w:p>
            <w:pPr>
              <w:pStyle w:val="10"/>
              <w:adjustRightInd w:val="0"/>
              <w:snapToGrid w:val="0"/>
              <w:spacing w:before="156" w:after="156" w:line="360" w:lineRule="auto"/>
              <w:ind w:firstLine="470"/>
              <w:rPr>
                <w:rFonts w:hAnsi="宋体"/>
                <w:color w:val="auto"/>
                <w:sz w:val="28"/>
                <w:szCs w:val="28"/>
                <w:highlight w:val="none"/>
              </w:rPr>
            </w:pPr>
          </w:p>
        </w:tc>
        <w:tc>
          <w:tcPr>
            <w:tcW w:w="1570" w:type="dxa"/>
            <w:vAlign w:val="center"/>
          </w:tcPr>
          <w:p>
            <w:pPr>
              <w:pStyle w:val="10"/>
              <w:adjustRightInd w:val="0"/>
              <w:snapToGrid w:val="0"/>
              <w:spacing w:before="156" w:after="156" w:line="360" w:lineRule="auto"/>
              <w:ind w:firstLine="470"/>
              <w:rPr>
                <w:rFonts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9" w:type="dxa"/>
            <w:vAlign w:val="center"/>
          </w:tcPr>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3</w:t>
            </w:r>
          </w:p>
        </w:tc>
        <w:tc>
          <w:tcPr>
            <w:tcW w:w="3189" w:type="dxa"/>
            <w:vAlign w:val="center"/>
          </w:tcPr>
          <w:p>
            <w:pPr>
              <w:pStyle w:val="10"/>
              <w:adjustRightInd w:val="0"/>
              <w:snapToGrid w:val="0"/>
              <w:spacing w:before="156" w:after="156" w:line="360" w:lineRule="auto"/>
              <w:ind w:firstLine="470"/>
              <w:rPr>
                <w:rFonts w:hAnsi="宋体"/>
                <w:color w:val="auto"/>
                <w:sz w:val="28"/>
                <w:szCs w:val="28"/>
                <w:highlight w:val="none"/>
              </w:rPr>
            </w:pPr>
          </w:p>
        </w:tc>
        <w:tc>
          <w:tcPr>
            <w:tcW w:w="1472" w:type="dxa"/>
            <w:vAlign w:val="center"/>
          </w:tcPr>
          <w:p>
            <w:pPr>
              <w:pStyle w:val="10"/>
              <w:adjustRightInd w:val="0"/>
              <w:snapToGrid w:val="0"/>
              <w:spacing w:before="156" w:after="156" w:line="360" w:lineRule="auto"/>
              <w:ind w:firstLine="470"/>
              <w:rPr>
                <w:rFonts w:hAnsi="宋体"/>
                <w:color w:val="auto"/>
                <w:sz w:val="28"/>
                <w:szCs w:val="28"/>
                <w:highlight w:val="none"/>
              </w:rPr>
            </w:pPr>
          </w:p>
        </w:tc>
        <w:tc>
          <w:tcPr>
            <w:tcW w:w="1662" w:type="dxa"/>
            <w:vAlign w:val="center"/>
          </w:tcPr>
          <w:p>
            <w:pPr>
              <w:pStyle w:val="10"/>
              <w:adjustRightInd w:val="0"/>
              <w:snapToGrid w:val="0"/>
              <w:spacing w:before="156" w:after="156" w:line="360" w:lineRule="auto"/>
              <w:ind w:firstLine="470"/>
              <w:rPr>
                <w:rFonts w:hAnsi="宋体"/>
                <w:color w:val="auto"/>
                <w:sz w:val="28"/>
                <w:szCs w:val="28"/>
                <w:highlight w:val="none"/>
              </w:rPr>
            </w:pPr>
          </w:p>
        </w:tc>
        <w:tc>
          <w:tcPr>
            <w:tcW w:w="1570" w:type="dxa"/>
            <w:vAlign w:val="center"/>
          </w:tcPr>
          <w:p>
            <w:pPr>
              <w:pStyle w:val="10"/>
              <w:adjustRightInd w:val="0"/>
              <w:snapToGrid w:val="0"/>
              <w:spacing w:before="156" w:after="156" w:line="360" w:lineRule="auto"/>
              <w:ind w:firstLine="470"/>
              <w:rPr>
                <w:rFonts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9" w:type="dxa"/>
            <w:vAlign w:val="center"/>
          </w:tcPr>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4</w:t>
            </w:r>
          </w:p>
        </w:tc>
        <w:tc>
          <w:tcPr>
            <w:tcW w:w="3189" w:type="dxa"/>
            <w:vAlign w:val="center"/>
          </w:tcPr>
          <w:p>
            <w:pPr>
              <w:pStyle w:val="10"/>
              <w:adjustRightInd w:val="0"/>
              <w:snapToGrid w:val="0"/>
              <w:spacing w:before="156" w:after="156" w:line="360" w:lineRule="auto"/>
              <w:ind w:firstLine="470"/>
              <w:rPr>
                <w:rFonts w:hAnsi="宋体"/>
                <w:color w:val="auto"/>
                <w:sz w:val="28"/>
                <w:szCs w:val="28"/>
                <w:highlight w:val="none"/>
              </w:rPr>
            </w:pPr>
          </w:p>
        </w:tc>
        <w:tc>
          <w:tcPr>
            <w:tcW w:w="1472" w:type="dxa"/>
            <w:vAlign w:val="center"/>
          </w:tcPr>
          <w:p>
            <w:pPr>
              <w:pStyle w:val="10"/>
              <w:adjustRightInd w:val="0"/>
              <w:snapToGrid w:val="0"/>
              <w:spacing w:before="156" w:after="156" w:line="360" w:lineRule="auto"/>
              <w:ind w:firstLine="470"/>
              <w:rPr>
                <w:rFonts w:hAnsi="宋体"/>
                <w:color w:val="auto"/>
                <w:sz w:val="28"/>
                <w:szCs w:val="28"/>
                <w:highlight w:val="none"/>
              </w:rPr>
            </w:pPr>
          </w:p>
        </w:tc>
        <w:tc>
          <w:tcPr>
            <w:tcW w:w="1662" w:type="dxa"/>
            <w:vAlign w:val="center"/>
          </w:tcPr>
          <w:p>
            <w:pPr>
              <w:pStyle w:val="10"/>
              <w:adjustRightInd w:val="0"/>
              <w:snapToGrid w:val="0"/>
              <w:spacing w:before="156" w:after="156" w:line="360" w:lineRule="auto"/>
              <w:ind w:firstLine="470"/>
              <w:rPr>
                <w:rFonts w:hAnsi="宋体"/>
                <w:color w:val="auto"/>
                <w:sz w:val="28"/>
                <w:szCs w:val="28"/>
                <w:highlight w:val="none"/>
              </w:rPr>
            </w:pPr>
          </w:p>
        </w:tc>
        <w:tc>
          <w:tcPr>
            <w:tcW w:w="1570" w:type="dxa"/>
            <w:vAlign w:val="center"/>
          </w:tcPr>
          <w:p>
            <w:pPr>
              <w:pStyle w:val="10"/>
              <w:adjustRightInd w:val="0"/>
              <w:snapToGrid w:val="0"/>
              <w:spacing w:before="156" w:after="156" w:line="360" w:lineRule="auto"/>
              <w:ind w:firstLine="470"/>
              <w:rPr>
                <w:rFonts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9" w:type="dxa"/>
            <w:vAlign w:val="center"/>
          </w:tcPr>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5</w:t>
            </w:r>
          </w:p>
        </w:tc>
        <w:tc>
          <w:tcPr>
            <w:tcW w:w="3189" w:type="dxa"/>
            <w:vAlign w:val="center"/>
          </w:tcPr>
          <w:p>
            <w:pPr>
              <w:pStyle w:val="10"/>
              <w:adjustRightInd w:val="0"/>
              <w:snapToGrid w:val="0"/>
              <w:spacing w:before="156" w:after="156" w:line="360" w:lineRule="auto"/>
              <w:ind w:firstLine="470"/>
              <w:rPr>
                <w:rFonts w:hAnsi="宋体"/>
                <w:color w:val="auto"/>
                <w:sz w:val="28"/>
                <w:szCs w:val="28"/>
                <w:highlight w:val="none"/>
              </w:rPr>
            </w:pPr>
          </w:p>
        </w:tc>
        <w:tc>
          <w:tcPr>
            <w:tcW w:w="1472" w:type="dxa"/>
            <w:vAlign w:val="center"/>
          </w:tcPr>
          <w:p>
            <w:pPr>
              <w:pStyle w:val="10"/>
              <w:adjustRightInd w:val="0"/>
              <w:snapToGrid w:val="0"/>
              <w:spacing w:before="156" w:after="156" w:line="360" w:lineRule="auto"/>
              <w:ind w:firstLine="470"/>
              <w:rPr>
                <w:rFonts w:hAnsi="宋体"/>
                <w:color w:val="auto"/>
                <w:sz w:val="28"/>
                <w:szCs w:val="28"/>
                <w:highlight w:val="none"/>
              </w:rPr>
            </w:pPr>
          </w:p>
        </w:tc>
        <w:tc>
          <w:tcPr>
            <w:tcW w:w="1662" w:type="dxa"/>
            <w:vAlign w:val="center"/>
          </w:tcPr>
          <w:p>
            <w:pPr>
              <w:pStyle w:val="10"/>
              <w:adjustRightInd w:val="0"/>
              <w:snapToGrid w:val="0"/>
              <w:spacing w:before="156" w:after="156" w:line="360" w:lineRule="auto"/>
              <w:ind w:firstLine="470"/>
              <w:rPr>
                <w:rFonts w:hAnsi="宋体"/>
                <w:color w:val="auto"/>
                <w:sz w:val="28"/>
                <w:szCs w:val="28"/>
                <w:highlight w:val="none"/>
              </w:rPr>
            </w:pPr>
          </w:p>
        </w:tc>
        <w:tc>
          <w:tcPr>
            <w:tcW w:w="1570" w:type="dxa"/>
            <w:vAlign w:val="center"/>
          </w:tcPr>
          <w:p>
            <w:pPr>
              <w:pStyle w:val="10"/>
              <w:adjustRightInd w:val="0"/>
              <w:snapToGrid w:val="0"/>
              <w:spacing w:before="156" w:after="156" w:line="360" w:lineRule="auto"/>
              <w:ind w:firstLine="470"/>
              <w:rPr>
                <w:rFonts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9" w:type="dxa"/>
            <w:vAlign w:val="center"/>
          </w:tcPr>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6</w:t>
            </w:r>
          </w:p>
        </w:tc>
        <w:tc>
          <w:tcPr>
            <w:tcW w:w="3189" w:type="dxa"/>
            <w:vAlign w:val="center"/>
          </w:tcPr>
          <w:p>
            <w:pPr>
              <w:pStyle w:val="10"/>
              <w:adjustRightInd w:val="0"/>
              <w:snapToGrid w:val="0"/>
              <w:spacing w:before="156" w:after="156" w:line="360" w:lineRule="auto"/>
              <w:ind w:firstLine="470"/>
              <w:rPr>
                <w:rFonts w:hAnsi="宋体"/>
                <w:color w:val="auto"/>
                <w:sz w:val="28"/>
                <w:szCs w:val="28"/>
                <w:highlight w:val="none"/>
              </w:rPr>
            </w:pPr>
          </w:p>
        </w:tc>
        <w:tc>
          <w:tcPr>
            <w:tcW w:w="1472" w:type="dxa"/>
            <w:vAlign w:val="center"/>
          </w:tcPr>
          <w:p>
            <w:pPr>
              <w:pStyle w:val="10"/>
              <w:adjustRightInd w:val="0"/>
              <w:snapToGrid w:val="0"/>
              <w:spacing w:before="156" w:after="156" w:line="360" w:lineRule="auto"/>
              <w:ind w:firstLine="470"/>
              <w:rPr>
                <w:rFonts w:hAnsi="宋体"/>
                <w:color w:val="auto"/>
                <w:sz w:val="28"/>
                <w:szCs w:val="28"/>
                <w:highlight w:val="none"/>
              </w:rPr>
            </w:pPr>
          </w:p>
        </w:tc>
        <w:tc>
          <w:tcPr>
            <w:tcW w:w="1662" w:type="dxa"/>
            <w:vAlign w:val="center"/>
          </w:tcPr>
          <w:p>
            <w:pPr>
              <w:pStyle w:val="10"/>
              <w:adjustRightInd w:val="0"/>
              <w:snapToGrid w:val="0"/>
              <w:spacing w:before="156" w:after="156" w:line="360" w:lineRule="auto"/>
              <w:ind w:firstLine="470"/>
              <w:rPr>
                <w:rFonts w:hAnsi="宋体"/>
                <w:color w:val="auto"/>
                <w:sz w:val="28"/>
                <w:szCs w:val="28"/>
                <w:highlight w:val="none"/>
              </w:rPr>
            </w:pPr>
          </w:p>
        </w:tc>
        <w:tc>
          <w:tcPr>
            <w:tcW w:w="1570" w:type="dxa"/>
            <w:vAlign w:val="center"/>
          </w:tcPr>
          <w:p>
            <w:pPr>
              <w:pStyle w:val="10"/>
              <w:adjustRightInd w:val="0"/>
              <w:snapToGrid w:val="0"/>
              <w:spacing w:before="156" w:after="156" w:line="360" w:lineRule="auto"/>
              <w:ind w:firstLine="470"/>
              <w:rPr>
                <w:rFonts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9" w:type="dxa"/>
            <w:vAlign w:val="center"/>
          </w:tcPr>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7</w:t>
            </w:r>
          </w:p>
        </w:tc>
        <w:tc>
          <w:tcPr>
            <w:tcW w:w="3189" w:type="dxa"/>
            <w:vAlign w:val="center"/>
          </w:tcPr>
          <w:p>
            <w:pPr>
              <w:pStyle w:val="10"/>
              <w:adjustRightInd w:val="0"/>
              <w:snapToGrid w:val="0"/>
              <w:spacing w:before="156" w:after="156" w:line="360" w:lineRule="auto"/>
              <w:ind w:firstLine="470"/>
              <w:rPr>
                <w:rFonts w:hAnsi="宋体"/>
                <w:color w:val="auto"/>
                <w:sz w:val="28"/>
                <w:szCs w:val="28"/>
                <w:highlight w:val="none"/>
              </w:rPr>
            </w:pPr>
          </w:p>
        </w:tc>
        <w:tc>
          <w:tcPr>
            <w:tcW w:w="1472" w:type="dxa"/>
            <w:vAlign w:val="center"/>
          </w:tcPr>
          <w:p>
            <w:pPr>
              <w:pStyle w:val="10"/>
              <w:adjustRightInd w:val="0"/>
              <w:snapToGrid w:val="0"/>
              <w:spacing w:before="156" w:after="156" w:line="360" w:lineRule="auto"/>
              <w:ind w:firstLine="470"/>
              <w:rPr>
                <w:rFonts w:hAnsi="宋体"/>
                <w:color w:val="auto"/>
                <w:sz w:val="28"/>
                <w:szCs w:val="28"/>
                <w:highlight w:val="none"/>
              </w:rPr>
            </w:pPr>
          </w:p>
        </w:tc>
        <w:tc>
          <w:tcPr>
            <w:tcW w:w="1662" w:type="dxa"/>
            <w:vAlign w:val="center"/>
          </w:tcPr>
          <w:p>
            <w:pPr>
              <w:pStyle w:val="10"/>
              <w:adjustRightInd w:val="0"/>
              <w:snapToGrid w:val="0"/>
              <w:spacing w:before="156" w:after="156" w:line="360" w:lineRule="auto"/>
              <w:ind w:firstLine="470"/>
              <w:rPr>
                <w:rFonts w:hAnsi="宋体"/>
                <w:color w:val="auto"/>
                <w:sz w:val="28"/>
                <w:szCs w:val="28"/>
                <w:highlight w:val="none"/>
              </w:rPr>
            </w:pPr>
          </w:p>
        </w:tc>
        <w:tc>
          <w:tcPr>
            <w:tcW w:w="1570" w:type="dxa"/>
            <w:vAlign w:val="center"/>
          </w:tcPr>
          <w:p>
            <w:pPr>
              <w:pStyle w:val="10"/>
              <w:adjustRightInd w:val="0"/>
              <w:snapToGrid w:val="0"/>
              <w:spacing w:before="156" w:after="156" w:line="360" w:lineRule="auto"/>
              <w:ind w:firstLine="470"/>
              <w:rPr>
                <w:rFonts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02" w:type="dxa"/>
            <w:gridSpan w:val="5"/>
            <w:vAlign w:val="center"/>
          </w:tcPr>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合计总价     大写：                 小写：</w:t>
            </w:r>
          </w:p>
        </w:tc>
      </w:tr>
    </w:tbl>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（可续页）</w:t>
      </w:r>
    </w:p>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乙方为甲方提供系统构建咨询服务、需求调研、系统开发及交付、系统调试、运行维护等服务。</w:t>
      </w:r>
    </w:p>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二、合同金额</w:t>
      </w:r>
    </w:p>
    <w:p>
      <w:pPr>
        <w:pStyle w:val="10"/>
        <w:adjustRightInd w:val="0"/>
        <w:snapToGrid w:val="0"/>
        <w:spacing w:before="156" w:after="156" w:line="360" w:lineRule="auto"/>
        <w:ind w:firstLine="470"/>
        <w:rPr>
          <w:rFonts w:hAnsi="宋体"/>
          <w:color w:val="auto"/>
          <w:sz w:val="28"/>
          <w:szCs w:val="28"/>
          <w:highlight w:val="none"/>
        </w:rPr>
      </w:pPr>
      <w:r>
        <w:rPr>
          <w:rFonts w:hAnsi="宋体"/>
          <w:color w:val="auto"/>
          <w:sz w:val="28"/>
          <w:szCs w:val="28"/>
          <w:highlight w:val="none"/>
        </w:rPr>
        <w:t xml:space="preserve">2.1 </w:t>
      </w:r>
      <w:r>
        <w:rPr>
          <w:rFonts w:hint="eastAsia" w:hAnsi="宋体"/>
          <w:color w:val="auto"/>
          <w:sz w:val="28"/>
          <w:szCs w:val="28"/>
          <w:highlight w:val="none"/>
        </w:rPr>
        <w:t>本合同金额为（大写）：</w:t>
      </w:r>
      <w:r>
        <w:rPr>
          <w:rFonts w:hAnsi="宋体"/>
          <w:color w:val="auto"/>
          <w:sz w:val="28"/>
          <w:szCs w:val="28"/>
          <w:highlight w:val="none"/>
          <w:u w:val="single"/>
        </w:rPr>
        <w:t>________________________</w:t>
      </w:r>
      <w:r>
        <w:rPr>
          <w:rFonts w:hint="eastAsia" w:hAnsi="宋体"/>
          <w:color w:val="auto"/>
          <w:sz w:val="28"/>
          <w:szCs w:val="28"/>
          <w:highlight w:val="none"/>
        </w:rPr>
        <w:t>元人民币。合同金额包含为完成本系统开发项目的所有费用，包括但不限于系统开发费、调试费、设备费、合理利润、各项税费、人员培训费、后期运维费等。甲方不再承担其他任何费用的支付义务。</w:t>
      </w:r>
    </w:p>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三、项目负责人员</w:t>
      </w:r>
    </w:p>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3.1在合同履行中，双方应安排足够的、有专业能力的人员，保证本项目的顺利进行。</w:t>
      </w:r>
    </w:p>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3.2甲方指派</w:t>
      </w:r>
      <w:r>
        <w:rPr>
          <w:rFonts w:hint="eastAsia" w:hAnsi="宋体"/>
          <w:color w:val="auto"/>
          <w:sz w:val="28"/>
          <w:szCs w:val="28"/>
          <w:highlight w:val="none"/>
          <w:u w:val="single"/>
        </w:rPr>
        <w:t xml:space="preserve">                   </w:t>
      </w:r>
      <w:r>
        <w:rPr>
          <w:rFonts w:hint="eastAsia" w:hAnsi="宋体"/>
          <w:color w:val="auto"/>
          <w:sz w:val="28"/>
          <w:szCs w:val="28"/>
          <w:highlight w:val="none"/>
        </w:rPr>
        <w:t>为项目负责人，负责与乙方沟通协调。</w:t>
      </w:r>
    </w:p>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3.3乙方指派</w:t>
      </w:r>
      <w:r>
        <w:rPr>
          <w:rFonts w:hint="eastAsia" w:hAnsi="宋体"/>
          <w:color w:val="auto"/>
          <w:sz w:val="28"/>
          <w:szCs w:val="28"/>
          <w:highlight w:val="none"/>
          <w:u w:val="single"/>
        </w:rPr>
        <w:t xml:space="preserve">                   </w:t>
      </w:r>
      <w:r>
        <w:rPr>
          <w:rFonts w:hint="eastAsia" w:hAnsi="宋体"/>
          <w:color w:val="auto"/>
          <w:sz w:val="28"/>
          <w:szCs w:val="28"/>
          <w:highlight w:val="none"/>
        </w:rPr>
        <w:t>为项目开发负责人，全面负责本项目的开发及与甲方的沟通协调。</w:t>
      </w:r>
    </w:p>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3.4若负责人有变动，变动方须将变动情况书面通知对方。乙方负责人变动的，须得到甲方的同意。</w:t>
      </w:r>
    </w:p>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四、系统调研及开发</w:t>
      </w:r>
    </w:p>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4.1需求调研及咨询  乙方在取得甲方提供的技术需求、需求描述、各项资料后，及时对甲方的系统开发需求进行分析，对甲方的需求进行进一步优化，并对其中可能存在的问题和缺漏及时与甲方沟通，并进行完善。及时回复甲方对技术功能、技术需求等方面的咨询。</w:t>
      </w:r>
    </w:p>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4.2系统开发   乙方应根据双方最终确认的技术需求，按照计划进度进行系统的开发工作。按时交付阶段成果，确保系统顺利上线运行。</w:t>
      </w:r>
    </w:p>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4.3系统运行调试  乙方负责系统在甲方实际使用环境中的安装、配适、调试，确保系统正常上线运行。乙方负责系统单元测试、集成测试和系统测试。</w:t>
      </w:r>
    </w:p>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五、系统交付和验收</w:t>
      </w:r>
    </w:p>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5.1乙方应当在阶段成果交付前7日内，书面通知甲方安排接收。甲方在收到书面通知7日内，将接收安排计划通知乙方。</w:t>
      </w:r>
    </w:p>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5.2乙方应按照合同约定的内容进行交付。所交付的文档与文件应当是电子和纸质的，可供阅读的。</w:t>
      </w:r>
    </w:p>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5.3系统验收分为系统上线验收和系统运行最终验收。乙方在根据甲方技术需求完成系统功能开发并在甲方实际使用环境下部署上线运行并经验证测试后，书面通知甲方进行上线验收。甲方在接到书面通知7日内安排验收，验收通过的，签发书面验收确认书。系统上线运行后，乙方对系统运行进行完善。系统稳定正常运行6月后，乙方向甲方提交项目最终验收书面申请。甲方在收到书面申请7日内，安排验收。验收通过的，甲方签发验收通过确认书。</w:t>
      </w:r>
    </w:p>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5.4上线验收不通过的，乙方应当对系统进行完善整改，使系统达到甲方技术需要的要求。乙方拒绝整改或整改达不到要求的，应当向甲方支付最高不超过合同总价15%的违约金。项目最终验收不通过的，乙方应当对系统进行完善整改，使系统达到甲方技术需要的要求。乙方拒绝整改或整改达不到要求的，应当向甲方支付最高不超过合同总价30%的违约金。对项目整改完善设计的所有费用由乙方承担。违约金的支付并不解除乙方完善整改项目系统的责任。</w:t>
      </w:r>
    </w:p>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六、新需求和需求变更</w:t>
      </w:r>
    </w:p>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6.1系统开发过程中，甲方提出的超出原技术需求范围的需求为新需求。甲方定期以书面的形式汇总新需求，并提交给乙方。乙方依据新需求，进行需求分析，向甲方书面反馈解决方案、业务分析，预估工作量、实现费用、实现时间和条件等信息。甲方确认开发新需求的，与乙方共同书面确认将新需求纳入系统开发内。开发费用双方平等协商。</w:t>
      </w:r>
    </w:p>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 xml:space="preserve">6.2甲方在原技术需求范围内进行需求完善或变更的，依据上款要求进行。但开发费用不另行增加。 </w:t>
      </w:r>
    </w:p>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七、技术资料</w:t>
      </w:r>
    </w:p>
    <w:p>
      <w:pPr>
        <w:pStyle w:val="10"/>
        <w:adjustRightInd w:val="0"/>
        <w:snapToGrid w:val="0"/>
        <w:spacing w:before="156" w:after="156" w:line="360" w:lineRule="auto"/>
        <w:ind w:firstLine="470"/>
        <w:rPr>
          <w:rFonts w:hAnsi="宋体"/>
          <w:color w:val="auto"/>
          <w:sz w:val="28"/>
          <w:szCs w:val="28"/>
          <w:highlight w:val="none"/>
        </w:rPr>
      </w:pPr>
      <w:r>
        <w:rPr>
          <w:rFonts w:hAnsi="宋体"/>
          <w:color w:val="auto"/>
          <w:sz w:val="28"/>
          <w:szCs w:val="28"/>
          <w:highlight w:val="none"/>
        </w:rPr>
        <w:t>7.1</w:t>
      </w:r>
      <w:r>
        <w:rPr>
          <w:rFonts w:hint="eastAsia" w:hAnsi="宋体"/>
          <w:color w:val="auto"/>
          <w:sz w:val="28"/>
          <w:szCs w:val="28"/>
          <w:highlight w:val="none"/>
        </w:rPr>
        <w:t>乙方应按采购文件规定的时间向甲方提供使用系统的有关技术资料、使用说明等资料。</w:t>
      </w:r>
    </w:p>
    <w:p>
      <w:pPr>
        <w:pStyle w:val="10"/>
        <w:adjustRightInd w:val="0"/>
        <w:snapToGrid w:val="0"/>
        <w:spacing w:before="156" w:after="156" w:line="360" w:lineRule="auto"/>
        <w:ind w:firstLine="470"/>
        <w:rPr>
          <w:rFonts w:hAnsi="宋体"/>
          <w:color w:val="auto"/>
          <w:sz w:val="28"/>
          <w:szCs w:val="28"/>
          <w:highlight w:val="none"/>
        </w:rPr>
      </w:pPr>
      <w:r>
        <w:rPr>
          <w:rFonts w:hAnsi="宋体"/>
          <w:color w:val="auto"/>
          <w:sz w:val="28"/>
          <w:szCs w:val="28"/>
          <w:highlight w:val="none"/>
        </w:rPr>
        <w:t xml:space="preserve">7.2 </w:t>
      </w:r>
      <w:r>
        <w:rPr>
          <w:rFonts w:hint="eastAsia" w:hAnsi="宋体"/>
          <w:color w:val="auto"/>
          <w:sz w:val="28"/>
          <w:szCs w:val="28"/>
          <w:highlight w:val="none"/>
        </w:rPr>
        <w:t>没有甲方事先书面同意，乙方不得将由甲方提供的有关合同或任何合同条文、规格、计划、图纸、样品、相关信息或资料提供给与履行本合同无关的任何其他人。即使向履行本合同有关的人员提供，也应注意保密并限于履行合同的必需范围。</w:t>
      </w:r>
    </w:p>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八、知识产权</w:t>
      </w:r>
    </w:p>
    <w:p>
      <w:pPr>
        <w:pStyle w:val="10"/>
        <w:adjustRightInd w:val="0"/>
        <w:snapToGrid w:val="0"/>
        <w:spacing w:before="156" w:after="156" w:line="360" w:lineRule="auto"/>
        <w:ind w:firstLine="470"/>
        <w:rPr>
          <w:rFonts w:hAnsi="宋体"/>
          <w:color w:val="auto"/>
          <w:sz w:val="28"/>
          <w:szCs w:val="28"/>
          <w:highlight w:val="none"/>
        </w:rPr>
      </w:pPr>
      <w:r>
        <w:rPr>
          <w:rFonts w:hAnsi="宋体"/>
          <w:color w:val="auto"/>
          <w:sz w:val="28"/>
          <w:szCs w:val="28"/>
          <w:highlight w:val="none"/>
        </w:rPr>
        <w:t>8.1</w:t>
      </w:r>
      <w:r>
        <w:rPr>
          <w:rFonts w:hint="eastAsia" w:hAnsi="宋体"/>
          <w:color w:val="auto"/>
          <w:sz w:val="28"/>
          <w:szCs w:val="28"/>
          <w:highlight w:val="none"/>
        </w:rPr>
        <w:t>乙方应保证甲方在使用、接受本合同服务时不受第三方提出侵犯其软件著作权、专利权、版权、商标权和工业设计权等知识产权的起诉。一旦出现侵权，由乙方负全部责任。</w:t>
      </w:r>
    </w:p>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九、履约保证金</w:t>
      </w:r>
    </w:p>
    <w:p>
      <w:pPr>
        <w:pStyle w:val="10"/>
        <w:adjustRightInd w:val="0"/>
        <w:snapToGrid w:val="0"/>
        <w:spacing w:before="156" w:after="156" w:line="360" w:lineRule="auto"/>
        <w:ind w:firstLine="470"/>
        <w:rPr>
          <w:rFonts w:hAnsi="宋体"/>
          <w:color w:val="auto"/>
          <w:sz w:val="28"/>
          <w:szCs w:val="28"/>
          <w:highlight w:val="none"/>
        </w:rPr>
      </w:pPr>
      <w:r>
        <w:rPr>
          <w:rFonts w:hAnsi="宋体"/>
          <w:color w:val="auto"/>
          <w:sz w:val="28"/>
          <w:szCs w:val="28"/>
          <w:highlight w:val="none"/>
        </w:rPr>
        <w:t xml:space="preserve">6.1 </w:t>
      </w:r>
      <w:r>
        <w:rPr>
          <w:rFonts w:hint="eastAsia" w:hAnsi="宋体"/>
          <w:color w:val="auto"/>
          <w:sz w:val="28"/>
          <w:szCs w:val="28"/>
          <w:highlight w:val="none"/>
        </w:rPr>
        <w:t>乙方交纳人民币</w:t>
      </w:r>
      <w:r>
        <w:rPr>
          <w:rFonts w:hAnsi="宋体"/>
          <w:color w:val="auto"/>
          <w:sz w:val="28"/>
          <w:szCs w:val="28"/>
          <w:highlight w:val="none"/>
        </w:rPr>
        <w:t>_____</w:t>
      </w:r>
      <w:r>
        <w:rPr>
          <w:rFonts w:hint="eastAsia" w:hAnsi="宋体"/>
          <w:color w:val="auto"/>
          <w:sz w:val="28"/>
          <w:szCs w:val="28"/>
          <w:highlight w:val="none"/>
        </w:rPr>
        <w:t>元作为本合同的履约保证金。</w:t>
      </w:r>
    </w:p>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十、转包或分包</w:t>
      </w:r>
    </w:p>
    <w:p>
      <w:pPr>
        <w:pStyle w:val="10"/>
        <w:adjustRightInd w:val="0"/>
        <w:snapToGrid w:val="0"/>
        <w:spacing w:before="156" w:after="156" w:line="360" w:lineRule="auto"/>
        <w:ind w:firstLine="470"/>
        <w:rPr>
          <w:rFonts w:hAnsi="宋体"/>
          <w:color w:val="auto"/>
          <w:sz w:val="28"/>
          <w:szCs w:val="28"/>
          <w:highlight w:val="none"/>
        </w:rPr>
      </w:pPr>
      <w:r>
        <w:rPr>
          <w:rFonts w:hAnsi="宋体"/>
          <w:color w:val="auto"/>
          <w:sz w:val="28"/>
          <w:szCs w:val="28"/>
          <w:highlight w:val="none"/>
        </w:rPr>
        <w:t>7.1</w:t>
      </w:r>
      <w:r>
        <w:rPr>
          <w:rFonts w:hint="eastAsia" w:hAnsi="宋体"/>
          <w:color w:val="auto"/>
          <w:sz w:val="28"/>
          <w:szCs w:val="28"/>
          <w:highlight w:val="none"/>
        </w:rPr>
        <w:t>本合同范围的所有服务、项目开发、资料必须由乙方亲自提供。不得擅自转包或分包。</w:t>
      </w:r>
    </w:p>
    <w:p>
      <w:pPr>
        <w:pStyle w:val="10"/>
        <w:adjustRightInd w:val="0"/>
        <w:snapToGrid w:val="0"/>
        <w:spacing w:before="156" w:after="156" w:line="360" w:lineRule="auto"/>
        <w:ind w:firstLine="470"/>
        <w:rPr>
          <w:rFonts w:hAnsi="宋体"/>
          <w:color w:val="auto"/>
          <w:sz w:val="28"/>
          <w:szCs w:val="28"/>
          <w:highlight w:val="none"/>
        </w:rPr>
      </w:pPr>
      <w:r>
        <w:rPr>
          <w:rFonts w:hAnsi="宋体"/>
          <w:color w:val="auto"/>
          <w:sz w:val="28"/>
          <w:szCs w:val="28"/>
          <w:highlight w:val="none"/>
        </w:rPr>
        <w:t>7.2</w:t>
      </w:r>
      <w:r>
        <w:rPr>
          <w:rFonts w:hint="eastAsia" w:hAnsi="宋体"/>
          <w:color w:val="auto"/>
          <w:sz w:val="28"/>
          <w:szCs w:val="28"/>
          <w:highlight w:val="none"/>
        </w:rPr>
        <w:t>如有转包或分包行为，甲方有权解除合同。乙方应承担最高不超过合同总价30%的违约金。</w:t>
      </w:r>
    </w:p>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十一、系统运维服务</w:t>
      </w:r>
    </w:p>
    <w:p>
      <w:pPr>
        <w:pStyle w:val="10"/>
        <w:adjustRightInd w:val="0"/>
        <w:snapToGrid w:val="0"/>
        <w:spacing w:before="156" w:after="156" w:line="360" w:lineRule="auto"/>
        <w:ind w:firstLine="470"/>
        <w:rPr>
          <w:rFonts w:hAnsi="宋体"/>
          <w:color w:val="auto"/>
          <w:sz w:val="28"/>
          <w:szCs w:val="28"/>
          <w:highlight w:val="none"/>
        </w:rPr>
      </w:pPr>
      <w:r>
        <w:rPr>
          <w:rFonts w:hAnsi="宋体"/>
          <w:color w:val="auto"/>
          <w:sz w:val="28"/>
          <w:szCs w:val="28"/>
          <w:highlight w:val="none"/>
        </w:rPr>
        <w:t xml:space="preserve">11.1 </w:t>
      </w:r>
      <w:r>
        <w:rPr>
          <w:rFonts w:hint="eastAsia" w:hAnsi="宋体"/>
          <w:color w:val="auto"/>
          <w:sz w:val="28"/>
          <w:szCs w:val="28"/>
          <w:highlight w:val="none"/>
        </w:rPr>
        <w:t>质保期</w:t>
      </w:r>
      <w:r>
        <w:rPr>
          <w:rFonts w:hint="eastAsia" w:hAnsi="宋体"/>
          <w:color w:val="auto"/>
          <w:sz w:val="28"/>
          <w:szCs w:val="28"/>
          <w:highlight w:val="none"/>
          <w:u w:val="single"/>
        </w:rPr>
        <w:t xml:space="preserve">      </w:t>
      </w:r>
      <w:r>
        <w:rPr>
          <w:rFonts w:hint="eastAsia" w:hAnsi="宋体"/>
          <w:color w:val="auto"/>
          <w:sz w:val="28"/>
          <w:szCs w:val="28"/>
          <w:highlight w:val="none"/>
        </w:rPr>
        <w:t>年。自项目最终验收通过之日起计算。</w:t>
      </w:r>
    </w:p>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11.2质保期内，乙方提供免费系统运行维护。维护内容包括但不限于：程序BUG诊断和排除、系统数据修正、系统参数重新定义和调整、系统性缺陷诊断等。乙方提供7ⅹ24小时响应服务，技术人员依据问题严重级别作相应响应。</w:t>
      </w:r>
    </w:p>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11.3甲方系统出现问题时，向乙方及时报告。乙方应在1小时内作出反馈。常规问题1天内解决。重大、复杂问题，乙方在合理期限内解决。</w:t>
      </w:r>
    </w:p>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11.4质保期结束后，甲方有权要求乙方提供有偿运维服务。运维服务的费用由双方另行商定。</w:t>
      </w:r>
    </w:p>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十二、（项目计划周期）</w:t>
      </w:r>
    </w:p>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本项目计划周期为</w:t>
      </w:r>
      <w:r>
        <w:rPr>
          <w:rFonts w:hint="eastAsia" w:hAnsi="宋体"/>
          <w:color w:val="auto"/>
          <w:sz w:val="28"/>
          <w:szCs w:val="28"/>
          <w:highlight w:val="none"/>
          <w:u w:val="single"/>
        </w:rPr>
        <w:t xml:space="preserve">          </w:t>
      </w:r>
      <w:r>
        <w:rPr>
          <w:rFonts w:hint="eastAsia" w:hAnsi="宋体"/>
          <w:color w:val="auto"/>
          <w:sz w:val="28"/>
          <w:szCs w:val="28"/>
          <w:highlight w:val="none"/>
        </w:rPr>
        <w:t>天，自</w:t>
      </w:r>
      <w:r>
        <w:rPr>
          <w:rFonts w:hint="eastAsia" w:hAnsi="宋体"/>
          <w:color w:val="auto"/>
          <w:sz w:val="28"/>
          <w:szCs w:val="28"/>
          <w:highlight w:val="none"/>
          <w:u w:val="single"/>
        </w:rPr>
        <w:t xml:space="preserve">           </w:t>
      </w:r>
      <w:r>
        <w:rPr>
          <w:rFonts w:hint="eastAsia" w:hAnsi="宋体"/>
          <w:color w:val="auto"/>
          <w:sz w:val="28"/>
          <w:szCs w:val="28"/>
          <w:highlight w:val="none"/>
        </w:rPr>
        <w:t>起开始计算。本项目分以下几个阶段：</w:t>
      </w:r>
    </w:p>
    <w:tbl>
      <w:tblPr>
        <w:tblStyle w:val="18"/>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1607"/>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3" w:type="dxa"/>
            <w:vAlign w:val="center"/>
          </w:tcPr>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项目阶段</w:t>
            </w:r>
          </w:p>
        </w:tc>
        <w:tc>
          <w:tcPr>
            <w:tcW w:w="1607" w:type="dxa"/>
            <w:vAlign w:val="center"/>
          </w:tcPr>
          <w:p>
            <w:pPr>
              <w:pStyle w:val="10"/>
              <w:adjustRightInd w:val="0"/>
              <w:snapToGrid w:val="0"/>
              <w:spacing w:before="156" w:after="156" w:line="360" w:lineRule="auto"/>
              <w:rPr>
                <w:rFonts w:hAnsi="宋体"/>
                <w:color w:val="auto"/>
                <w:sz w:val="28"/>
                <w:szCs w:val="28"/>
                <w:highlight w:val="none"/>
              </w:rPr>
            </w:pPr>
            <w:r>
              <w:rPr>
                <w:rFonts w:hint="eastAsia" w:hAnsi="宋体"/>
                <w:color w:val="auto"/>
                <w:sz w:val="28"/>
                <w:szCs w:val="28"/>
                <w:highlight w:val="none"/>
              </w:rPr>
              <w:t>项目计划</w:t>
            </w:r>
          </w:p>
        </w:tc>
        <w:tc>
          <w:tcPr>
            <w:tcW w:w="5103" w:type="dxa"/>
            <w:vAlign w:val="center"/>
          </w:tcPr>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预计交付时间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3" w:type="dxa"/>
            <w:vAlign w:val="center"/>
          </w:tcPr>
          <w:p>
            <w:pPr>
              <w:pStyle w:val="10"/>
              <w:adjustRightInd w:val="0"/>
              <w:snapToGrid w:val="0"/>
              <w:spacing w:before="156" w:after="156" w:line="360" w:lineRule="auto"/>
              <w:ind w:firstLine="470"/>
              <w:rPr>
                <w:rFonts w:hAnsi="宋体"/>
                <w:color w:val="auto"/>
                <w:sz w:val="28"/>
                <w:szCs w:val="28"/>
                <w:highlight w:val="none"/>
              </w:rPr>
            </w:pPr>
          </w:p>
        </w:tc>
        <w:tc>
          <w:tcPr>
            <w:tcW w:w="1607" w:type="dxa"/>
            <w:vAlign w:val="center"/>
          </w:tcPr>
          <w:p>
            <w:pPr>
              <w:pStyle w:val="10"/>
              <w:adjustRightInd w:val="0"/>
              <w:snapToGrid w:val="0"/>
              <w:spacing w:before="156" w:after="156" w:line="360" w:lineRule="auto"/>
              <w:ind w:firstLine="470"/>
              <w:rPr>
                <w:rFonts w:hAnsi="宋体"/>
                <w:color w:val="auto"/>
                <w:sz w:val="28"/>
                <w:szCs w:val="28"/>
                <w:highlight w:val="none"/>
              </w:rPr>
            </w:pPr>
          </w:p>
        </w:tc>
        <w:tc>
          <w:tcPr>
            <w:tcW w:w="5103" w:type="dxa"/>
            <w:vAlign w:val="center"/>
          </w:tcPr>
          <w:p>
            <w:pPr>
              <w:pStyle w:val="10"/>
              <w:adjustRightInd w:val="0"/>
              <w:snapToGrid w:val="0"/>
              <w:spacing w:before="156" w:after="156" w:line="360" w:lineRule="auto"/>
              <w:ind w:firstLine="470"/>
              <w:rPr>
                <w:rFonts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3" w:type="dxa"/>
            <w:vAlign w:val="center"/>
          </w:tcPr>
          <w:p>
            <w:pPr>
              <w:pStyle w:val="10"/>
              <w:adjustRightInd w:val="0"/>
              <w:snapToGrid w:val="0"/>
              <w:spacing w:before="156" w:after="156" w:line="360" w:lineRule="auto"/>
              <w:ind w:firstLine="470"/>
              <w:rPr>
                <w:rFonts w:hAnsi="宋体"/>
                <w:color w:val="auto"/>
                <w:sz w:val="28"/>
                <w:szCs w:val="28"/>
                <w:highlight w:val="none"/>
              </w:rPr>
            </w:pPr>
          </w:p>
        </w:tc>
        <w:tc>
          <w:tcPr>
            <w:tcW w:w="1607" w:type="dxa"/>
            <w:vAlign w:val="center"/>
          </w:tcPr>
          <w:p>
            <w:pPr>
              <w:pStyle w:val="10"/>
              <w:adjustRightInd w:val="0"/>
              <w:snapToGrid w:val="0"/>
              <w:spacing w:before="156" w:after="156" w:line="360" w:lineRule="auto"/>
              <w:ind w:firstLine="470"/>
              <w:rPr>
                <w:rFonts w:hAnsi="宋体"/>
                <w:color w:val="auto"/>
                <w:sz w:val="28"/>
                <w:szCs w:val="28"/>
                <w:highlight w:val="none"/>
              </w:rPr>
            </w:pPr>
          </w:p>
        </w:tc>
        <w:tc>
          <w:tcPr>
            <w:tcW w:w="5103" w:type="dxa"/>
            <w:vAlign w:val="center"/>
          </w:tcPr>
          <w:p>
            <w:pPr>
              <w:pStyle w:val="10"/>
              <w:adjustRightInd w:val="0"/>
              <w:snapToGrid w:val="0"/>
              <w:spacing w:before="156" w:after="156" w:line="360" w:lineRule="auto"/>
              <w:ind w:firstLine="470"/>
              <w:rPr>
                <w:rFonts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3" w:type="dxa"/>
            <w:vAlign w:val="center"/>
          </w:tcPr>
          <w:p>
            <w:pPr>
              <w:pStyle w:val="10"/>
              <w:adjustRightInd w:val="0"/>
              <w:snapToGrid w:val="0"/>
              <w:spacing w:before="156" w:after="156" w:line="360" w:lineRule="auto"/>
              <w:ind w:firstLine="470"/>
              <w:rPr>
                <w:rFonts w:hAnsi="宋体"/>
                <w:color w:val="auto"/>
                <w:sz w:val="28"/>
                <w:szCs w:val="28"/>
                <w:highlight w:val="none"/>
              </w:rPr>
            </w:pPr>
          </w:p>
        </w:tc>
        <w:tc>
          <w:tcPr>
            <w:tcW w:w="1607" w:type="dxa"/>
            <w:vAlign w:val="center"/>
          </w:tcPr>
          <w:p>
            <w:pPr>
              <w:pStyle w:val="10"/>
              <w:adjustRightInd w:val="0"/>
              <w:snapToGrid w:val="0"/>
              <w:spacing w:before="156" w:after="156" w:line="360" w:lineRule="auto"/>
              <w:ind w:firstLine="470"/>
              <w:rPr>
                <w:rFonts w:hAnsi="宋体"/>
                <w:color w:val="auto"/>
                <w:sz w:val="28"/>
                <w:szCs w:val="28"/>
                <w:highlight w:val="none"/>
              </w:rPr>
            </w:pPr>
          </w:p>
        </w:tc>
        <w:tc>
          <w:tcPr>
            <w:tcW w:w="5103" w:type="dxa"/>
            <w:vAlign w:val="center"/>
          </w:tcPr>
          <w:p>
            <w:pPr>
              <w:pStyle w:val="10"/>
              <w:adjustRightInd w:val="0"/>
              <w:snapToGrid w:val="0"/>
              <w:spacing w:before="156" w:after="156" w:line="360" w:lineRule="auto"/>
              <w:ind w:firstLine="470"/>
              <w:rPr>
                <w:rFonts w:hAnsi="宋体"/>
                <w:color w:val="auto"/>
                <w:sz w:val="28"/>
                <w:szCs w:val="28"/>
                <w:highlight w:val="none"/>
              </w:rPr>
            </w:pPr>
          </w:p>
        </w:tc>
      </w:tr>
    </w:tbl>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甲乙双方应当共同保证项目按计划实施，项目的阶段确定以乙方提交的开发成果为依据。甲方对乙方提交的成果及时接收、评估、确认，以便进入下一各开发阶段。项目开发实施过程中，在收到乙方提交成果确认书面申请后，甲方应在7日内给与答复。</w:t>
      </w:r>
    </w:p>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十三、合同款支付</w:t>
      </w:r>
    </w:p>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13.1本项目所含系统完成测试上线，经发包人组织最终验收后，十个工作日内支付至合同价的95%。</w:t>
      </w:r>
    </w:p>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剩余5%作质保金，质保期满后并经有关单位确认系统稳定运行无质量问题后，一次性支付完毕。</w:t>
      </w:r>
    </w:p>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十四、税</w:t>
      </w:r>
    </w:p>
    <w:p>
      <w:pPr>
        <w:pStyle w:val="10"/>
        <w:adjustRightInd w:val="0"/>
        <w:snapToGrid w:val="0"/>
        <w:spacing w:before="156" w:after="156" w:line="360" w:lineRule="auto"/>
        <w:ind w:firstLine="470"/>
        <w:rPr>
          <w:rFonts w:hAnsi="宋体"/>
          <w:color w:val="auto"/>
          <w:sz w:val="28"/>
          <w:szCs w:val="28"/>
          <w:highlight w:val="none"/>
        </w:rPr>
      </w:pPr>
      <w:r>
        <w:rPr>
          <w:rFonts w:hAnsi="宋体"/>
          <w:color w:val="auto"/>
          <w:sz w:val="28"/>
          <w:szCs w:val="28"/>
          <w:highlight w:val="none"/>
        </w:rPr>
        <w:t>14.1</w:t>
      </w:r>
      <w:r>
        <w:rPr>
          <w:rFonts w:hint="eastAsia" w:hAnsi="宋体"/>
          <w:color w:val="auto"/>
          <w:sz w:val="28"/>
          <w:szCs w:val="28"/>
          <w:highlight w:val="none"/>
        </w:rPr>
        <w:t>发票要求：每次付款前，乙方须开具等额“增值税专用发票”。在付至合同总价95%时，乙方开具（除已付价款外）合同全额“增值税专用发票”。</w:t>
      </w:r>
    </w:p>
    <w:p>
      <w:pPr>
        <w:pStyle w:val="10"/>
        <w:adjustRightInd w:val="0"/>
        <w:snapToGrid w:val="0"/>
        <w:spacing w:before="156" w:after="156" w:line="360" w:lineRule="auto"/>
        <w:ind w:firstLine="470"/>
        <w:rPr>
          <w:rFonts w:hAnsi="宋体"/>
          <w:color w:val="auto"/>
          <w:sz w:val="28"/>
          <w:szCs w:val="28"/>
          <w:highlight w:val="none"/>
        </w:rPr>
      </w:pPr>
      <w:r>
        <w:rPr>
          <w:rFonts w:hAnsi="宋体"/>
          <w:color w:val="auto"/>
          <w:sz w:val="28"/>
          <w:szCs w:val="28"/>
          <w:highlight w:val="none"/>
        </w:rPr>
        <w:t>14.2</w:t>
      </w:r>
      <w:r>
        <w:rPr>
          <w:rFonts w:hint="eastAsia" w:hAnsi="宋体"/>
          <w:color w:val="auto"/>
          <w:sz w:val="28"/>
          <w:szCs w:val="28"/>
          <w:highlight w:val="none"/>
        </w:rPr>
        <w:t>本合同执行中相关的一切税费均由乙方负担。</w:t>
      </w:r>
    </w:p>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十五、违约责任</w:t>
      </w:r>
    </w:p>
    <w:p>
      <w:pPr>
        <w:pStyle w:val="10"/>
        <w:adjustRightInd w:val="0"/>
        <w:snapToGrid w:val="0"/>
        <w:spacing w:before="156" w:after="156" w:line="360" w:lineRule="auto"/>
        <w:ind w:firstLine="470"/>
        <w:rPr>
          <w:rFonts w:hAnsi="宋体"/>
          <w:color w:val="auto"/>
          <w:sz w:val="28"/>
          <w:szCs w:val="28"/>
          <w:highlight w:val="none"/>
        </w:rPr>
      </w:pPr>
      <w:r>
        <w:rPr>
          <w:rFonts w:hAnsi="宋体"/>
          <w:color w:val="auto"/>
          <w:sz w:val="28"/>
          <w:szCs w:val="28"/>
          <w:highlight w:val="none"/>
        </w:rPr>
        <w:t>15.1</w:t>
      </w:r>
      <w:r>
        <w:rPr>
          <w:rFonts w:hint="eastAsia" w:hAnsi="宋体"/>
          <w:color w:val="auto"/>
          <w:sz w:val="28"/>
          <w:szCs w:val="28"/>
          <w:highlight w:val="none"/>
        </w:rPr>
        <w:t>乙方逾期交付开发成果的，乙方应向甲方支付每天2000元的违约金。逾期超过约定日期</w:t>
      </w:r>
      <w:r>
        <w:rPr>
          <w:rFonts w:hAnsi="宋体"/>
          <w:color w:val="auto"/>
          <w:sz w:val="28"/>
          <w:szCs w:val="28"/>
          <w:highlight w:val="none"/>
        </w:rPr>
        <w:t>30</w:t>
      </w:r>
      <w:r>
        <w:rPr>
          <w:rFonts w:hint="eastAsia" w:hAnsi="宋体"/>
          <w:color w:val="auto"/>
          <w:sz w:val="28"/>
          <w:szCs w:val="28"/>
          <w:highlight w:val="none"/>
        </w:rPr>
        <w:t>个工作日交付的，甲方可解除本合同。</w:t>
      </w:r>
    </w:p>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15.2乙方因逾期交付或因其他违约行为导致甲方解除合同的，乙方应向甲方支付合同总值</w:t>
      </w:r>
      <w:r>
        <w:rPr>
          <w:rFonts w:hAnsi="宋体"/>
          <w:color w:val="auto"/>
          <w:sz w:val="28"/>
          <w:szCs w:val="28"/>
          <w:highlight w:val="none"/>
        </w:rPr>
        <w:t>30%</w:t>
      </w:r>
      <w:r>
        <w:rPr>
          <w:rFonts w:hint="eastAsia" w:hAnsi="宋体"/>
          <w:color w:val="auto"/>
          <w:sz w:val="28"/>
          <w:szCs w:val="28"/>
          <w:highlight w:val="none"/>
        </w:rPr>
        <w:t>的违约金。如造成甲方损失超过违约金的，超出部分由乙方继续承担赔偿责任。</w:t>
      </w:r>
    </w:p>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十六、廉政条款</w:t>
      </w:r>
    </w:p>
    <w:p>
      <w:pPr>
        <w:pStyle w:val="10"/>
        <w:adjustRightInd w:val="0"/>
        <w:snapToGrid w:val="0"/>
        <w:spacing w:before="156" w:after="156" w:line="360" w:lineRule="auto"/>
        <w:ind w:firstLine="470"/>
        <w:rPr>
          <w:rFonts w:hAnsi="宋体"/>
          <w:color w:val="auto"/>
          <w:sz w:val="28"/>
          <w:szCs w:val="28"/>
          <w:highlight w:val="none"/>
        </w:rPr>
      </w:pPr>
      <w:r>
        <w:rPr>
          <w:rFonts w:hAnsi="宋体"/>
          <w:color w:val="auto"/>
          <w:sz w:val="28"/>
          <w:szCs w:val="28"/>
          <w:highlight w:val="none"/>
        </w:rPr>
        <w:t>16.1</w:t>
      </w:r>
      <w:r>
        <w:rPr>
          <w:rFonts w:hint="eastAsia" w:hAnsi="宋体"/>
          <w:color w:val="auto"/>
          <w:sz w:val="28"/>
          <w:szCs w:val="28"/>
          <w:highlight w:val="none"/>
        </w:rPr>
        <w:t>乙方必须支持甲方的廉政建设，不得向甲方相关人员提供金钱和物质上的好处，一经发现，甲方有权将乙方纳入合作方黑名单。乙方将不得再承接甲方的任何项目。</w:t>
      </w:r>
    </w:p>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十七、不可抗力事件处理</w:t>
      </w:r>
    </w:p>
    <w:p>
      <w:pPr>
        <w:pStyle w:val="10"/>
        <w:adjustRightInd w:val="0"/>
        <w:snapToGrid w:val="0"/>
        <w:spacing w:before="156" w:after="156" w:line="360" w:lineRule="auto"/>
        <w:ind w:firstLine="470"/>
        <w:rPr>
          <w:rFonts w:hAnsi="宋体"/>
          <w:color w:val="auto"/>
          <w:sz w:val="28"/>
          <w:szCs w:val="28"/>
          <w:highlight w:val="none"/>
        </w:rPr>
      </w:pPr>
      <w:r>
        <w:rPr>
          <w:rFonts w:hAnsi="宋体"/>
          <w:color w:val="auto"/>
          <w:sz w:val="28"/>
          <w:szCs w:val="28"/>
          <w:highlight w:val="none"/>
        </w:rPr>
        <w:t xml:space="preserve">17.1 </w:t>
      </w:r>
      <w:r>
        <w:rPr>
          <w:rFonts w:hint="eastAsia" w:hAnsi="宋体"/>
          <w:color w:val="auto"/>
          <w:sz w:val="28"/>
          <w:szCs w:val="28"/>
          <w:highlight w:val="none"/>
        </w:rPr>
        <w:t>在合同有效期内，任何一方因不可抗力事件导致不能履行合同，则合同履行期可延长，其延长期与不可抗力影响期相同。</w:t>
      </w:r>
    </w:p>
    <w:p>
      <w:pPr>
        <w:pStyle w:val="10"/>
        <w:adjustRightInd w:val="0"/>
        <w:snapToGrid w:val="0"/>
        <w:spacing w:before="156" w:after="156" w:line="360" w:lineRule="auto"/>
        <w:ind w:firstLine="470"/>
        <w:rPr>
          <w:rFonts w:hAnsi="宋体"/>
          <w:color w:val="auto"/>
          <w:sz w:val="28"/>
          <w:szCs w:val="28"/>
          <w:highlight w:val="none"/>
        </w:rPr>
      </w:pPr>
      <w:r>
        <w:rPr>
          <w:rFonts w:hAnsi="宋体"/>
          <w:color w:val="auto"/>
          <w:sz w:val="28"/>
          <w:szCs w:val="28"/>
          <w:highlight w:val="none"/>
        </w:rPr>
        <w:t xml:space="preserve">17.2 </w:t>
      </w:r>
      <w:r>
        <w:rPr>
          <w:rFonts w:hint="eastAsia" w:hAnsi="宋体"/>
          <w:color w:val="auto"/>
          <w:sz w:val="28"/>
          <w:szCs w:val="28"/>
          <w:highlight w:val="none"/>
        </w:rPr>
        <w:t>不可抗力事件发生后，应立即通知对方，并寄送有关权威机构出具的证明。</w:t>
      </w:r>
    </w:p>
    <w:p>
      <w:pPr>
        <w:pStyle w:val="10"/>
        <w:adjustRightInd w:val="0"/>
        <w:snapToGrid w:val="0"/>
        <w:spacing w:before="156" w:after="156" w:line="360" w:lineRule="auto"/>
        <w:ind w:firstLine="470"/>
        <w:rPr>
          <w:rFonts w:hAnsi="宋体"/>
          <w:color w:val="auto"/>
          <w:sz w:val="28"/>
          <w:szCs w:val="28"/>
          <w:highlight w:val="none"/>
        </w:rPr>
      </w:pPr>
      <w:r>
        <w:rPr>
          <w:rFonts w:hAnsi="宋体"/>
          <w:color w:val="auto"/>
          <w:sz w:val="28"/>
          <w:szCs w:val="28"/>
          <w:highlight w:val="none"/>
        </w:rPr>
        <w:t xml:space="preserve">17.3 </w:t>
      </w:r>
      <w:r>
        <w:rPr>
          <w:rFonts w:hint="eastAsia" w:hAnsi="宋体"/>
          <w:color w:val="auto"/>
          <w:sz w:val="28"/>
          <w:szCs w:val="28"/>
          <w:highlight w:val="none"/>
        </w:rPr>
        <w:t>不可抗力事件延续</w:t>
      </w:r>
      <w:r>
        <w:rPr>
          <w:rFonts w:hAnsi="宋体"/>
          <w:color w:val="auto"/>
          <w:sz w:val="28"/>
          <w:szCs w:val="28"/>
          <w:highlight w:val="none"/>
        </w:rPr>
        <w:t>30</w:t>
      </w:r>
      <w:r>
        <w:rPr>
          <w:rFonts w:hint="eastAsia" w:hAnsi="宋体"/>
          <w:color w:val="auto"/>
          <w:sz w:val="28"/>
          <w:szCs w:val="28"/>
          <w:highlight w:val="none"/>
        </w:rPr>
        <w:t>天以上，双方应通过友好协商，确定是否继续履行合同。</w:t>
      </w:r>
    </w:p>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17.4不可抗力发生后，受影响的一方应采取措施避免损失的扩大。未采取相应措施造成损失扩大的，该方对扩大的损失承担赔偿责任。</w:t>
      </w:r>
    </w:p>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十八、诉讼</w:t>
      </w:r>
    </w:p>
    <w:p>
      <w:pPr>
        <w:pStyle w:val="10"/>
        <w:adjustRightInd w:val="0"/>
        <w:snapToGrid w:val="0"/>
        <w:spacing w:before="156" w:after="156" w:line="360" w:lineRule="auto"/>
        <w:ind w:firstLine="470"/>
        <w:rPr>
          <w:rFonts w:hAnsi="宋体"/>
          <w:color w:val="auto"/>
          <w:sz w:val="28"/>
          <w:szCs w:val="28"/>
          <w:highlight w:val="none"/>
        </w:rPr>
      </w:pPr>
      <w:r>
        <w:rPr>
          <w:rFonts w:hAnsi="宋体"/>
          <w:color w:val="auto"/>
          <w:sz w:val="28"/>
          <w:szCs w:val="28"/>
          <w:highlight w:val="none"/>
        </w:rPr>
        <w:t xml:space="preserve">18.1 </w:t>
      </w:r>
      <w:r>
        <w:rPr>
          <w:rFonts w:hint="eastAsia" w:hAnsi="宋体"/>
          <w:color w:val="auto"/>
          <w:sz w:val="28"/>
          <w:szCs w:val="28"/>
          <w:highlight w:val="none"/>
        </w:rPr>
        <w:t>双方在履行合同中所发生的一切争议，应通过协商解决。如协商不成，可向合同签订地法院起诉。合同签订地在此约定为南京信息工程大学。</w:t>
      </w:r>
    </w:p>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十九、合同生效及其它</w:t>
      </w:r>
    </w:p>
    <w:p>
      <w:pPr>
        <w:pStyle w:val="10"/>
        <w:adjustRightInd w:val="0"/>
        <w:snapToGrid w:val="0"/>
        <w:spacing w:before="156" w:after="156" w:line="360" w:lineRule="auto"/>
        <w:ind w:firstLine="470"/>
        <w:rPr>
          <w:rFonts w:hAnsi="宋体"/>
          <w:color w:val="auto"/>
          <w:sz w:val="28"/>
          <w:szCs w:val="28"/>
          <w:highlight w:val="none"/>
        </w:rPr>
      </w:pPr>
      <w:r>
        <w:rPr>
          <w:rFonts w:hAnsi="宋体"/>
          <w:color w:val="auto"/>
          <w:sz w:val="28"/>
          <w:szCs w:val="28"/>
          <w:highlight w:val="none"/>
        </w:rPr>
        <w:t xml:space="preserve">19.1 </w:t>
      </w:r>
      <w:r>
        <w:rPr>
          <w:rFonts w:hint="eastAsia" w:hAnsi="宋体"/>
          <w:color w:val="auto"/>
          <w:sz w:val="28"/>
          <w:szCs w:val="28"/>
          <w:highlight w:val="none"/>
        </w:rPr>
        <w:t>乙方负责对甲方人员进行培训，确保甲方人员能熟练使用本系统，培训费用已包含在合同价款内。</w:t>
      </w:r>
    </w:p>
    <w:p>
      <w:pPr>
        <w:pStyle w:val="10"/>
        <w:adjustRightInd w:val="0"/>
        <w:snapToGrid w:val="0"/>
        <w:spacing w:before="156" w:after="156" w:line="360" w:lineRule="auto"/>
        <w:ind w:firstLine="470"/>
        <w:rPr>
          <w:rFonts w:hAnsi="宋体"/>
          <w:color w:val="auto"/>
          <w:sz w:val="28"/>
          <w:szCs w:val="28"/>
          <w:highlight w:val="none"/>
        </w:rPr>
      </w:pPr>
      <w:r>
        <w:rPr>
          <w:rFonts w:hAnsi="宋体"/>
          <w:color w:val="auto"/>
          <w:sz w:val="28"/>
          <w:szCs w:val="28"/>
          <w:highlight w:val="none"/>
        </w:rPr>
        <w:t>19.2</w:t>
      </w:r>
      <w:r>
        <w:rPr>
          <w:rFonts w:hint="eastAsia" w:hAnsi="宋体"/>
          <w:color w:val="auto"/>
          <w:sz w:val="28"/>
          <w:szCs w:val="28"/>
          <w:highlight w:val="none"/>
        </w:rPr>
        <w:t>合同经双方法定代表人或授权委托代表人签字并加盖单位公章后生效。</w:t>
      </w:r>
    </w:p>
    <w:p>
      <w:pPr>
        <w:pStyle w:val="10"/>
        <w:adjustRightInd w:val="0"/>
        <w:snapToGrid w:val="0"/>
        <w:spacing w:before="156" w:after="156" w:line="360" w:lineRule="auto"/>
        <w:ind w:firstLine="470"/>
        <w:rPr>
          <w:rFonts w:hAnsi="宋体"/>
          <w:color w:val="auto"/>
          <w:sz w:val="28"/>
          <w:szCs w:val="28"/>
          <w:highlight w:val="none"/>
        </w:rPr>
      </w:pPr>
      <w:r>
        <w:rPr>
          <w:rFonts w:hAnsi="宋体"/>
          <w:color w:val="auto"/>
          <w:sz w:val="28"/>
          <w:szCs w:val="28"/>
          <w:highlight w:val="none"/>
        </w:rPr>
        <w:t>19.3</w:t>
      </w:r>
      <w:r>
        <w:rPr>
          <w:rFonts w:hint="eastAsia" w:hAnsi="宋体"/>
          <w:color w:val="auto"/>
          <w:sz w:val="28"/>
          <w:szCs w:val="28"/>
          <w:highlight w:val="none"/>
        </w:rPr>
        <w:t>本合同未尽事宜，由甲乙双方友好协商。</w:t>
      </w:r>
    </w:p>
    <w:p>
      <w:pPr>
        <w:pStyle w:val="10"/>
        <w:adjustRightInd w:val="0"/>
        <w:snapToGrid w:val="0"/>
        <w:spacing w:before="156" w:after="156" w:line="360" w:lineRule="auto"/>
        <w:ind w:firstLine="470"/>
        <w:rPr>
          <w:rFonts w:hAnsi="宋体"/>
          <w:color w:val="auto"/>
          <w:sz w:val="28"/>
          <w:szCs w:val="28"/>
          <w:highlight w:val="none"/>
        </w:rPr>
      </w:pPr>
      <w:r>
        <w:rPr>
          <w:rFonts w:hint="eastAsia" w:hAnsi="宋体"/>
          <w:color w:val="auto"/>
          <w:sz w:val="28"/>
          <w:szCs w:val="28"/>
          <w:highlight w:val="none"/>
        </w:rPr>
        <w:t>19.4本合同正本一式四份，具有同等法律效力，甲方、乙方各执两份。</w:t>
      </w:r>
    </w:p>
    <w:p>
      <w:pPr>
        <w:pStyle w:val="10"/>
        <w:adjustRightInd w:val="0"/>
        <w:snapToGrid w:val="0"/>
        <w:spacing w:before="156" w:after="156" w:line="360" w:lineRule="auto"/>
        <w:ind w:firstLine="470"/>
        <w:rPr>
          <w:rFonts w:hAnsi="宋体"/>
          <w:color w:val="auto"/>
          <w:sz w:val="28"/>
          <w:szCs w:val="28"/>
          <w:highlight w:val="none"/>
        </w:rPr>
      </w:pPr>
    </w:p>
    <w:p>
      <w:pPr>
        <w:pStyle w:val="10"/>
        <w:adjustRightInd w:val="0"/>
        <w:snapToGrid w:val="0"/>
        <w:spacing w:before="156" w:after="156" w:line="360" w:lineRule="auto"/>
        <w:ind w:firstLine="470"/>
        <w:rPr>
          <w:rFonts w:hAnsi="宋体"/>
          <w:color w:val="auto"/>
          <w:sz w:val="28"/>
          <w:szCs w:val="28"/>
          <w:highlight w:val="none"/>
        </w:rPr>
      </w:pPr>
    </w:p>
    <w:p>
      <w:pPr>
        <w:pStyle w:val="10"/>
        <w:adjustRightInd w:val="0"/>
        <w:snapToGrid w:val="0"/>
        <w:spacing w:before="156" w:after="156" w:line="360" w:lineRule="auto"/>
        <w:ind w:firstLine="470"/>
        <w:rPr>
          <w:rFonts w:hAnsi="宋体"/>
          <w:color w:val="auto"/>
          <w:sz w:val="24"/>
          <w:szCs w:val="24"/>
          <w:highlight w:val="none"/>
          <w:u w:val="single"/>
        </w:rPr>
      </w:pPr>
      <w:r>
        <w:rPr>
          <w:rFonts w:hint="eastAsia" w:hAnsi="宋体"/>
          <w:color w:val="auto"/>
          <w:sz w:val="24"/>
          <w:szCs w:val="24"/>
          <w:highlight w:val="none"/>
        </w:rPr>
        <w:t>甲方：</w:t>
      </w:r>
      <w:r>
        <w:rPr>
          <w:rFonts w:hAnsi="宋体"/>
          <w:color w:val="auto"/>
          <w:sz w:val="24"/>
          <w:szCs w:val="24"/>
          <w:highlight w:val="none"/>
          <w:u w:val="single"/>
        </w:rPr>
        <w:t xml:space="preserve">                                  </w:t>
      </w:r>
      <w:r>
        <w:rPr>
          <w:rFonts w:hAnsi="宋体"/>
          <w:color w:val="auto"/>
          <w:sz w:val="24"/>
          <w:szCs w:val="24"/>
          <w:highlight w:val="none"/>
        </w:rPr>
        <w:t xml:space="preserve"> </w:t>
      </w:r>
      <w:r>
        <w:rPr>
          <w:rFonts w:hint="eastAsia" w:hAnsi="宋体"/>
          <w:color w:val="auto"/>
          <w:sz w:val="24"/>
          <w:szCs w:val="24"/>
          <w:highlight w:val="none"/>
        </w:rPr>
        <w:t>乙方：</w:t>
      </w:r>
      <w:r>
        <w:rPr>
          <w:rFonts w:hint="eastAsia" w:hAnsi="宋体"/>
          <w:color w:val="auto"/>
          <w:sz w:val="24"/>
          <w:szCs w:val="24"/>
          <w:highlight w:val="none"/>
          <w:u w:val="single"/>
        </w:rPr>
        <w:t xml:space="preserve">                               </w:t>
      </w:r>
    </w:p>
    <w:p>
      <w:pPr>
        <w:pStyle w:val="10"/>
        <w:adjustRightInd w:val="0"/>
        <w:snapToGrid w:val="0"/>
        <w:spacing w:before="156" w:after="156" w:line="360" w:lineRule="auto"/>
        <w:ind w:firstLine="470"/>
        <w:rPr>
          <w:rFonts w:hAnsi="宋体"/>
          <w:color w:val="auto"/>
          <w:sz w:val="24"/>
          <w:szCs w:val="24"/>
          <w:highlight w:val="none"/>
          <w:u w:val="single"/>
        </w:rPr>
      </w:pPr>
      <w:r>
        <w:rPr>
          <w:rFonts w:hint="eastAsia" w:hAnsi="宋体"/>
          <w:color w:val="auto"/>
          <w:sz w:val="24"/>
          <w:szCs w:val="24"/>
          <w:highlight w:val="none"/>
        </w:rPr>
        <w:t>法定代表人或授权代表：</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r>
        <w:rPr>
          <w:rFonts w:hint="eastAsia" w:hAnsi="宋体"/>
          <w:color w:val="auto"/>
          <w:sz w:val="24"/>
          <w:szCs w:val="24"/>
          <w:highlight w:val="none"/>
        </w:rPr>
        <w:t xml:space="preserve">  法定代表人或授权代表：</w:t>
      </w:r>
      <w:r>
        <w:rPr>
          <w:rFonts w:hint="eastAsia" w:hAnsi="宋体"/>
          <w:color w:val="auto"/>
          <w:sz w:val="24"/>
          <w:szCs w:val="24"/>
          <w:highlight w:val="none"/>
          <w:u w:val="single"/>
        </w:rPr>
        <w:t xml:space="preserve">                  </w:t>
      </w:r>
    </w:p>
    <w:p>
      <w:pPr>
        <w:pStyle w:val="10"/>
        <w:adjustRightInd w:val="0"/>
        <w:snapToGrid w:val="0"/>
        <w:spacing w:before="156" w:after="156" w:line="360" w:lineRule="auto"/>
        <w:ind w:firstLine="470"/>
        <w:rPr>
          <w:rFonts w:hAnsi="宋体"/>
          <w:color w:val="auto"/>
          <w:sz w:val="24"/>
          <w:szCs w:val="24"/>
          <w:highlight w:val="none"/>
        </w:rPr>
      </w:pPr>
      <w:r>
        <w:rPr>
          <w:rFonts w:hint="eastAsia" w:hAnsi="宋体"/>
          <w:color w:val="auto"/>
          <w:sz w:val="24"/>
          <w:szCs w:val="24"/>
          <w:highlight w:val="none"/>
        </w:rPr>
        <w:t>项目负责人</w:t>
      </w:r>
      <w:r>
        <w:rPr>
          <w:rFonts w:hAnsi="宋体"/>
          <w:color w:val="auto"/>
          <w:sz w:val="24"/>
          <w:szCs w:val="24"/>
          <w:highlight w:val="none"/>
        </w:rPr>
        <w:t>:</w:t>
      </w:r>
      <w:r>
        <w:rPr>
          <w:rFonts w:hAnsi="宋体"/>
          <w:color w:val="auto"/>
          <w:sz w:val="24"/>
          <w:szCs w:val="24"/>
          <w:highlight w:val="none"/>
          <w:u w:val="single"/>
        </w:rPr>
        <w:t xml:space="preserve">                            </w:t>
      </w:r>
      <w:r>
        <w:rPr>
          <w:rFonts w:hAnsi="宋体"/>
          <w:color w:val="auto"/>
          <w:sz w:val="24"/>
          <w:szCs w:val="24"/>
          <w:highlight w:val="none"/>
        </w:rPr>
        <w:t xml:space="preserve"> </w:t>
      </w:r>
      <w:r>
        <w:rPr>
          <w:rFonts w:hint="eastAsia" w:hAnsi="宋体"/>
          <w:color w:val="auto"/>
          <w:sz w:val="24"/>
          <w:szCs w:val="24"/>
          <w:highlight w:val="none"/>
        </w:rPr>
        <w:t>项目联系人</w:t>
      </w:r>
      <w:r>
        <w:rPr>
          <w:rFonts w:hAnsi="宋体"/>
          <w:color w:val="auto"/>
          <w:sz w:val="24"/>
          <w:szCs w:val="24"/>
          <w:highlight w:val="none"/>
        </w:rPr>
        <w:t>:</w:t>
      </w:r>
      <w:r>
        <w:rPr>
          <w:rFonts w:hAnsi="宋体"/>
          <w:color w:val="auto"/>
          <w:sz w:val="24"/>
          <w:szCs w:val="24"/>
          <w:highlight w:val="none"/>
          <w:u w:val="single"/>
        </w:rPr>
        <w:t xml:space="preserve">                             </w:t>
      </w:r>
    </w:p>
    <w:p>
      <w:pPr>
        <w:pStyle w:val="10"/>
        <w:adjustRightInd w:val="0"/>
        <w:snapToGrid w:val="0"/>
        <w:spacing w:before="156" w:after="156" w:line="360" w:lineRule="auto"/>
        <w:ind w:firstLine="470"/>
        <w:rPr>
          <w:rFonts w:hAnsi="宋体"/>
          <w:color w:val="auto"/>
          <w:sz w:val="24"/>
          <w:szCs w:val="24"/>
          <w:highlight w:val="none"/>
          <w:u w:val="single"/>
        </w:rPr>
      </w:pPr>
      <w:r>
        <w:rPr>
          <w:rFonts w:hint="eastAsia" w:hAnsi="宋体"/>
          <w:color w:val="auto"/>
          <w:sz w:val="24"/>
          <w:szCs w:val="24"/>
          <w:highlight w:val="none"/>
        </w:rPr>
        <w:t>联系电话：</w:t>
      </w:r>
      <w:r>
        <w:rPr>
          <w:rFonts w:hAnsi="宋体"/>
          <w:color w:val="auto"/>
          <w:sz w:val="24"/>
          <w:szCs w:val="24"/>
          <w:highlight w:val="none"/>
          <w:u w:val="single"/>
        </w:rPr>
        <w:t xml:space="preserve">                             </w:t>
      </w:r>
      <w:r>
        <w:rPr>
          <w:rFonts w:hAnsi="宋体"/>
          <w:color w:val="auto"/>
          <w:sz w:val="24"/>
          <w:szCs w:val="24"/>
          <w:highlight w:val="none"/>
        </w:rPr>
        <w:t xml:space="preserve"> </w:t>
      </w:r>
      <w:r>
        <w:rPr>
          <w:rFonts w:hint="eastAsia" w:hAnsi="宋体"/>
          <w:color w:val="auto"/>
          <w:sz w:val="24"/>
          <w:szCs w:val="24"/>
          <w:highlight w:val="none"/>
        </w:rPr>
        <w:t>联系电话：</w:t>
      </w:r>
      <w:r>
        <w:rPr>
          <w:rFonts w:hint="eastAsia" w:hAnsi="宋体"/>
          <w:color w:val="auto"/>
          <w:sz w:val="24"/>
          <w:szCs w:val="24"/>
          <w:highlight w:val="none"/>
          <w:u w:val="single"/>
        </w:rPr>
        <w:t xml:space="preserve">                       </w:t>
      </w:r>
    </w:p>
    <w:p>
      <w:pPr>
        <w:pStyle w:val="10"/>
        <w:adjustRightInd w:val="0"/>
        <w:snapToGrid w:val="0"/>
        <w:spacing w:before="156" w:after="156" w:line="360" w:lineRule="auto"/>
        <w:ind w:firstLine="470"/>
        <w:rPr>
          <w:rFonts w:hAnsi="宋体"/>
          <w:color w:val="auto"/>
          <w:sz w:val="24"/>
          <w:szCs w:val="24"/>
          <w:highlight w:val="none"/>
        </w:rPr>
      </w:pPr>
      <w:r>
        <w:rPr>
          <w:rFonts w:hint="eastAsia" w:hAnsi="宋体"/>
          <w:color w:val="auto"/>
          <w:sz w:val="24"/>
          <w:szCs w:val="24"/>
          <w:highlight w:val="none"/>
        </w:rPr>
        <w:t>签订日期：</w:t>
      </w:r>
      <w:r>
        <w:rPr>
          <w:rFonts w:hAnsi="宋体"/>
          <w:color w:val="auto"/>
          <w:sz w:val="24"/>
          <w:szCs w:val="24"/>
          <w:highlight w:val="none"/>
        </w:rPr>
        <w:t xml:space="preserve">      </w:t>
      </w:r>
      <w:r>
        <w:rPr>
          <w:rFonts w:hint="eastAsia" w:hAnsi="宋体"/>
          <w:color w:val="auto"/>
          <w:sz w:val="24"/>
          <w:szCs w:val="24"/>
          <w:highlight w:val="none"/>
        </w:rPr>
        <w:t>年</w:t>
      </w:r>
      <w:r>
        <w:rPr>
          <w:rFonts w:hAnsi="宋体"/>
          <w:color w:val="auto"/>
          <w:sz w:val="24"/>
          <w:szCs w:val="24"/>
          <w:highlight w:val="none"/>
        </w:rPr>
        <w:t xml:space="preserve">   </w:t>
      </w:r>
      <w:r>
        <w:rPr>
          <w:rFonts w:hint="eastAsia" w:hAnsi="宋体"/>
          <w:color w:val="auto"/>
          <w:sz w:val="24"/>
          <w:szCs w:val="24"/>
          <w:highlight w:val="none"/>
        </w:rPr>
        <w:t>月</w:t>
      </w:r>
      <w:r>
        <w:rPr>
          <w:rFonts w:hAnsi="宋体"/>
          <w:color w:val="auto"/>
          <w:sz w:val="24"/>
          <w:szCs w:val="24"/>
          <w:highlight w:val="none"/>
        </w:rPr>
        <w:t xml:space="preserve">   </w:t>
      </w:r>
      <w:r>
        <w:rPr>
          <w:rFonts w:hint="eastAsia" w:hAnsi="宋体"/>
          <w:color w:val="auto"/>
          <w:sz w:val="24"/>
          <w:szCs w:val="24"/>
          <w:highlight w:val="none"/>
        </w:rPr>
        <w:t>日              签订日期：</w:t>
      </w:r>
      <w:r>
        <w:rPr>
          <w:rFonts w:hAnsi="宋体"/>
          <w:color w:val="auto"/>
          <w:sz w:val="24"/>
          <w:szCs w:val="24"/>
          <w:highlight w:val="none"/>
        </w:rPr>
        <w:t xml:space="preserve">      </w:t>
      </w:r>
      <w:r>
        <w:rPr>
          <w:rFonts w:hint="eastAsia" w:hAnsi="宋体"/>
          <w:color w:val="auto"/>
          <w:sz w:val="24"/>
          <w:szCs w:val="24"/>
          <w:highlight w:val="none"/>
        </w:rPr>
        <w:t>年</w:t>
      </w:r>
      <w:r>
        <w:rPr>
          <w:rFonts w:hAnsi="宋体"/>
          <w:color w:val="auto"/>
          <w:sz w:val="24"/>
          <w:szCs w:val="24"/>
          <w:highlight w:val="none"/>
        </w:rPr>
        <w:t xml:space="preserve">   </w:t>
      </w:r>
      <w:r>
        <w:rPr>
          <w:rFonts w:hint="eastAsia" w:hAnsi="宋体"/>
          <w:color w:val="auto"/>
          <w:sz w:val="24"/>
          <w:szCs w:val="24"/>
          <w:highlight w:val="none"/>
        </w:rPr>
        <w:t>月</w:t>
      </w:r>
      <w:r>
        <w:rPr>
          <w:rFonts w:hAnsi="宋体"/>
          <w:color w:val="auto"/>
          <w:sz w:val="24"/>
          <w:szCs w:val="24"/>
          <w:highlight w:val="none"/>
        </w:rPr>
        <w:t xml:space="preserve">   </w:t>
      </w:r>
      <w:r>
        <w:rPr>
          <w:rFonts w:hint="eastAsia" w:hAnsi="宋体"/>
          <w:color w:val="auto"/>
          <w:sz w:val="24"/>
          <w:szCs w:val="24"/>
          <w:highlight w:val="none"/>
        </w:rPr>
        <w:t>日</w:t>
      </w:r>
    </w:p>
    <w:p>
      <w:pPr>
        <w:spacing w:line="360" w:lineRule="auto"/>
        <w:rPr>
          <w:rFonts w:cs="仿宋"/>
          <w:color w:val="auto"/>
          <w:sz w:val="28"/>
          <w:szCs w:val="28"/>
          <w:highlight w:val="none"/>
        </w:rPr>
      </w:pPr>
    </w:p>
    <w:p>
      <w:pPr>
        <w:pStyle w:val="10"/>
        <w:adjustRightInd w:val="0"/>
        <w:snapToGrid w:val="0"/>
        <w:spacing w:before="120" w:after="120" w:line="360" w:lineRule="auto"/>
        <w:ind w:firstLine="767"/>
        <w:rPr>
          <w:rFonts w:cs="仿宋"/>
          <w:color w:val="auto"/>
          <w:sz w:val="24"/>
          <w:highlight w:val="none"/>
        </w:rPr>
      </w:pPr>
    </w:p>
    <w:bookmarkEnd w:id="34"/>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Arial">
    <w:panose1 w:val="020B0604020202020204"/>
    <w:charset w:val="00"/>
    <w:family w:val="swiss"/>
    <w:pitch w:val="default"/>
    <w:sig w:usb0="E0002EFF" w:usb1="C000785B" w:usb2="00000009" w:usb3="00000000" w:csb0="400001FF" w:csb1="FFFF0000"/>
  </w:font>
  <w:font w:name="MPBMSN+StoneSans-Semibold">
    <w:altName w:val="微软雅黑"/>
    <w:panose1 w:val="00000000000000000000"/>
    <w:charset w:val="86"/>
    <w:family w:val="swiss"/>
    <w:pitch w:val="default"/>
    <w:sig w:usb0="00000000" w:usb1="00000000" w:usb2="00000010" w:usb3="00000000" w:csb0="00040000" w:csb1="00000000"/>
  </w:font>
  <w:font w:name="PSFEIH+StoneSans">
    <w:altName w:val="新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b/>
      </w:rPr>
      <w:fldChar w:fldCharType="begin"/>
    </w:r>
    <w:r>
      <w:rPr>
        <w:b/>
      </w:rPr>
      <w:instrText xml:space="preserve">PAGE  \* Arabic  \* MERGEFORMAT</w:instrText>
    </w:r>
    <w:r>
      <w:rPr>
        <w:b/>
      </w:rPr>
      <w:fldChar w:fldCharType="separate"/>
    </w:r>
    <w:r>
      <w:rPr>
        <w:b/>
        <w:lang w:val="zh-CN"/>
      </w:rPr>
      <w:t>25</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34</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cs="宋体"/>
        <w:b/>
        <w:bCs/>
        <w:kern w:val="0"/>
        <w:sz w:val="15"/>
        <w:szCs w:val="15"/>
      </w:rPr>
    </w:pPr>
    <w:r>
      <w:rPr>
        <w:rFonts w:hint="eastAsia" w:ascii="宋体" w:hAnsi="宋体" w:cs="宋体"/>
        <w:b/>
        <w:bCs/>
        <w:kern w:val="0"/>
        <w:sz w:val="15"/>
        <w:szCs w:val="15"/>
      </w:rPr>
      <w:t>南京信息工程大学财务处20</w:t>
    </w:r>
    <w:r>
      <w:rPr>
        <w:rFonts w:ascii="宋体" w:hAnsi="宋体" w:cs="宋体"/>
        <w:b/>
        <w:bCs/>
        <w:kern w:val="0"/>
        <w:sz w:val="15"/>
        <w:szCs w:val="15"/>
      </w:rPr>
      <w:t>20</w:t>
    </w:r>
    <w:r>
      <w:rPr>
        <w:rFonts w:hint="eastAsia" w:ascii="宋体" w:hAnsi="宋体" w:cs="宋体"/>
        <w:b/>
        <w:bCs/>
        <w:kern w:val="0"/>
        <w:sz w:val="15"/>
        <w:szCs w:val="15"/>
      </w:rPr>
      <w:t>年招标文件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44085"/>
    <w:multiLevelType w:val="multilevel"/>
    <w:tmpl w:val="04044085"/>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DDF2AA8"/>
    <w:multiLevelType w:val="multilevel"/>
    <w:tmpl w:val="1DDF2AA8"/>
    <w:lvl w:ilvl="0" w:tentative="0">
      <w:start w:val="1"/>
      <w:numFmt w:val="decimal"/>
      <w:lvlText w:val="%1)"/>
      <w:lvlJc w:val="left"/>
      <w:pPr>
        <w:ind w:left="888" w:hanging="420"/>
      </w:pPr>
    </w:lvl>
    <w:lvl w:ilvl="1" w:tentative="0">
      <w:start w:val="1"/>
      <w:numFmt w:val="lowerLetter"/>
      <w:lvlText w:val="%2)"/>
      <w:lvlJc w:val="left"/>
      <w:pPr>
        <w:ind w:left="1308" w:hanging="420"/>
      </w:pPr>
    </w:lvl>
    <w:lvl w:ilvl="2" w:tentative="0">
      <w:start w:val="1"/>
      <w:numFmt w:val="lowerRoman"/>
      <w:lvlText w:val="%3."/>
      <w:lvlJc w:val="right"/>
      <w:pPr>
        <w:ind w:left="1728" w:hanging="420"/>
      </w:pPr>
    </w:lvl>
    <w:lvl w:ilvl="3" w:tentative="0">
      <w:start w:val="1"/>
      <w:numFmt w:val="decimal"/>
      <w:lvlText w:val="%4."/>
      <w:lvlJc w:val="left"/>
      <w:pPr>
        <w:ind w:left="2148" w:hanging="420"/>
      </w:pPr>
    </w:lvl>
    <w:lvl w:ilvl="4" w:tentative="0">
      <w:start w:val="1"/>
      <w:numFmt w:val="lowerLetter"/>
      <w:lvlText w:val="%5)"/>
      <w:lvlJc w:val="left"/>
      <w:pPr>
        <w:ind w:left="2568" w:hanging="420"/>
      </w:pPr>
    </w:lvl>
    <w:lvl w:ilvl="5" w:tentative="0">
      <w:start w:val="1"/>
      <w:numFmt w:val="lowerRoman"/>
      <w:lvlText w:val="%6."/>
      <w:lvlJc w:val="right"/>
      <w:pPr>
        <w:ind w:left="2988" w:hanging="420"/>
      </w:pPr>
    </w:lvl>
    <w:lvl w:ilvl="6" w:tentative="0">
      <w:start w:val="1"/>
      <w:numFmt w:val="decimal"/>
      <w:lvlText w:val="%7."/>
      <w:lvlJc w:val="left"/>
      <w:pPr>
        <w:ind w:left="3408" w:hanging="420"/>
      </w:pPr>
    </w:lvl>
    <w:lvl w:ilvl="7" w:tentative="0">
      <w:start w:val="1"/>
      <w:numFmt w:val="lowerLetter"/>
      <w:lvlText w:val="%8)"/>
      <w:lvlJc w:val="left"/>
      <w:pPr>
        <w:ind w:left="3828" w:hanging="420"/>
      </w:pPr>
    </w:lvl>
    <w:lvl w:ilvl="8" w:tentative="0">
      <w:start w:val="1"/>
      <w:numFmt w:val="lowerRoman"/>
      <w:lvlText w:val="%9."/>
      <w:lvlJc w:val="right"/>
      <w:pPr>
        <w:ind w:left="4248" w:hanging="420"/>
      </w:pPr>
    </w:lvl>
  </w:abstractNum>
  <w:abstractNum w:abstractNumId="2">
    <w:nsid w:val="3B6E2133"/>
    <w:multiLevelType w:val="multilevel"/>
    <w:tmpl w:val="3B6E2133"/>
    <w:lvl w:ilvl="0" w:tentative="0">
      <w:start w:val="1"/>
      <w:numFmt w:val="decimal"/>
      <w:lvlText w:val="%1)"/>
      <w:lvlJc w:val="left"/>
      <w:pPr>
        <w:ind w:left="825" w:hanging="420"/>
      </w:pPr>
    </w:lvl>
    <w:lvl w:ilvl="1" w:tentative="0">
      <w:start w:val="1"/>
      <w:numFmt w:val="lowerLetter"/>
      <w:lvlText w:val="%2)"/>
      <w:lvlJc w:val="left"/>
      <w:pPr>
        <w:ind w:left="1245" w:hanging="420"/>
      </w:pPr>
    </w:lvl>
    <w:lvl w:ilvl="2" w:tentative="0">
      <w:start w:val="1"/>
      <w:numFmt w:val="lowerRoman"/>
      <w:lvlText w:val="%3."/>
      <w:lvlJc w:val="right"/>
      <w:pPr>
        <w:ind w:left="1665" w:hanging="420"/>
      </w:pPr>
    </w:lvl>
    <w:lvl w:ilvl="3" w:tentative="0">
      <w:start w:val="1"/>
      <w:numFmt w:val="decimal"/>
      <w:lvlText w:val="%4."/>
      <w:lvlJc w:val="left"/>
      <w:pPr>
        <w:ind w:left="2085" w:hanging="420"/>
      </w:pPr>
    </w:lvl>
    <w:lvl w:ilvl="4" w:tentative="0">
      <w:start w:val="1"/>
      <w:numFmt w:val="lowerLetter"/>
      <w:lvlText w:val="%5)"/>
      <w:lvlJc w:val="left"/>
      <w:pPr>
        <w:ind w:left="2505" w:hanging="420"/>
      </w:pPr>
    </w:lvl>
    <w:lvl w:ilvl="5" w:tentative="0">
      <w:start w:val="1"/>
      <w:numFmt w:val="lowerRoman"/>
      <w:lvlText w:val="%6."/>
      <w:lvlJc w:val="right"/>
      <w:pPr>
        <w:ind w:left="2925" w:hanging="420"/>
      </w:pPr>
    </w:lvl>
    <w:lvl w:ilvl="6" w:tentative="0">
      <w:start w:val="1"/>
      <w:numFmt w:val="decimal"/>
      <w:lvlText w:val="%7."/>
      <w:lvlJc w:val="left"/>
      <w:pPr>
        <w:ind w:left="3345" w:hanging="420"/>
      </w:pPr>
    </w:lvl>
    <w:lvl w:ilvl="7" w:tentative="0">
      <w:start w:val="1"/>
      <w:numFmt w:val="lowerLetter"/>
      <w:lvlText w:val="%8)"/>
      <w:lvlJc w:val="left"/>
      <w:pPr>
        <w:ind w:left="3765" w:hanging="420"/>
      </w:pPr>
    </w:lvl>
    <w:lvl w:ilvl="8" w:tentative="0">
      <w:start w:val="1"/>
      <w:numFmt w:val="lowerRoman"/>
      <w:lvlText w:val="%9."/>
      <w:lvlJc w:val="right"/>
      <w:pPr>
        <w:ind w:left="4185" w:hanging="420"/>
      </w:pPr>
    </w:lvl>
  </w:abstractNum>
  <w:abstractNum w:abstractNumId="3">
    <w:nsid w:val="557538D1"/>
    <w:multiLevelType w:val="multilevel"/>
    <w:tmpl w:val="557538D1"/>
    <w:lvl w:ilvl="0" w:tentative="0">
      <w:start w:val="1"/>
      <w:numFmt w:val="decimal"/>
      <w:lvlText w:val="%1)"/>
      <w:lvlJc w:val="left"/>
      <w:pPr>
        <w:ind w:left="888" w:hanging="420"/>
      </w:pPr>
    </w:lvl>
    <w:lvl w:ilvl="1" w:tentative="0">
      <w:start w:val="1"/>
      <w:numFmt w:val="lowerLetter"/>
      <w:lvlText w:val="%2)"/>
      <w:lvlJc w:val="left"/>
      <w:pPr>
        <w:ind w:left="1308" w:hanging="420"/>
      </w:pPr>
    </w:lvl>
    <w:lvl w:ilvl="2" w:tentative="0">
      <w:start w:val="1"/>
      <w:numFmt w:val="lowerRoman"/>
      <w:lvlText w:val="%3."/>
      <w:lvlJc w:val="right"/>
      <w:pPr>
        <w:ind w:left="1728" w:hanging="420"/>
      </w:pPr>
    </w:lvl>
    <w:lvl w:ilvl="3" w:tentative="0">
      <w:start w:val="1"/>
      <w:numFmt w:val="decimal"/>
      <w:lvlText w:val="%4."/>
      <w:lvlJc w:val="left"/>
      <w:pPr>
        <w:ind w:left="2148" w:hanging="420"/>
      </w:pPr>
    </w:lvl>
    <w:lvl w:ilvl="4" w:tentative="0">
      <w:start w:val="1"/>
      <w:numFmt w:val="lowerLetter"/>
      <w:lvlText w:val="%5)"/>
      <w:lvlJc w:val="left"/>
      <w:pPr>
        <w:ind w:left="2568" w:hanging="420"/>
      </w:pPr>
    </w:lvl>
    <w:lvl w:ilvl="5" w:tentative="0">
      <w:start w:val="1"/>
      <w:numFmt w:val="lowerRoman"/>
      <w:lvlText w:val="%6."/>
      <w:lvlJc w:val="right"/>
      <w:pPr>
        <w:ind w:left="2988" w:hanging="420"/>
      </w:pPr>
    </w:lvl>
    <w:lvl w:ilvl="6" w:tentative="0">
      <w:start w:val="1"/>
      <w:numFmt w:val="decimal"/>
      <w:lvlText w:val="%7."/>
      <w:lvlJc w:val="left"/>
      <w:pPr>
        <w:ind w:left="3408" w:hanging="420"/>
      </w:pPr>
    </w:lvl>
    <w:lvl w:ilvl="7" w:tentative="0">
      <w:start w:val="1"/>
      <w:numFmt w:val="lowerLetter"/>
      <w:lvlText w:val="%8)"/>
      <w:lvlJc w:val="left"/>
      <w:pPr>
        <w:ind w:left="3828" w:hanging="420"/>
      </w:pPr>
    </w:lvl>
    <w:lvl w:ilvl="8" w:tentative="0">
      <w:start w:val="1"/>
      <w:numFmt w:val="lowerRoman"/>
      <w:lvlText w:val="%9."/>
      <w:lvlJc w:val="right"/>
      <w:pPr>
        <w:ind w:left="4248" w:hanging="420"/>
      </w:pPr>
    </w:lvl>
  </w:abstractNum>
  <w:abstractNum w:abstractNumId="4">
    <w:nsid w:val="592945B1"/>
    <w:multiLevelType w:val="multilevel"/>
    <w:tmpl w:val="592945B1"/>
    <w:lvl w:ilvl="0" w:tentative="0">
      <w:start w:val="1"/>
      <w:numFmt w:val="decimal"/>
      <w:pStyle w:val="4"/>
      <w:lvlText w:val="%1."/>
      <w:lvlJc w:val="left"/>
      <w:pPr>
        <w:ind w:left="425" w:hanging="425"/>
      </w:pPr>
      <w:rPr>
        <w:rFonts w:hint="eastAsia" w:ascii="微软雅黑" w:hAnsi="微软雅黑" w:eastAsia="微软雅黑"/>
      </w:rPr>
    </w:lvl>
    <w:lvl w:ilvl="1" w:tentative="0">
      <w:start w:val="1"/>
      <w:numFmt w:val="decimal"/>
      <w:pStyle w:val="5"/>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62D8"/>
    <w:rsid w:val="000E794A"/>
    <w:rsid w:val="000E7B1F"/>
    <w:rsid w:val="000E7E73"/>
    <w:rsid w:val="000F0A5B"/>
    <w:rsid w:val="000F1E4F"/>
    <w:rsid w:val="000F2EDC"/>
    <w:rsid w:val="000F33C3"/>
    <w:rsid w:val="000F456C"/>
    <w:rsid w:val="000F7C08"/>
    <w:rsid w:val="001007BA"/>
    <w:rsid w:val="00100F2E"/>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21DE6"/>
    <w:rsid w:val="002228CD"/>
    <w:rsid w:val="002238C0"/>
    <w:rsid w:val="0022420E"/>
    <w:rsid w:val="00225151"/>
    <w:rsid w:val="00226609"/>
    <w:rsid w:val="002270A5"/>
    <w:rsid w:val="002274A2"/>
    <w:rsid w:val="00230145"/>
    <w:rsid w:val="00230940"/>
    <w:rsid w:val="002346F4"/>
    <w:rsid w:val="00235A05"/>
    <w:rsid w:val="00237A59"/>
    <w:rsid w:val="002408A3"/>
    <w:rsid w:val="00240E59"/>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569D"/>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5610"/>
    <w:rsid w:val="00345928"/>
    <w:rsid w:val="00347496"/>
    <w:rsid w:val="00347889"/>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1000"/>
    <w:rsid w:val="0053114F"/>
    <w:rsid w:val="00533F15"/>
    <w:rsid w:val="00537018"/>
    <w:rsid w:val="00540A3F"/>
    <w:rsid w:val="00541B97"/>
    <w:rsid w:val="00544BF1"/>
    <w:rsid w:val="00545F0F"/>
    <w:rsid w:val="00546198"/>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37C"/>
    <w:rsid w:val="005B2D13"/>
    <w:rsid w:val="005B3222"/>
    <w:rsid w:val="005B379E"/>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B28"/>
    <w:rsid w:val="006A4D56"/>
    <w:rsid w:val="006A59A2"/>
    <w:rsid w:val="006A5ECF"/>
    <w:rsid w:val="006A669E"/>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6E3B"/>
    <w:rsid w:val="0093715C"/>
    <w:rsid w:val="00942FE6"/>
    <w:rsid w:val="00943762"/>
    <w:rsid w:val="00943D55"/>
    <w:rsid w:val="009441C5"/>
    <w:rsid w:val="00944B21"/>
    <w:rsid w:val="00944F62"/>
    <w:rsid w:val="00945FA3"/>
    <w:rsid w:val="009473FE"/>
    <w:rsid w:val="00951C1B"/>
    <w:rsid w:val="0095244B"/>
    <w:rsid w:val="00952BB4"/>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723F"/>
    <w:rsid w:val="009B2876"/>
    <w:rsid w:val="009B3202"/>
    <w:rsid w:val="009B4732"/>
    <w:rsid w:val="009B5355"/>
    <w:rsid w:val="009B5A13"/>
    <w:rsid w:val="009B5D2C"/>
    <w:rsid w:val="009B5E85"/>
    <w:rsid w:val="009B7C1E"/>
    <w:rsid w:val="009B7FB8"/>
    <w:rsid w:val="009C018C"/>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6220"/>
    <w:rsid w:val="00A46DA5"/>
    <w:rsid w:val="00A512D9"/>
    <w:rsid w:val="00A513FD"/>
    <w:rsid w:val="00A51D42"/>
    <w:rsid w:val="00A51EE9"/>
    <w:rsid w:val="00A54A51"/>
    <w:rsid w:val="00A54C2B"/>
    <w:rsid w:val="00A560A6"/>
    <w:rsid w:val="00A56335"/>
    <w:rsid w:val="00A56B4D"/>
    <w:rsid w:val="00A6110E"/>
    <w:rsid w:val="00A61E93"/>
    <w:rsid w:val="00A6304F"/>
    <w:rsid w:val="00A66067"/>
    <w:rsid w:val="00A669C1"/>
    <w:rsid w:val="00A66F4B"/>
    <w:rsid w:val="00A72112"/>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44CF"/>
    <w:rsid w:val="00B75363"/>
    <w:rsid w:val="00B766EE"/>
    <w:rsid w:val="00B8029F"/>
    <w:rsid w:val="00B817B3"/>
    <w:rsid w:val="00B81C16"/>
    <w:rsid w:val="00B8226C"/>
    <w:rsid w:val="00B851ED"/>
    <w:rsid w:val="00B856E6"/>
    <w:rsid w:val="00B86940"/>
    <w:rsid w:val="00B86DF8"/>
    <w:rsid w:val="00B8706D"/>
    <w:rsid w:val="00B90160"/>
    <w:rsid w:val="00B9134A"/>
    <w:rsid w:val="00B91CDD"/>
    <w:rsid w:val="00B92B28"/>
    <w:rsid w:val="00B930A6"/>
    <w:rsid w:val="00B9722B"/>
    <w:rsid w:val="00B972CE"/>
    <w:rsid w:val="00BA0166"/>
    <w:rsid w:val="00BA1570"/>
    <w:rsid w:val="00BA2BDC"/>
    <w:rsid w:val="00BA3F55"/>
    <w:rsid w:val="00BA4270"/>
    <w:rsid w:val="00BA508D"/>
    <w:rsid w:val="00BA524D"/>
    <w:rsid w:val="00BB0F3A"/>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EA9"/>
    <w:rsid w:val="00CA7DF1"/>
    <w:rsid w:val="00CB063E"/>
    <w:rsid w:val="00CB46CA"/>
    <w:rsid w:val="00CB4EC5"/>
    <w:rsid w:val="00CB52A4"/>
    <w:rsid w:val="00CB6349"/>
    <w:rsid w:val="00CB7BA1"/>
    <w:rsid w:val="00CC0C69"/>
    <w:rsid w:val="00CC0DD7"/>
    <w:rsid w:val="00CC4AC7"/>
    <w:rsid w:val="00CC6087"/>
    <w:rsid w:val="00CC65A4"/>
    <w:rsid w:val="00CC7630"/>
    <w:rsid w:val="00CC7C8D"/>
    <w:rsid w:val="00CD0071"/>
    <w:rsid w:val="00CD1EC5"/>
    <w:rsid w:val="00CD2FD4"/>
    <w:rsid w:val="00CD346D"/>
    <w:rsid w:val="00CD4000"/>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507B"/>
    <w:rsid w:val="00DF637A"/>
    <w:rsid w:val="00DF74C6"/>
    <w:rsid w:val="00E00B59"/>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444"/>
    <w:rsid w:val="00E6252B"/>
    <w:rsid w:val="00E64653"/>
    <w:rsid w:val="00E65BBF"/>
    <w:rsid w:val="00E65EDF"/>
    <w:rsid w:val="00E66246"/>
    <w:rsid w:val="00E66729"/>
    <w:rsid w:val="00E67A36"/>
    <w:rsid w:val="00E71A92"/>
    <w:rsid w:val="00E71C71"/>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610"/>
    <w:rsid w:val="00FE5B68"/>
    <w:rsid w:val="00FE5C60"/>
    <w:rsid w:val="00FE7480"/>
    <w:rsid w:val="00FF0C63"/>
    <w:rsid w:val="00FF0EC6"/>
    <w:rsid w:val="00FF1DAB"/>
    <w:rsid w:val="00FF394A"/>
    <w:rsid w:val="00FF3DF8"/>
    <w:rsid w:val="05B517B2"/>
    <w:rsid w:val="06FB152C"/>
    <w:rsid w:val="0A590381"/>
    <w:rsid w:val="0C4861BD"/>
    <w:rsid w:val="0E1F622E"/>
    <w:rsid w:val="10F05838"/>
    <w:rsid w:val="12162C3B"/>
    <w:rsid w:val="130F1D58"/>
    <w:rsid w:val="14896182"/>
    <w:rsid w:val="14CE584E"/>
    <w:rsid w:val="155010AB"/>
    <w:rsid w:val="17B606F4"/>
    <w:rsid w:val="18AC3EC0"/>
    <w:rsid w:val="1C4A137C"/>
    <w:rsid w:val="1FF659FF"/>
    <w:rsid w:val="243943F8"/>
    <w:rsid w:val="24E05430"/>
    <w:rsid w:val="27AD7C03"/>
    <w:rsid w:val="27C46D46"/>
    <w:rsid w:val="2CE81BAF"/>
    <w:rsid w:val="3172033E"/>
    <w:rsid w:val="3227588C"/>
    <w:rsid w:val="351529A9"/>
    <w:rsid w:val="354B294D"/>
    <w:rsid w:val="37E14EA8"/>
    <w:rsid w:val="38F33167"/>
    <w:rsid w:val="3C8E6F2D"/>
    <w:rsid w:val="42643A73"/>
    <w:rsid w:val="42AA1012"/>
    <w:rsid w:val="43A44696"/>
    <w:rsid w:val="440F2E70"/>
    <w:rsid w:val="44DC7F4B"/>
    <w:rsid w:val="46AA377D"/>
    <w:rsid w:val="492D2538"/>
    <w:rsid w:val="4A4B48E3"/>
    <w:rsid w:val="4C9E12D1"/>
    <w:rsid w:val="4EA15433"/>
    <w:rsid w:val="51865A6B"/>
    <w:rsid w:val="53285CD2"/>
    <w:rsid w:val="54B6223B"/>
    <w:rsid w:val="54E15A0F"/>
    <w:rsid w:val="58E67606"/>
    <w:rsid w:val="5C0F2072"/>
    <w:rsid w:val="5C8B258F"/>
    <w:rsid w:val="5E3870C3"/>
    <w:rsid w:val="5E6C25B6"/>
    <w:rsid w:val="61137494"/>
    <w:rsid w:val="62175D45"/>
    <w:rsid w:val="6233128F"/>
    <w:rsid w:val="62E14C0F"/>
    <w:rsid w:val="63D7368B"/>
    <w:rsid w:val="64834BF6"/>
    <w:rsid w:val="65136AD6"/>
    <w:rsid w:val="67EE7922"/>
    <w:rsid w:val="69E27B06"/>
    <w:rsid w:val="6AB76CFB"/>
    <w:rsid w:val="6BC1702A"/>
    <w:rsid w:val="6DE86594"/>
    <w:rsid w:val="724D2C61"/>
    <w:rsid w:val="745F3CAA"/>
    <w:rsid w:val="75BE6EB5"/>
    <w:rsid w:val="7AE40810"/>
    <w:rsid w:val="7BBB6C68"/>
    <w:rsid w:val="7C574749"/>
    <w:rsid w:val="7C8E2CF6"/>
    <w:rsid w:val="7CD015B7"/>
    <w:rsid w:val="7EDF30DA"/>
    <w:rsid w:val="7EEF6C2A"/>
    <w:rsid w:val="7F074C20"/>
    <w:rsid w:val="7F363A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99"/>
    <w:pPr>
      <w:keepNext/>
      <w:keepLines/>
      <w:spacing w:before="340" w:after="330" w:line="578" w:lineRule="auto"/>
      <w:outlineLvl w:val="0"/>
    </w:pPr>
    <w:rPr>
      <w:b/>
      <w:kern w:val="44"/>
      <w:sz w:val="44"/>
      <w:szCs w:val="20"/>
    </w:rPr>
  </w:style>
  <w:style w:type="paragraph" w:styleId="4">
    <w:name w:val="heading 2"/>
    <w:basedOn w:val="1"/>
    <w:next w:val="1"/>
    <w:unhideWhenUsed/>
    <w:qFormat/>
    <w:uiPriority w:val="9"/>
    <w:pPr>
      <w:keepNext/>
      <w:keepLines/>
      <w:numPr>
        <w:ilvl w:val="0"/>
        <w:numId w:val="1"/>
      </w:numPr>
      <w:spacing w:before="120" w:after="120" w:line="360" w:lineRule="auto"/>
      <w:outlineLvl w:val="1"/>
    </w:pPr>
    <w:rPr>
      <w:rFonts w:ascii="Calibri Light" w:hAnsi="Calibri Light" w:eastAsia="微软雅黑"/>
      <w:b/>
      <w:bCs/>
      <w:sz w:val="28"/>
      <w:szCs w:val="32"/>
    </w:rPr>
  </w:style>
  <w:style w:type="paragraph" w:styleId="5">
    <w:name w:val="heading 3"/>
    <w:basedOn w:val="1"/>
    <w:next w:val="1"/>
    <w:unhideWhenUsed/>
    <w:qFormat/>
    <w:uiPriority w:val="0"/>
    <w:pPr>
      <w:keepNext/>
      <w:keepLines/>
      <w:numPr>
        <w:ilvl w:val="1"/>
        <w:numId w:val="1"/>
      </w:numPr>
      <w:spacing w:before="120" w:after="120" w:line="360" w:lineRule="auto"/>
      <w:outlineLvl w:val="2"/>
    </w:pPr>
    <w:rPr>
      <w:rFonts w:ascii="微软雅黑" w:hAnsi="微软雅黑" w:eastAsia="微软雅黑"/>
      <w:b/>
      <w:bCs/>
      <w:sz w:val="24"/>
      <w:szCs w:val="32"/>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2">
    <w:name w:val="Block Text"/>
    <w:basedOn w:val="1"/>
    <w:unhideWhenUsed/>
    <w:qFormat/>
    <w:locked/>
    <w:uiPriority w:val="99"/>
    <w:pPr>
      <w:spacing w:after="120"/>
      <w:ind w:left="1440" w:leftChars="700" w:right="1440" w:rightChars="700"/>
    </w:pPr>
  </w:style>
  <w:style w:type="paragraph" w:styleId="6">
    <w:name w:val="annotation text"/>
    <w:basedOn w:val="1"/>
    <w:link w:val="23"/>
    <w:qFormat/>
    <w:uiPriority w:val="99"/>
    <w:pPr>
      <w:jc w:val="left"/>
    </w:pPr>
    <w:rPr>
      <w:sz w:val="24"/>
      <w:szCs w:val="20"/>
    </w:rPr>
  </w:style>
  <w:style w:type="paragraph" w:styleId="7">
    <w:name w:val="Body Text"/>
    <w:basedOn w:val="1"/>
    <w:link w:val="42"/>
    <w:unhideWhenUsed/>
    <w:qFormat/>
    <w:locked/>
    <w:uiPriority w:val="99"/>
    <w:pPr>
      <w:spacing w:after="120"/>
    </w:pPr>
  </w:style>
  <w:style w:type="paragraph" w:styleId="8">
    <w:name w:val="Body Text Indent"/>
    <w:basedOn w:val="1"/>
    <w:link w:val="24"/>
    <w:qFormat/>
    <w:uiPriority w:val="99"/>
    <w:pPr>
      <w:ind w:firstLine="575" w:firstLineChars="274"/>
    </w:pPr>
    <w:rPr>
      <w:rFonts w:ascii="等线" w:eastAsia="等线"/>
      <w:sz w:val="22"/>
      <w:szCs w:val="20"/>
    </w:rPr>
  </w:style>
  <w:style w:type="paragraph" w:styleId="9">
    <w:name w:val="index 4"/>
    <w:basedOn w:val="1"/>
    <w:next w:val="1"/>
    <w:qFormat/>
    <w:uiPriority w:val="99"/>
    <w:pPr>
      <w:ind w:left="600" w:leftChars="600"/>
    </w:pPr>
    <w:rPr>
      <w:rFonts w:ascii="Verdana" w:hAnsi="Verdana"/>
    </w:rPr>
  </w:style>
  <w:style w:type="paragraph" w:styleId="10">
    <w:name w:val="Plain Text"/>
    <w:basedOn w:val="1"/>
    <w:link w:val="25"/>
    <w:qFormat/>
    <w:uiPriority w:val="0"/>
    <w:rPr>
      <w:rFonts w:ascii="宋体" w:hAnsi="Courier New"/>
      <w:szCs w:val="20"/>
    </w:rPr>
  </w:style>
  <w:style w:type="paragraph" w:styleId="11">
    <w:name w:val="Date"/>
    <w:basedOn w:val="1"/>
    <w:next w:val="1"/>
    <w:link w:val="26"/>
    <w:qFormat/>
    <w:uiPriority w:val="99"/>
    <w:pPr>
      <w:ind w:left="100" w:leftChars="2500"/>
    </w:pPr>
    <w:rPr>
      <w:sz w:val="24"/>
      <w:szCs w:val="20"/>
    </w:rPr>
  </w:style>
  <w:style w:type="paragraph" w:styleId="12">
    <w:name w:val="Balloon Text"/>
    <w:basedOn w:val="1"/>
    <w:link w:val="27"/>
    <w:semiHidden/>
    <w:qFormat/>
    <w:uiPriority w:val="99"/>
    <w:rPr>
      <w:kern w:val="0"/>
      <w:sz w:val="2"/>
      <w:szCs w:val="20"/>
    </w:rPr>
  </w:style>
  <w:style w:type="paragraph" w:styleId="13">
    <w:name w:val="footer"/>
    <w:basedOn w:val="1"/>
    <w:link w:val="28"/>
    <w:qFormat/>
    <w:uiPriority w:val="99"/>
    <w:pPr>
      <w:tabs>
        <w:tab w:val="center" w:pos="4153"/>
        <w:tab w:val="right" w:pos="8306"/>
      </w:tabs>
      <w:snapToGrid w:val="0"/>
      <w:jc w:val="left"/>
    </w:pPr>
    <w:rPr>
      <w:kern w:val="0"/>
      <w:sz w:val="18"/>
      <w:szCs w:val="18"/>
    </w:rPr>
  </w:style>
  <w:style w:type="paragraph" w:styleId="14">
    <w:name w:val="header"/>
    <w:basedOn w:val="1"/>
    <w:link w:val="29"/>
    <w:qFormat/>
    <w:uiPriority w:val="99"/>
    <w:pPr>
      <w:pBdr>
        <w:bottom w:val="single" w:color="auto" w:sz="6" w:space="1"/>
      </w:pBdr>
      <w:tabs>
        <w:tab w:val="center" w:pos="4153"/>
        <w:tab w:val="right" w:pos="8306"/>
      </w:tabs>
      <w:snapToGrid w:val="0"/>
      <w:jc w:val="center"/>
    </w:pPr>
    <w:rPr>
      <w:sz w:val="18"/>
      <w:szCs w:val="20"/>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annotation subject"/>
    <w:basedOn w:val="6"/>
    <w:next w:val="6"/>
    <w:link w:val="30"/>
    <w:qFormat/>
    <w:uiPriority w:val="99"/>
    <w:rPr>
      <w:b/>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qFormat/>
    <w:uiPriority w:val="99"/>
    <w:rPr>
      <w:rFonts w:cs="Times New Roman"/>
      <w:color w:val="0563C1"/>
      <w:u w:val="single"/>
    </w:rPr>
  </w:style>
  <w:style w:type="character" w:styleId="21">
    <w:name w:val="annotation reference"/>
    <w:basedOn w:val="19"/>
    <w:qFormat/>
    <w:uiPriority w:val="99"/>
    <w:rPr>
      <w:rFonts w:cs="Times New Roman"/>
      <w:sz w:val="21"/>
    </w:rPr>
  </w:style>
  <w:style w:type="character" w:customStyle="1" w:styleId="22">
    <w:name w:val="标题 1 字符"/>
    <w:link w:val="3"/>
    <w:qFormat/>
    <w:locked/>
    <w:uiPriority w:val="99"/>
    <w:rPr>
      <w:rFonts w:cs="Times New Roman"/>
      <w:b/>
      <w:kern w:val="44"/>
      <w:sz w:val="44"/>
    </w:rPr>
  </w:style>
  <w:style w:type="character" w:customStyle="1" w:styleId="23">
    <w:name w:val="批注文字 字符"/>
    <w:link w:val="6"/>
    <w:qFormat/>
    <w:locked/>
    <w:uiPriority w:val="99"/>
    <w:rPr>
      <w:rFonts w:cs="Times New Roman"/>
      <w:kern w:val="2"/>
      <w:sz w:val="24"/>
    </w:rPr>
  </w:style>
  <w:style w:type="character" w:customStyle="1" w:styleId="24">
    <w:name w:val="正文文本缩进 字符"/>
    <w:link w:val="8"/>
    <w:qFormat/>
    <w:locked/>
    <w:uiPriority w:val="99"/>
    <w:rPr>
      <w:rFonts w:ascii="等线" w:eastAsia="等线" w:cs="Times New Roman"/>
      <w:kern w:val="2"/>
      <w:sz w:val="22"/>
    </w:rPr>
  </w:style>
  <w:style w:type="character" w:customStyle="1" w:styleId="25">
    <w:name w:val="纯文本 字符"/>
    <w:link w:val="10"/>
    <w:qFormat/>
    <w:locked/>
    <w:uiPriority w:val="0"/>
    <w:rPr>
      <w:rFonts w:ascii="宋体" w:hAnsi="Courier New" w:cs="Times New Roman"/>
      <w:kern w:val="2"/>
      <w:sz w:val="21"/>
    </w:rPr>
  </w:style>
  <w:style w:type="character" w:customStyle="1" w:styleId="26">
    <w:name w:val="日期 字符"/>
    <w:link w:val="11"/>
    <w:qFormat/>
    <w:locked/>
    <w:uiPriority w:val="99"/>
    <w:rPr>
      <w:rFonts w:cs="Times New Roman"/>
      <w:kern w:val="2"/>
      <w:sz w:val="24"/>
    </w:rPr>
  </w:style>
  <w:style w:type="character" w:customStyle="1" w:styleId="27">
    <w:name w:val="批注框文本 字符"/>
    <w:link w:val="12"/>
    <w:semiHidden/>
    <w:qFormat/>
    <w:locked/>
    <w:uiPriority w:val="99"/>
    <w:rPr>
      <w:rFonts w:cs="Times New Roman"/>
      <w:sz w:val="2"/>
    </w:rPr>
  </w:style>
  <w:style w:type="character" w:customStyle="1" w:styleId="28">
    <w:name w:val="页脚 字符"/>
    <w:link w:val="13"/>
    <w:semiHidden/>
    <w:qFormat/>
    <w:locked/>
    <w:uiPriority w:val="99"/>
    <w:rPr>
      <w:rFonts w:cs="Times New Roman"/>
      <w:sz w:val="18"/>
      <w:szCs w:val="18"/>
    </w:rPr>
  </w:style>
  <w:style w:type="character" w:customStyle="1" w:styleId="29">
    <w:name w:val="页眉 字符"/>
    <w:link w:val="14"/>
    <w:qFormat/>
    <w:locked/>
    <w:uiPriority w:val="99"/>
    <w:rPr>
      <w:rFonts w:cs="Times New Roman"/>
      <w:kern w:val="2"/>
      <w:sz w:val="18"/>
    </w:rPr>
  </w:style>
  <w:style w:type="character" w:customStyle="1" w:styleId="30">
    <w:name w:val="批注主题 字符"/>
    <w:link w:val="16"/>
    <w:qFormat/>
    <w:locked/>
    <w:uiPriority w:val="99"/>
    <w:rPr>
      <w:rFonts w:cs="Times New Roman"/>
      <w:b/>
      <w:kern w:val="2"/>
      <w:sz w:val="24"/>
    </w:rPr>
  </w:style>
  <w:style w:type="paragraph" w:customStyle="1" w:styleId="31">
    <w:name w:val="Char"/>
    <w:basedOn w:val="1"/>
    <w:qFormat/>
    <w:uiPriority w:val="99"/>
    <w:pPr>
      <w:tabs>
        <w:tab w:val="left" w:pos="360"/>
      </w:tabs>
    </w:pPr>
    <w:rPr>
      <w:sz w:val="24"/>
    </w:rPr>
  </w:style>
  <w:style w:type="character" w:customStyle="1" w:styleId="32">
    <w:name w:val="列出段落 字符"/>
    <w:link w:val="33"/>
    <w:qFormat/>
    <w:locked/>
    <w:uiPriority w:val="0"/>
  </w:style>
  <w:style w:type="paragraph" w:styleId="33">
    <w:name w:val="List Paragraph"/>
    <w:basedOn w:val="1"/>
    <w:link w:val="32"/>
    <w:qFormat/>
    <w:uiPriority w:val="34"/>
    <w:pPr>
      <w:widowControl/>
      <w:ind w:firstLine="420" w:firstLineChars="200"/>
      <w:jc w:val="left"/>
    </w:pPr>
    <w:rPr>
      <w:kern w:val="0"/>
      <w:sz w:val="20"/>
      <w:szCs w:val="20"/>
    </w:rPr>
  </w:style>
  <w:style w:type="table" w:customStyle="1" w:styleId="34">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Placeholder Text"/>
    <w:semiHidden/>
    <w:qFormat/>
    <w:uiPriority w:val="99"/>
    <w:rPr>
      <w:rFonts w:cs="Times New Roman"/>
      <w:color w:val="808080"/>
    </w:rPr>
  </w:style>
  <w:style w:type="paragraph" w:customStyle="1" w:styleId="36">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7">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8">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9">
    <w:name w:val="列出段落2"/>
    <w:basedOn w:val="1"/>
    <w:qFormat/>
    <w:uiPriority w:val="99"/>
    <w:pPr>
      <w:ind w:firstLine="420" w:firstLineChars="200"/>
    </w:pPr>
    <w:rPr>
      <w:rFonts w:ascii="Calibri" w:hAnsi="Calibri"/>
      <w:szCs w:val="22"/>
    </w:rPr>
  </w:style>
  <w:style w:type="character" w:customStyle="1" w:styleId="40">
    <w:name w:val="标题 2 Char Char Char"/>
    <w:qFormat/>
    <w:uiPriority w:val="99"/>
    <w:rPr>
      <w:rFonts w:ascii="Arial" w:hAnsi="Arial" w:eastAsia="黑体"/>
      <w:b/>
      <w:kern w:val="2"/>
      <w:sz w:val="32"/>
      <w:lang w:val="en-US" w:eastAsia="zh-CN"/>
    </w:rPr>
  </w:style>
  <w:style w:type="paragraph" w:customStyle="1" w:styleId="41">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2">
    <w:name w:val="正文文本 字符"/>
    <w:link w:val="7"/>
    <w:qFormat/>
    <w:uiPriority w:val="99"/>
    <w:rPr>
      <w:kern w:val="2"/>
      <w:sz w:val="21"/>
      <w:szCs w:val="24"/>
    </w:rPr>
  </w:style>
  <w:style w:type="paragraph" w:customStyle="1" w:styleId="43">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4">
    <w:name w:val="正文2"/>
    <w:basedOn w:val="1"/>
    <w:qFormat/>
    <w:uiPriority w:val="0"/>
    <w:pPr>
      <w:spacing w:before="156" w:line="360" w:lineRule="auto"/>
      <w:ind w:firstLine="510" w:firstLineChars="200"/>
    </w:pPr>
    <w:rPr>
      <w:sz w:val="24"/>
    </w:rPr>
  </w:style>
  <w:style w:type="paragraph" w:customStyle="1" w:styleId="45">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6">
    <w:name w:val="A9"/>
    <w:qFormat/>
    <w:uiPriority w:val="0"/>
    <w:rPr>
      <w:rFonts w:cs="PSFEIH+StoneSans"/>
      <w:color w:val="262424"/>
      <w:sz w:val="20"/>
      <w:szCs w:val="20"/>
    </w:rPr>
  </w:style>
  <w:style w:type="paragraph" w:customStyle="1" w:styleId="47">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690F0A-DD5A-45BB-A5EA-FB3A706F7D2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34</Pages>
  <Words>2823</Words>
  <Characters>16096</Characters>
  <Lines>134</Lines>
  <Paragraphs>37</Paragraphs>
  <TotalTime>10</TotalTime>
  <ScaleCrop>false</ScaleCrop>
  <LinksUpToDate>false</LinksUpToDate>
  <CharactersWithSpaces>18882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2020-06-12T10:25:00Z</dcterms:created>
  <dc:creator>微软用户</dc:creator>
  <cp:lastModifiedBy>nxdlu</cp:lastModifiedBy>
  <cp:lastPrinted>2019-11-22T01:53:00Z</cp:lastPrinted>
  <dcterms:modified xsi:type="dcterms:W3CDTF">2020-06-15T01:41:40Z</dcterms:modified>
  <dc:title>淮海工学院A8-10号楼学生宿舍家具招标书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