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宋体"/>
          <w:b/>
          <w:sz w:val="44"/>
          <w:szCs w:val="44"/>
          <w:lang w:val="en-US" w:eastAsia="zh-CN"/>
        </w:rPr>
      </w:pPr>
      <w:bookmarkStart w:id="0" w:name="OLE_LINK1"/>
      <w:bookmarkStart w:id="1" w:name="OLE_LINK2"/>
      <w:r>
        <w:rPr>
          <w:b/>
          <w:sz w:val="44"/>
          <w:szCs w:val="44"/>
        </w:rPr>
        <w:t>南京信息工程大学</w:t>
      </w:r>
      <w:bookmarkEnd w:id="0"/>
      <w:bookmarkEnd w:id="1"/>
      <w:r>
        <w:rPr>
          <w:rFonts w:hint="eastAsia"/>
          <w:b/>
          <w:sz w:val="44"/>
          <w:szCs w:val="44"/>
        </w:rPr>
        <w:t>滨江学院</w:t>
      </w:r>
      <w:r>
        <w:rPr>
          <w:rFonts w:hint="eastAsia"/>
          <w:b/>
          <w:sz w:val="44"/>
          <w:szCs w:val="44"/>
          <w:lang w:eastAsia="zh-CN"/>
        </w:rPr>
        <w:t>（</w:t>
      </w:r>
      <w:r>
        <w:rPr>
          <w:rFonts w:hint="eastAsia"/>
          <w:b/>
          <w:sz w:val="44"/>
          <w:szCs w:val="44"/>
          <w:lang w:val="en-US" w:eastAsia="zh-CN"/>
        </w:rPr>
        <w:t>无锡校区</w:t>
      </w:r>
      <w:r>
        <w:rPr>
          <w:rFonts w:hint="eastAsia"/>
          <w:b/>
          <w:sz w:val="44"/>
          <w:szCs w:val="44"/>
          <w:lang w:eastAsia="zh-CN"/>
        </w:rPr>
        <w:t>）</w:t>
      </w:r>
    </w:p>
    <w:p>
      <w:pPr>
        <w:jc w:val="center"/>
        <w:rPr>
          <w:b/>
          <w:sz w:val="44"/>
          <w:szCs w:val="44"/>
        </w:rPr>
      </w:pPr>
      <w:r>
        <w:rPr>
          <w:rFonts w:hint="eastAsia"/>
          <w:b/>
          <w:sz w:val="44"/>
          <w:szCs w:val="44"/>
        </w:rPr>
        <w:t>轨道交通牵引供电实训室</w:t>
      </w:r>
      <w:r>
        <w:rPr>
          <w:b/>
          <w:sz w:val="44"/>
          <w:szCs w:val="44"/>
        </w:rPr>
        <w:t>采购项目招标文件</w:t>
      </w:r>
    </w:p>
    <w:p>
      <w:pPr>
        <w:jc w:val="center"/>
        <w:rPr>
          <w:b/>
          <w:sz w:val="44"/>
          <w:szCs w:val="44"/>
        </w:rPr>
      </w:pPr>
    </w:p>
    <w:p>
      <w:pPr>
        <w:adjustRightInd w:val="0"/>
        <w:snapToGrid w:val="0"/>
        <w:spacing w:line="360" w:lineRule="auto"/>
        <w:jc w:val="center"/>
        <w:rPr>
          <w:rFonts w:ascii="宋体" w:cs="仿宋"/>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u w:val="single"/>
        </w:rPr>
        <w:t>BJ</w:t>
      </w:r>
      <w:r>
        <w:rPr>
          <w:rFonts w:ascii="宋体" w:hAnsi="宋体" w:cs="仿宋"/>
          <w:sz w:val="28"/>
          <w:szCs w:val="28"/>
          <w:highlight w:val="none"/>
          <w:u w:val="single"/>
        </w:rPr>
        <w:t>20</w:t>
      </w:r>
      <w:r>
        <w:rPr>
          <w:rFonts w:hint="eastAsia" w:ascii="宋体" w:hAnsi="宋体" w:cs="仿宋"/>
          <w:sz w:val="28"/>
          <w:szCs w:val="28"/>
          <w:highlight w:val="none"/>
          <w:u w:val="single"/>
        </w:rPr>
        <w:t>200</w:t>
      </w:r>
      <w:r>
        <w:rPr>
          <w:rFonts w:hint="eastAsia" w:ascii="宋体" w:hAnsi="宋体" w:cs="仿宋"/>
          <w:sz w:val="28"/>
          <w:szCs w:val="28"/>
          <w:highlight w:val="none"/>
          <w:u w:val="single"/>
          <w:lang w:val="en-US" w:eastAsia="zh-CN"/>
        </w:rPr>
        <w:t>04</w:t>
      </w:r>
      <w:r>
        <w:rPr>
          <w:rFonts w:hint="eastAsia" w:ascii="宋体" w:hAnsi="宋体" w:cs="仿宋"/>
          <w:sz w:val="28"/>
          <w:szCs w:val="28"/>
          <w:highlight w:val="none"/>
          <w:u w:val="single"/>
        </w:rPr>
        <w:t xml:space="preserve"> </w:t>
      </w:r>
      <w:r>
        <w:rPr>
          <w:rFonts w:hint="eastAsia" w:ascii="宋体" w:hAnsi="宋体" w:cs="仿宋"/>
          <w:sz w:val="28"/>
          <w:szCs w:val="28"/>
          <w:highlight w:val="none"/>
        </w:rPr>
        <w:t>）</w:t>
      </w: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20年</w:t>
      </w:r>
      <w:r>
        <w:rPr>
          <w:rFonts w:hint="eastAsia" w:ascii="宋体" w:hAnsi="宋体" w:cs="仿宋"/>
          <w:sz w:val="28"/>
          <w:szCs w:val="28"/>
          <w:highlight w:val="none"/>
          <w:u w:val="single"/>
          <w:lang w:val="en-US" w:eastAsia="zh-CN"/>
        </w:rPr>
        <w:t>7月15</w:t>
      </w:r>
      <w:r>
        <w:rPr>
          <w:rFonts w:hint="eastAsia" w:ascii="宋体" w:hAnsi="宋体" w:cs="仿宋"/>
          <w:sz w:val="28"/>
          <w:szCs w:val="28"/>
          <w:highlight w:val="none"/>
          <w:u w:val="single"/>
        </w:rPr>
        <w:t>日2</w:t>
      </w:r>
      <w:r>
        <w:rPr>
          <w:rFonts w:hint="eastAsia" w:ascii="宋体" w:hAnsi="宋体" w:cs="仿宋"/>
          <w:sz w:val="28"/>
          <w:szCs w:val="28"/>
          <w:highlight w:val="none"/>
          <w:u w:val="single"/>
          <w:lang w:val="en-US" w:eastAsia="zh-CN"/>
        </w:rPr>
        <w:t>2</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r>
        <w:rPr>
          <w:b/>
          <w:sz w:val="28"/>
          <w:szCs w:val="28"/>
          <w:highlight w:val="none"/>
        </w:rPr>
        <w:t xml:space="preserve"> </w:t>
      </w:r>
    </w:p>
    <w:p>
      <w:pPr>
        <w:spacing w:line="360" w:lineRule="auto"/>
        <w:ind w:firstLine="570"/>
        <w:jc w:val="left"/>
        <w:rPr>
          <w:kern w:val="0"/>
          <w:sz w:val="28"/>
          <w:szCs w:val="28"/>
        </w:rPr>
      </w:pPr>
      <w:r>
        <w:rPr>
          <w:rFonts w:hint="eastAsia"/>
          <w:kern w:val="0"/>
          <w:sz w:val="28"/>
          <w:szCs w:val="28"/>
        </w:rPr>
        <w:t>为满足</w:t>
      </w:r>
      <w:r>
        <w:rPr>
          <w:rFonts w:hint="eastAsia"/>
          <w:kern w:val="0"/>
          <w:sz w:val="28"/>
          <w:szCs w:val="28"/>
          <w:lang w:val="en-US" w:eastAsia="zh-CN"/>
        </w:rPr>
        <w:t>学院教学工作</w:t>
      </w:r>
      <w:r>
        <w:rPr>
          <w:rFonts w:hint="eastAsia"/>
          <w:kern w:val="0"/>
          <w:sz w:val="28"/>
          <w:szCs w:val="28"/>
        </w:rPr>
        <w:t>需要，受滨江学院委托，就南京信息工程大学滨江学院</w:t>
      </w:r>
      <w:r>
        <w:rPr>
          <w:rFonts w:hint="eastAsia"/>
          <w:kern w:val="0"/>
          <w:sz w:val="28"/>
          <w:szCs w:val="28"/>
          <w:lang w:eastAsia="zh-CN"/>
        </w:rPr>
        <w:t>（</w:t>
      </w:r>
      <w:r>
        <w:rPr>
          <w:rFonts w:hint="eastAsia"/>
          <w:kern w:val="0"/>
          <w:sz w:val="28"/>
          <w:szCs w:val="28"/>
          <w:lang w:val="en-US" w:eastAsia="zh-CN"/>
        </w:rPr>
        <w:t>无锡校区</w:t>
      </w:r>
      <w:r>
        <w:rPr>
          <w:rFonts w:hint="eastAsia"/>
          <w:kern w:val="0"/>
          <w:sz w:val="28"/>
          <w:szCs w:val="28"/>
          <w:lang w:eastAsia="zh-CN"/>
        </w:rPr>
        <w:t>）</w:t>
      </w:r>
      <w:r>
        <w:rPr>
          <w:rFonts w:hint="eastAsia"/>
          <w:kern w:val="0"/>
          <w:sz w:val="28"/>
          <w:szCs w:val="28"/>
        </w:rPr>
        <w:t>轨道交通牵引供电实训室采购项目进行公开招标，欢迎符合条件的供应商报名投标，现将有关情况说明如下：</w:t>
      </w:r>
    </w:p>
    <w:p>
      <w:pPr>
        <w:pStyle w:val="34"/>
        <w:spacing w:line="360" w:lineRule="auto"/>
        <w:ind w:firstLine="0" w:firstLineChars="0"/>
        <w:jc w:val="center"/>
        <w:rPr>
          <w:rFonts w:eastAsia="黑体"/>
          <w:sz w:val="28"/>
          <w:szCs w:val="28"/>
        </w:rPr>
      </w:pPr>
      <w:r>
        <w:rPr>
          <w:rFonts w:eastAsia="黑体"/>
          <w:sz w:val="28"/>
          <w:szCs w:val="28"/>
        </w:rPr>
        <w:t>一、招标项目名称及简要说明</w:t>
      </w:r>
    </w:p>
    <w:p>
      <w:pPr>
        <w:spacing w:line="360" w:lineRule="auto"/>
        <w:ind w:firstLine="570"/>
        <w:jc w:val="left"/>
        <w:rPr>
          <w:rFonts w:ascii="宋体" w:hAnsi="宋体"/>
          <w:sz w:val="28"/>
          <w:szCs w:val="28"/>
        </w:rPr>
      </w:pPr>
      <w:r>
        <w:rPr>
          <w:rFonts w:hint="eastAsia" w:ascii="宋体" w:hAnsi="宋体"/>
          <w:sz w:val="28"/>
          <w:szCs w:val="28"/>
        </w:rPr>
        <w:t>1.招标项目名称：南京信息工程大学滨江学院</w:t>
      </w:r>
      <w:r>
        <w:rPr>
          <w:rFonts w:hint="eastAsia" w:ascii="宋体" w:hAnsi="宋体"/>
          <w:sz w:val="28"/>
          <w:szCs w:val="28"/>
          <w:lang w:eastAsia="zh-CN"/>
        </w:rPr>
        <w:t>（</w:t>
      </w:r>
      <w:r>
        <w:rPr>
          <w:rFonts w:hint="eastAsia" w:ascii="宋体" w:hAnsi="宋体"/>
          <w:sz w:val="28"/>
          <w:szCs w:val="28"/>
          <w:lang w:val="en-US" w:eastAsia="zh-CN"/>
        </w:rPr>
        <w:t>无锡校区</w:t>
      </w:r>
      <w:r>
        <w:rPr>
          <w:rFonts w:hint="eastAsia" w:ascii="宋体" w:hAnsi="宋体"/>
          <w:sz w:val="28"/>
          <w:szCs w:val="28"/>
          <w:lang w:eastAsia="zh-CN"/>
        </w:rPr>
        <w:t>）</w:t>
      </w:r>
      <w:r>
        <w:rPr>
          <w:rFonts w:hint="eastAsia" w:ascii="宋体" w:hAnsi="宋体"/>
          <w:sz w:val="28"/>
          <w:szCs w:val="28"/>
        </w:rPr>
        <w:t>轨道交通牵引供电实训室采购项目。</w:t>
      </w:r>
    </w:p>
    <w:p>
      <w:pPr>
        <w:adjustRightInd w:val="0"/>
        <w:snapToGrid w:val="0"/>
        <w:spacing w:line="360" w:lineRule="auto"/>
        <w:ind w:firstLine="560" w:firstLineChars="200"/>
        <w:rPr>
          <w:rFonts w:ascii="宋体" w:cs="仿宋"/>
          <w:sz w:val="28"/>
          <w:szCs w:val="28"/>
        </w:rPr>
      </w:pPr>
      <w:r>
        <w:rPr>
          <w:rFonts w:hint="eastAsia" w:ascii="宋体" w:hAnsi="宋体"/>
          <w:sz w:val="28"/>
          <w:szCs w:val="28"/>
        </w:rPr>
        <w:t>2.项目说明：本次招标</w:t>
      </w:r>
      <w:r>
        <w:rPr>
          <w:rFonts w:hint="eastAsia" w:ascii="宋体" w:hAnsi="宋体" w:cs="仿宋"/>
          <w:sz w:val="28"/>
          <w:szCs w:val="28"/>
        </w:rPr>
        <w:t>项目必须由中标单位自行完成，严禁转包和擅自分包。否则我校有权单方面终止本合同的执行，并且中标人支付按合同价款</w:t>
      </w:r>
      <w:r>
        <w:rPr>
          <w:rFonts w:ascii="宋体" w:hAnsi="宋体" w:cs="仿宋"/>
          <w:sz w:val="28"/>
          <w:szCs w:val="28"/>
        </w:rPr>
        <w:t>20%</w:t>
      </w:r>
      <w:r>
        <w:rPr>
          <w:rFonts w:hint="eastAsia" w:ascii="宋体" w:hAnsi="宋体" w:cs="仿宋"/>
          <w:sz w:val="28"/>
          <w:szCs w:val="28"/>
        </w:rPr>
        <w:t>的违约金，由此所造成的一切后果和经济损失均由中标人自行负责和承担。</w:t>
      </w:r>
    </w:p>
    <w:p>
      <w:pPr>
        <w:spacing w:line="360" w:lineRule="auto"/>
        <w:ind w:firstLine="570"/>
        <w:jc w:val="left"/>
        <w:rPr>
          <w:rFonts w:ascii="宋体" w:hAnsi="宋体"/>
          <w:sz w:val="28"/>
          <w:szCs w:val="28"/>
        </w:rPr>
      </w:pPr>
      <w:r>
        <w:rPr>
          <w:rFonts w:hint="eastAsia" w:ascii="宋体" w:hAnsi="宋体"/>
          <w:sz w:val="28"/>
          <w:szCs w:val="28"/>
        </w:rPr>
        <w:t>项目地址：无锡市锡山区锡山大道333号滨江学院校内；</w:t>
      </w:r>
    </w:p>
    <w:p>
      <w:pPr>
        <w:spacing w:line="360" w:lineRule="auto"/>
        <w:ind w:firstLine="570"/>
        <w:jc w:val="left"/>
        <w:rPr>
          <w:rFonts w:ascii="宋体"/>
          <w:sz w:val="28"/>
          <w:szCs w:val="28"/>
        </w:rPr>
      </w:pPr>
      <w:r>
        <w:rPr>
          <w:rFonts w:ascii="宋体" w:hAnsi="宋体"/>
          <w:sz w:val="28"/>
          <w:szCs w:val="28"/>
        </w:rPr>
        <w:t>3.</w:t>
      </w:r>
      <w:bookmarkStart w:id="2" w:name="_Hlk9865971"/>
      <w:r>
        <w:rPr>
          <w:rFonts w:hint="eastAsia" w:ascii="宋体" w:hAnsi="宋体"/>
          <w:sz w:val="28"/>
          <w:szCs w:val="28"/>
        </w:rPr>
        <w:t>本次招标采取公开招标方式，不承诺最低价（最高价）中标。招标公告和中标公示信</w:t>
      </w:r>
      <w:r>
        <w:rPr>
          <w:rFonts w:hint="eastAsia" w:ascii="宋体" w:hAnsi="宋体"/>
          <w:sz w:val="28"/>
          <w:szCs w:val="28"/>
          <w:highlight w:val="none"/>
        </w:rPr>
        <w:t>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1"/>
          <w:b/>
          <w:color w:val="auto"/>
          <w:sz w:val="24"/>
          <w:highlight w:val="none"/>
        </w:rPr>
        <w:t>https://bulletin.nuist.edu.cn/779/lis</w:t>
      </w:r>
      <w:r>
        <w:rPr>
          <w:rStyle w:val="21"/>
          <w:color w:val="auto"/>
          <w:sz w:val="24"/>
          <w:highlight w:val="none"/>
        </w:rPr>
        <w:t>t.htm</w:t>
      </w:r>
      <w:r>
        <w:rPr>
          <w:rStyle w:val="21"/>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sz w:val="24"/>
          <w:szCs w:val="28"/>
          <w:highlight w:val="none"/>
        </w:rPr>
        <w:t>zbc.nuist.edu.cn</w:t>
      </w:r>
      <w:r>
        <w:rPr>
          <w:rFonts w:ascii="宋体" w:hAnsi="宋体"/>
          <w:sz w:val="24"/>
          <w:szCs w:val="28"/>
          <w:highlight w:val="none"/>
        </w:rPr>
        <w:fldChar w:fldCharType="end"/>
      </w:r>
      <w:r>
        <w:rPr>
          <w:rFonts w:hint="eastAsia" w:ascii="宋体" w:hAnsi="宋体"/>
          <w:sz w:val="28"/>
          <w:szCs w:val="28"/>
          <w:highlight w:val="none"/>
        </w:rPr>
        <w:t>网</w:t>
      </w:r>
      <w:r>
        <w:rPr>
          <w:rFonts w:hint="eastAsia" w:ascii="宋体" w:hAnsi="宋体"/>
          <w:sz w:val="28"/>
          <w:szCs w:val="28"/>
        </w:rPr>
        <w:t>页上公开发布</w:t>
      </w:r>
      <w:r>
        <w:rPr>
          <w:rFonts w:ascii="宋体"/>
          <w:sz w:val="28"/>
          <w:szCs w:val="28"/>
        </w:rPr>
        <w:t>,</w:t>
      </w:r>
      <w:r>
        <w:rPr>
          <w:rFonts w:hint="eastAsia" w:ascii="宋体" w:hAnsi="宋体"/>
          <w:sz w:val="28"/>
          <w:szCs w:val="28"/>
        </w:rPr>
        <w:t>接受监督。欢迎社会招标机构和网站转载，转载信息与我校网站信息不一致时，以我校网站为准。</w:t>
      </w:r>
    </w:p>
    <w:bookmarkEnd w:id="2"/>
    <w:p>
      <w:pPr>
        <w:spacing w:line="360" w:lineRule="auto"/>
        <w:ind w:firstLine="570"/>
        <w:jc w:val="left"/>
        <w:rPr>
          <w:rFonts w:ascii="宋体" w:cs="宋体"/>
          <w:sz w:val="28"/>
          <w:szCs w:val="28"/>
        </w:rPr>
      </w:pPr>
      <w:r>
        <w:rPr>
          <w:rFonts w:ascii="宋体" w:hAnsi="宋体"/>
          <w:sz w:val="28"/>
          <w:szCs w:val="28"/>
        </w:rPr>
        <w:t>4.</w:t>
      </w:r>
      <w:r>
        <w:rPr>
          <w:rFonts w:hint="eastAsia" w:ascii="宋体" w:hAnsi="宋体"/>
          <w:sz w:val="28"/>
          <w:szCs w:val="28"/>
        </w:rPr>
        <w:t>招标文件由我校采购人、项目归口管理部门和</w:t>
      </w:r>
      <w:r>
        <w:rPr>
          <w:rFonts w:hint="eastAsia" w:ascii="宋体" w:hAnsi="宋体"/>
          <w:sz w:val="28"/>
          <w:szCs w:val="28"/>
          <w:lang w:val="en-US" w:eastAsia="zh-CN"/>
        </w:rPr>
        <w:t>招标办</w:t>
      </w:r>
      <w:r>
        <w:rPr>
          <w:rFonts w:hint="eastAsia" w:ascii="宋体" w:hAnsi="宋体"/>
          <w:sz w:val="28"/>
          <w:szCs w:val="28"/>
        </w:rPr>
        <w:t>联合起草；经学校相关职能部门会审通过形成正式招标文件。同时</w:t>
      </w:r>
      <w:r>
        <w:rPr>
          <w:rFonts w:hint="eastAsia" w:ascii="宋体" w:hAnsi="宋体" w:cs="宋体"/>
          <w:sz w:val="28"/>
          <w:szCs w:val="28"/>
        </w:rPr>
        <w:t>打印</w:t>
      </w:r>
      <w:r>
        <w:rPr>
          <w:rFonts w:ascii="宋体" w:hAnsi="宋体" w:cs="宋体"/>
          <w:sz w:val="28"/>
          <w:szCs w:val="28"/>
        </w:rPr>
        <w:t>3</w:t>
      </w:r>
      <w:r>
        <w:rPr>
          <w:rFonts w:hint="eastAsia" w:ascii="宋体" w:hAnsi="宋体" w:cs="宋体"/>
          <w:sz w:val="28"/>
          <w:szCs w:val="28"/>
        </w:rPr>
        <w:t>份纸质的正式招标文件，由财务处负责人和招标办工作人员同时签字并加盖财务处骑缝章后，分别交招标办、项目归口管理部门（或采购人）、审计处各</w:t>
      </w:r>
      <w:r>
        <w:rPr>
          <w:rFonts w:ascii="宋体" w:hAnsi="宋体" w:cs="宋体"/>
          <w:sz w:val="28"/>
          <w:szCs w:val="28"/>
        </w:rPr>
        <w:t>1</w:t>
      </w:r>
      <w:r>
        <w:rPr>
          <w:rFonts w:hint="eastAsia" w:ascii="宋体" w:hAnsi="宋体" w:cs="宋体"/>
          <w:sz w:val="28"/>
          <w:szCs w:val="28"/>
        </w:rPr>
        <w:t>份，作为相关部门存档、合同签订、项目竣工验收和决（结）算审计，以及处理纠纷等的依据。</w:t>
      </w:r>
    </w:p>
    <w:p>
      <w:pPr>
        <w:spacing w:line="360" w:lineRule="auto"/>
        <w:ind w:firstLine="570"/>
        <w:jc w:val="left"/>
        <w:rPr>
          <w:rFonts w:ascii="宋体" w:hAnsi="宋体"/>
          <w:sz w:val="28"/>
          <w:szCs w:val="28"/>
        </w:rPr>
      </w:pPr>
      <w:r>
        <w:rPr>
          <w:rFonts w:ascii="宋体" w:hAnsi="宋体"/>
          <w:sz w:val="28"/>
          <w:szCs w:val="28"/>
        </w:rPr>
        <w:t>5.</w:t>
      </w:r>
      <w:r>
        <w:rPr>
          <w:rFonts w:hint="eastAsia" w:ascii="宋体" w:hAnsi="宋体"/>
          <w:sz w:val="28"/>
          <w:szCs w:val="28"/>
        </w:rPr>
        <w:t>正式的答疑回复文件也按上述方式处理留存。</w:t>
      </w:r>
    </w:p>
    <w:p>
      <w:pPr>
        <w:pStyle w:val="42"/>
        <w:adjustRightInd w:val="0"/>
        <w:snapToGrid w:val="0"/>
        <w:spacing w:before="0" w:beforeAutospacing="0" w:after="0" w:afterAutospacing="0" w:line="360" w:lineRule="auto"/>
        <w:ind w:firstLine="560" w:firstLineChars="200"/>
        <w:rPr>
          <w:rFonts w:cs="Times New Roman"/>
          <w:color w:val="auto"/>
          <w:kern w:val="2"/>
          <w:sz w:val="28"/>
          <w:szCs w:val="28"/>
        </w:rPr>
      </w:pPr>
      <w:r>
        <w:rPr>
          <w:rFonts w:cs="Times New Roman"/>
          <w:color w:val="auto"/>
          <w:kern w:val="2"/>
          <w:sz w:val="28"/>
          <w:szCs w:val="28"/>
        </w:rPr>
        <w:t>6.</w:t>
      </w:r>
      <w:r>
        <w:rPr>
          <w:rFonts w:hint="eastAsia" w:cs="Times New Roman"/>
          <w:color w:val="auto"/>
          <w:kern w:val="2"/>
          <w:sz w:val="28"/>
          <w:szCs w:val="28"/>
        </w:rPr>
        <w:t>投标有效期：自开标之日起90天内投标有效。</w:t>
      </w:r>
    </w:p>
    <w:p>
      <w:pPr>
        <w:pStyle w:val="42"/>
        <w:adjustRightInd w:val="0"/>
        <w:snapToGrid w:val="0"/>
        <w:spacing w:before="0" w:beforeAutospacing="0" w:after="0" w:afterAutospacing="0" w:line="360" w:lineRule="auto"/>
        <w:ind w:firstLine="560" w:firstLineChars="200"/>
        <w:rPr>
          <w:rFonts w:cs="Times New Roman"/>
          <w:color w:val="auto"/>
          <w:sz w:val="28"/>
          <w:szCs w:val="28"/>
        </w:rPr>
      </w:pPr>
      <w:r>
        <w:rPr>
          <w:rFonts w:hint="eastAsia" w:cs="Times New Roman"/>
          <w:color w:val="auto"/>
          <w:kern w:val="2"/>
          <w:sz w:val="28"/>
          <w:szCs w:val="28"/>
        </w:rPr>
        <w:t>7.</w:t>
      </w:r>
      <w:r>
        <w:rPr>
          <w:rFonts w:hint="eastAsia" w:cs="Times New Roman"/>
          <w:color w:val="auto"/>
          <w:sz w:val="28"/>
          <w:szCs w:val="28"/>
        </w:rPr>
        <w:t>招标过程接受学校纪检监察部门监督检查。</w:t>
      </w:r>
    </w:p>
    <w:p>
      <w:pPr>
        <w:adjustRightInd w:val="0"/>
        <w:snapToGrid w:val="0"/>
        <w:spacing w:before="312" w:beforeLines="100" w:after="312" w:afterLines="100" w:line="360" w:lineRule="auto"/>
        <w:jc w:val="center"/>
        <w:rPr>
          <w:rFonts w:ascii="宋体" w:cs="仿宋"/>
          <w:b/>
          <w:bCs/>
          <w:sz w:val="28"/>
          <w:szCs w:val="28"/>
        </w:rPr>
      </w:pPr>
      <w:r>
        <w:rPr>
          <w:rFonts w:hint="eastAsia" w:ascii="宋体" w:hAnsi="宋体" w:cs="仿宋"/>
          <w:b/>
          <w:bCs/>
          <w:sz w:val="28"/>
          <w:szCs w:val="28"/>
        </w:rPr>
        <w:t>二、</w:t>
      </w:r>
      <w:r>
        <w:rPr>
          <w:rFonts w:ascii="宋体" w:hAnsi="宋体" w:cs="仿宋"/>
          <w:b/>
          <w:bCs/>
          <w:sz w:val="28"/>
          <w:szCs w:val="28"/>
        </w:rPr>
        <w:t xml:space="preserve"> </w:t>
      </w:r>
      <w:r>
        <w:rPr>
          <w:rFonts w:hint="eastAsia" w:ascii="宋体" w:hAnsi="宋体" w:cs="仿宋"/>
          <w:b/>
          <w:bCs/>
          <w:sz w:val="28"/>
          <w:szCs w:val="28"/>
        </w:rPr>
        <w:t>对投标人及投标报价的要求</w:t>
      </w:r>
    </w:p>
    <w:p>
      <w:pPr>
        <w:snapToGrid w:val="0"/>
        <w:spacing w:line="360" w:lineRule="auto"/>
        <w:ind w:firstLine="540" w:firstLineChars="192"/>
        <w:rPr>
          <w:rFonts w:ascii="宋体" w:hAnsi="宋体"/>
          <w:b/>
          <w:kern w:val="0"/>
          <w:sz w:val="28"/>
          <w:szCs w:val="28"/>
        </w:rPr>
      </w:pPr>
      <w:r>
        <w:rPr>
          <w:rFonts w:hint="eastAsia" w:ascii="宋体" w:hAnsi="宋体"/>
          <w:b/>
          <w:kern w:val="0"/>
          <w:sz w:val="28"/>
          <w:szCs w:val="28"/>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u w:val="single"/>
        </w:rPr>
      </w:pPr>
      <w:r>
        <w:rPr>
          <w:rFonts w:hint="eastAsia" w:ascii="宋体" w:hAnsi="宋体" w:cs="Arial"/>
          <w:i/>
          <w:iCs/>
          <w:sz w:val="28"/>
          <w:szCs w:val="28"/>
          <w:u w:val="single"/>
        </w:rPr>
        <w:t>（一）参加政府采购的供应商应当具备政府采购法</w:t>
      </w:r>
      <w:r>
        <w:rPr>
          <w:rFonts w:ascii="宋体" w:hAnsi="宋体" w:cs="Arial"/>
          <w:i/>
          <w:iCs/>
          <w:sz w:val="28"/>
          <w:szCs w:val="28"/>
          <w:u w:val="single"/>
        </w:rPr>
        <w:t>第二十二条</w:t>
      </w:r>
      <w:r>
        <w:rPr>
          <w:rFonts w:hint="eastAsia" w:ascii="宋体" w:hAnsi="宋体" w:cs="Arial"/>
          <w:i/>
          <w:iCs/>
          <w:sz w:val="28"/>
          <w:szCs w:val="28"/>
          <w:u w:val="single"/>
        </w:rPr>
        <w:t>第一款</w:t>
      </w:r>
      <w:r>
        <w:rPr>
          <w:rFonts w:ascii="宋体" w:hAnsi="宋体" w:cs="Arial"/>
          <w:i/>
          <w:iCs/>
          <w:sz w:val="28"/>
          <w:szCs w:val="28"/>
          <w:u w:val="single"/>
        </w:rPr>
        <w:t>规定</w:t>
      </w:r>
      <w:r>
        <w:rPr>
          <w:rFonts w:hint="eastAsia" w:ascii="宋体" w:hAnsi="宋体" w:cs="Arial"/>
          <w:i/>
          <w:iCs/>
          <w:sz w:val="28"/>
          <w:szCs w:val="28"/>
          <w:u w:val="single"/>
        </w:rPr>
        <w:t>的条件，并依照政府采购法实施条例第十七条规定提供下列材料：</w:t>
      </w:r>
    </w:p>
    <w:p>
      <w:pPr>
        <w:adjustRightInd w:val="0"/>
        <w:snapToGrid w:val="0"/>
        <w:spacing w:line="360" w:lineRule="auto"/>
        <w:ind w:firstLine="560" w:firstLineChars="200"/>
        <w:rPr>
          <w:rFonts w:ascii="宋体" w:hAnsi="宋体"/>
          <w:i/>
          <w:iCs/>
          <w:sz w:val="28"/>
          <w:szCs w:val="28"/>
          <w:u w:val="single"/>
        </w:rPr>
      </w:pPr>
      <w:r>
        <w:rPr>
          <w:rFonts w:hint="eastAsia" w:ascii="宋体" w:hAnsi="宋体" w:cs="Arial"/>
          <w:i/>
          <w:iCs/>
          <w:sz w:val="28"/>
          <w:szCs w:val="28"/>
          <w:u w:val="single"/>
        </w:rPr>
        <w:t>1.具有独立承担民事责任的能力</w:t>
      </w:r>
      <w:r>
        <w:rPr>
          <w:rFonts w:hint="eastAsia" w:ascii="宋体" w:hAnsi="宋体"/>
          <w:i/>
          <w:iCs/>
          <w:sz w:val="28"/>
          <w:szCs w:val="28"/>
          <w:u w:val="single"/>
        </w:rPr>
        <w:t>：须为独立法人企业，需提供企业法人营业执照；</w:t>
      </w:r>
    </w:p>
    <w:p>
      <w:pPr>
        <w:adjustRightInd w:val="0"/>
        <w:snapToGrid w:val="0"/>
        <w:spacing w:line="360" w:lineRule="auto"/>
        <w:ind w:firstLine="560" w:firstLineChars="200"/>
        <w:rPr>
          <w:rFonts w:ascii="宋体" w:hAnsi="宋体"/>
          <w:i/>
          <w:iCs/>
          <w:sz w:val="28"/>
          <w:szCs w:val="28"/>
          <w:u w:val="single"/>
        </w:rPr>
      </w:pPr>
      <w:r>
        <w:rPr>
          <w:rFonts w:hint="eastAsia" w:ascii="宋体" w:hAnsi="宋体" w:cs="宋体"/>
          <w:i/>
          <w:iCs/>
          <w:kern w:val="0"/>
          <w:sz w:val="28"/>
          <w:szCs w:val="28"/>
          <w:u w:val="single"/>
        </w:rPr>
        <w:t>2.具有良好的商业信誉和健全的财务会计制度</w:t>
      </w:r>
      <w:r>
        <w:rPr>
          <w:rFonts w:hint="eastAsia" w:ascii="宋体" w:hAnsi="宋体"/>
          <w:i/>
          <w:iCs/>
          <w:sz w:val="28"/>
          <w:szCs w:val="28"/>
          <w:u w:val="single"/>
        </w:rPr>
        <w:t>：需提供参加本次投标活动前近六个月内（2020年01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i/>
          <w:iCs/>
          <w:sz w:val="28"/>
          <w:szCs w:val="28"/>
          <w:u w:val="single"/>
        </w:rPr>
      </w:pPr>
      <w:r>
        <w:rPr>
          <w:rFonts w:hint="eastAsia" w:ascii="宋体" w:hAnsi="宋体" w:cs="宋体"/>
          <w:i/>
          <w:iCs/>
          <w:kern w:val="0"/>
          <w:sz w:val="28"/>
          <w:szCs w:val="28"/>
          <w:u w:val="single"/>
        </w:rPr>
        <w:t>4.有依法缴纳税收和社会保障资金的良好记录</w:t>
      </w:r>
      <w:r>
        <w:rPr>
          <w:rFonts w:hint="eastAsia" w:ascii="宋体" w:hAnsi="宋体"/>
          <w:i/>
          <w:iCs/>
          <w:sz w:val="28"/>
          <w:szCs w:val="28"/>
          <w:u w:val="single"/>
        </w:rPr>
        <w:t>：提供参加本次投标活动前近六个月内（2020年01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i/>
          <w:iCs/>
          <w:sz w:val="28"/>
          <w:szCs w:val="28"/>
          <w:u w:val="single"/>
        </w:rPr>
      </w:pPr>
      <w:r>
        <w:rPr>
          <w:rFonts w:hint="eastAsia" w:ascii="宋体" w:hAnsi="宋体" w:cs="宋体"/>
          <w:i/>
          <w:iCs/>
          <w:kern w:val="0"/>
          <w:sz w:val="28"/>
          <w:szCs w:val="28"/>
          <w:u w:val="single"/>
        </w:rPr>
        <w:t>5.参加政府采购活动前三年内，在经营活动中没有违法记录</w:t>
      </w:r>
      <w:r>
        <w:rPr>
          <w:rFonts w:hint="eastAsia" w:ascii="宋体" w:hAnsi="宋体"/>
          <w:i/>
          <w:iCs/>
          <w:sz w:val="28"/>
          <w:szCs w:val="28"/>
          <w:u w:val="single"/>
        </w:rPr>
        <w:t>：需提供参加本次投标活动前3年内在经营活动中没有重大违法记录的书面声明；</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6.法律、行政法规规定的其他条件：无。</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（二）投标人不得存在下列情形之一</w:t>
      </w:r>
      <w:r>
        <w:rPr>
          <w:rFonts w:hint="eastAsia" w:ascii="宋体" w:hAnsi="宋体"/>
          <w:i/>
          <w:iCs/>
          <w:sz w:val="28"/>
          <w:szCs w:val="28"/>
          <w:u w:val="single"/>
        </w:rPr>
        <w:t>（</w:t>
      </w:r>
      <w:r>
        <w:rPr>
          <w:rFonts w:hint="eastAsia" w:ascii="宋体" w:hAnsi="宋体"/>
          <w:b/>
          <w:i/>
          <w:iCs/>
          <w:sz w:val="28"/>
          <w:szCs w:val="28"/>
          <w:u w:val="single"/>
        </w:rPr>
        <w:t>提供加盖投标人公章的承诺书）</w:t>
      </w:r>
      <w:r>
        <w:rPr>
          <w:rFonts w:hint="eastAsia" w:ascii="宋体" w:hAnsi="宋体" w:cs="宋体"/>
          <w:i/>
          <w:iCs/>
          <w:kern w:val="0"/>
          <w:sz w:val="28"/>
          <w:szCs w:val="28"/>
          <w:u w:val="single"/>
        </w:rPr>
        <w:t>：</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（1）为招标人不具有独立法人资格的附属机构（单位）；</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（2）与招标人存在利害关系可能影响招标公正性的；</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（3）单位负责人为同一人或者存在控股、管理关系的不同单位；</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（三）</w:t>
      </w:r>
      <w:r>
        <w:rPr>
          <w:rFonts w:hint="eastAsia" w:ascii="宋体" w:hAnsi="宋体" w:cs="宋体"/>
          <w:bCs/>
          <w:i/>
          <w:iCs/>
          <w:kern w:val="0"/>
          <w:sz w:val="28"/>
          <w:szCs w:val="28"/>
          <w:u w:val="singl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kern w:val="0"/>
          <w:sz w:val="28"/>
          <w:szCs w:val="28"/>
        </w:rPr>
      </w:pPr>
      <w:r>
        <w:rPr>
          <w:rFonts w:hint="eastAsia" w:ascii="宋体" w:hAnsi="宋体" w:cs="宋体"/>
          <w:i/>
          <w:iCs/>
          <w:sz w:val="28"/>
          <w:szCs w:val="28"/>
          <w:u w:val="single"/>
        </w:rPr>
        <w:t>供应商被“信用中国”网站（www.creditchina.gov.cn）、“中国政府采购网”(www.ccgp.gov.cn)列入失信被执行人、重大税收违法案件当事人名单、政府采购严重违法失信行为记录名单</w:t>
      </w:r>
      <w:r>
        <w:rPr>
          <w:rFonts w:hint="eastAsia" w:ascii="宋体" w:hAnsi="宋体" w:cs="宋体"/>
          <w:b/>
          <w:i/>
          <w:iCs/>
          <w:sz w:val="28"/>
          <w:szCs w:val="28"/>
          <w:u w:val="single"/>
        </w:rPr>
        <w:t>（提供本项目报名截止日后的以上两个网站截图并加盖单位公章）</w:t>
      </w:r>
      <w:r>
        <w:rPr>
          <w:rFonts w:hint="eastAsia" w:ascii="宋体" w:hAnsi="宋体" w:cs="宋体"/>
          <w:i/>
          <w:iCs/>
          <w:sz w:val="28"/>
          <w:szCs w:val="28"/>
          <w:u w:val="single"/>
        </w:rPr>
        <w:t>。</w:t>
      </w:r>
    </w:p>
    <w:p>
      <w:pPr>
        <w:spacing w:line="360" w:lineRule="auto"/>
        <w:ind w:firstLine="548" w:firstLineChars="196"/>
        <w:rPr>
          <w:rFonts w:ascii="宋体" w:cs="宋体"/>
          <w:sz w:val="28"/>
          <w:szCs w:val="28"/>
        </w:rPr>
      </w:pPr>
      <w:r>
        <w:rPr>
          <w:rFonts w:hint="eastAsia" w:ascii="宋体" w:hAnsi="宋体" w:cs="宋体"/>
          <w:sz w:val="28"/>
          <w:szCs w:val="28"/>
        </w:rPr>
        <w:t>二、本项目采用资格后审法，唱标后，进行资格审定。</w:t>
      </w:r>
    </w:p>
    <w:p>
      <w:pPr>
        <w:spacing w:line="360" w:lineRule="auto"/>
        <w:ind w:firstLine="548" w:firstLineChars="196"/>
        <w:rPr>
          <w:rFonts w:ascii="宋体" w:cs="宋体"/>
          <w:sz w:val="28"/>
          <w:szCs w:val="28"/>
        </w:rPr>
      </w:pPr>
      <w:r>
        <w:rPr>
          <w:rFonts w:hint="eastAsia" w:ascii="宋体" w:hAnsi="宋体" w:cs="宋体"/>
          <w:sz w:val="28"/>
          <w:szCs w:val="28"/>
        </w:rPr>
        <w:t>三、投标人应按附件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rPr>
      </w:pPr>
      <w:r>
        <w:rPr>
          <w:rFonts w:hint="eastAsia" w:ascii="宋体" w:hAnsi="宋体" w:cs="宋体"/>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cs="宋体"/>
          <w:sz w:val="28"/>
          <w:szCs w:val="28"/>
          <w:highlight w:val="none"/>
        </w:rPr>
      </w:pPr>
      <w:r>
        <w:rPr>
          <w:rFonts w:hint="eastAsia" w:ascii="宋体" w:hAnsi="宋体" w:cs="宋体"/>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r>
        <w:rPr>
          <w:rFonts w:hint="eastAsia" w:ascii="宋体" w:hAnsi="宋体" w:cs="宋体"/>
          <w:sz w:val="28"/>
          <w:szCs w:val="28"/>
          <w:highlight w:val="none"/>
        </w:rPr>
        <w:t>供方于合同生效之日起40天内完成设备运输（含上、下力）、安装调试等，所有费用由供方承担，安装调试完毕后需方用户负责试用并签收。</w:t>
      </w:r>
    </w:p>
    <w:p>
      <w:pPr>
        <w:pStyle w:val="42"/>
        <w:adjustRightInd w:val="0"/>
        <w:snapToGrid w:val="0"/>
        <w:spacing w:before="0" w:beforeAutospacing="0" w:after="0" w:afterAutospacing="0" w:line="360" w:lineRule="auto"/>
        <w:ind w:firstLine="560" w:firstLineChars="200"/>
        <w:rPr>
          <w:color w:val="auto"/>
          <w:sz w:val="28"/>
          <w:szCs w:val="28"/>
          <w:highlight w:val="none"/>
        </w:rPr>
      </w:pPr>
      <w:r>
        <w:rPr>
          <w:rFonts w:hint="eastAsia"/>
          <w:color w:val="auto"/>
          <w:sz w:val="28"/>
          <w:szCs w:val="28"/>
          <w:highlight w:val="none"/>
        </w:rPr>
        <w:t>六、</w:t>
      </w:r>
      <w:r>
        <w:rPr>
          <w:rFonts w:hint="eastAsia" w:cs="Times New Roman"/>
          <w:color w:val="auto"/>
          <w:kern w:val="2"/>
          <w:sz w:val="28"/>
          <w:szCs w:val="28"/>
          <w:highlight w:val="none"/>
        </w:rPr>
        <w:t>本项目预算价为8</w:t>
      </w:r>
      <w:r>
        <w:rPr>
          <w:rFonts w:cs="Times New Roman"/>
          <w:color w:val="auto"/>
          <w:kern w:val="2"/>
          <w:sz w:val="28"/>
          <w:szCs w:val="28"/>
          <w:highlight w:val="none"/>
        </w:rPr>
        <w:t>5</w:t>
      </w:r>
      <w:r>
        <w:rPr>
          <w:rFonts w:hint="eastAsia" w:cs="Times New Roman"/>
          <w:color w:val="auto"/>
          <w:kern w:val="2"/>
          <w:sz w:val="28"/>
          <w:szCs w:val="28"/>
          <w:highlight w:val="none"/>
          <w:lang w:val="en-US" w:eastAsia="zh-CN"/>
        </w:rPr>
        <w:t>.00</w:t>
      </w:r>
      <w:r>
        <w:rPr>
          <w:rFonts w:hint="eastAsia" w:cs="Times New Roman"/>
          <w:color w:val="auto"/>
          <w:kern w:val="2"/>
          <w:sz w:val="28"/>
          <w:szCs w:val="28"/>
          <w:highlight w:val="none"/>
        </w:rPr>
        <w:t>万元，</w:t>
      </w:r>
      <w:r>
        <w:rPr>
          <w:rFonts w:hint="eastAsia"/>
          <w:color w:val="auto"/>
          <w:sz w:val="28"/>
          <w:szCs w:val="28"/>
          <w:highlight w:val="none"/>
        </w:rPr>
        <w:t>本项目只接受人民币报价。</w:t>
      </w:r>
    </w:p>
    <w:p>
      <w:pPr>
        <w:spacing w:line="360" w:lineRule="auto"/>
        <w:ind w:firstLine="548" w:firstLineChars="196"/>
        <w:rPr>
          <w:rFonts w:hint="eastAsia" w:ascii="宋体" w:hAnsi="宋体" w:cs="宋体"/>
          <w:sz w:val="28"/>
          <w:szCs w:val="28"/>
        </w:rPr>
      </w:pPr>
      <w:r>
        <w:rPr>
          <w:rFonts w:hint="eastAsia" w:ascii="宋体" w:hAnsi="宋体" w:cs="宋体"/>
          <w:sz w:val="28"/>
          <w:szCs w:val="28"/>
        </w:rPr>
        <w:t>七、进口货物的外贸代理公司由投标人（中标人）在我校确定的两家外贸代理公司中自行选择（江苏苏美达仪器设备有限公司，练经理：025-84531280，15205153042；江苏海外集团国际技术工程有限公司，方经理：025-84795955，15996350251），代理费由投标人与所选外贸公司协商确定并含在报价中。我校协助办理入关、免税等相关证明材料手续。</w:t>
      </w:r>
    </w:p>
    <w:p>
      <w:pPr>
        <w:spacing w:beforeLines="100" w:afterLines="100" w:line="360" w:lineRule="auto"/>
        <w:ind w:firstLine="548" w:firstLineChars="196"/>
        <w:jc w:val="center"/>
      </w:pPr>
      <w:r>
        <w:rPr>
          <w:rFonts w:hint="eastAsia" w:ascii="黑体" w:hAnsi="黑体" w:eastAsia="黑体" w:cs="宋体"/>
          <w:sz w:val="28"/>
          <w:szCs w:val="28"/>
        </w:rPr>
        <w:t>三、对投标文件的要求</w:t>
      </w:r>
    </w:p>
    <w:p>
      <w:pPr>
        <w:spacing w:line="360" w:lineRule="auto"/>
        <w:ind w:firstLine="548" w:firstLineChars="196"/>
        <w:rPr>
          <w:rFonts w:ascii="宋体" w:hAnsi="宋体" w:cs="宋体"/>
          <w:sz w:val="28"/>
          <w:szCs w:val="28"/>
        </w:rPr>
      </w:pPr>
      <w:r>
        <w:rPr>
          <w:rFonts w:ascii="宋体" w:hAnsi="宋体" w:cs="宋体"/>
          <w:sz w:val="28"/>
          <w:szCs w:val="28"/>
        </w:rPr>
        <w:t>1.</w:t>
      </w:r>
      <w:r>
        <w:rPr>
          <w:rFonts w:hint="eastAsia" w:ascii="宋体" w:hAnsi="宋体" w:cs="宋体"/>
          <w:sz w:val="28"/>
          <w:szCs w:val="28"/>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投标文件一正四副，正、副本均须列出目录，内容不得有插行、涂抹、粘贴等，并打印装订成册。</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为便于唱标和减少浪费，请将</w:t>
      </w:r>
      <w:r>
        <w:rPr>
          <w:rFonts w:ascii="宋体" w:hAnsi="宋体" w:cs="宋体"/>
          <w:sz w:val="28"/>
          <w:szCs w:val="28"/>
        </w:rPr>
        <w:t>1</w:t>
      </w:r>
      <w:r>
        <w:rPr>
          <w:rFonts w:hint="eastAsia" w:ascii="宋体" w:hAnsi="宋体" w:cs="宋体"/>
          <w:sz w:val="28"/>
          <w:szCs w:val="28"/>
        </w:rPr>
        <w:t>份正本单独封装，另外</w:t>
      </w:r>
      <w:r>
        <w:rPr>
          <w:rFonts w:ascii="宋体" w:hAnsi="宋体" w:cs="宋体"/>
          <w:sz w:val="28"/>
          <w:szCs w:val="28"/>
        </w:rPr>
        <w:t>4</w:t>
      </w:r>
      <w:r>
        <w:rPr>
          <w:rFonts w:hint="eastAsia" w:ascii="宋体" w:hAnsi="宋体" w:cs="宋体"/>
          <w:sz w:val="28"/>
          <w:szCs w:val="28"/>
        </w:rPr>
        <w:t>份副本可叠加封装在一个大的档案袋中（</w:t>
      </w:r>
      <w:r>
        <w:rPr>
          <w:rFonts w:ascii="宋体" w:hAnsi="宋体" w:cs="宋体"/>
          <w:sz w:val="28"/>
          <w:szCs w:val="28"/>
        </w:rPr>
        <w:t>4</w:t>
      </w:r>
      <w:r>
        <w:rPr>
          <w:rFonts w:hint="eastAsia" w:ascii="宋体" w:hAnsi="宋体" w:cs="宋体"/>
          <w:sz w:val="28"/>
          <w:szCs w:val="28"/>
        </w:rPr>
        <w:t>份副本无需分别封装在</w:t>
      </w:r>
      <w:r>
        <w:rPr>
          <w:rFonts w:ascii="宋体" w:hAnsi="宋体" w:cs="宋体"/>
          <w:sz w:val="28"/>
          <w:szCs w:val="28"/>
        </w:rPr>
        <w:t>4</w:t>
      </w:r>
      <w:r>
        <w:rPr>
          <w:rFonts w:hint="eastAsia" w:ascii="宋体" w:hAnsi="宋体" w:cs="宋体"/>
          <w:sz w:val="28"/>
          <w:szCs w:val="28"/>
        </w:rPr>
        <w:t>个档案袋中，一个大档案袋封装不下的除外）。每家投标人在送交投标文件时，只需交</w:t>
      </w:r>
      <w:r>
        <w:rPr>
          <w:rFonts w:ascii="宋体" w:hAnsi="宋体" w:cs="宋体"/>
          <w:sz w:val="28"/>
          <w:szCs w:val="28"/>
        </w:rPr>
        <w:t>2</w:t>
      </w:r>
      <w:r>
        <w:rPr>
          <w:rFonts w:hint="eastAsia" w:ascii="宋体" w:hAnsi="宋体" w:cs="宋体"/>
          <w:sz w:val="28"/>
          <w:szCs w:val="28"/>
        </w:rPr>
        <w:t>个档案袋即可，即</w:t>
      </w:r>
      <w:r>
        <w:rPr>
          <w:rFonts w:ascii="宋体" w:hAnsi="宋体" w:cs="宋体"/>
          <w:sz w:val="28"/>
          <w:szCs w:val="28"/>
        </w:rPr>
        <w:t>1</w:t>
      </w:r>
      <w:r>
        <w:rPr>
          <w:rFonts w:hint="eastAsia" w:ascii="宋体" w:hAnsi="宋体" w:cs="宋体"/>
          <w:sz w:val="28"/>
          <w:szCs w:val="28"/>
        </w:rPr>
        <w:t>个正本档案袋，</w:t>
      </w:r>
      <w:r>
        <w:rPr>
          <w:rFonts w:ascii="宋体" w:hAnsi="宋体" w:cs="宋体"/>
          <w:sz w:val="28"/>
          <w:szCs w:val="28"/>
        </w:rPr>
        <w:t>1</w:t>
      </w:r>
      <w:r>
        <w:rPr>
          <w:rFonts w:hint="eastAsia" w:ascii="宋体" w:hAnsi="宋体" w:cs="宋体"/>
          <w:sz w:val="28"/>
          <w:szCs w:val="28"/>
        </w:rPr>
        <w:t>个大的副本档案袋。</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投标文件应包含以下内容（所有材料必须加盖投标单位公章）：</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）经投标单位法人或委托代理人代表签字并加盖单位公章的投标函（附件</w:t>
      </w:r>
      <w:r>
        <w:rPr>
          <w:rFonts w:ascii="宋体" w:hAnsi="宋体" w:cs="宋体"/>
          <w:sz w:val="28"/>
          <w:szCs w:val="28"/>
        </w:rPr>
        <w:t>2</w:t>
      </w:r>
      <w:r>
        <w:rPr>
          <w:rFonts w:hint="eastAsia" w:ascii="宋体" w:hAnsi="宋体" w:cs="宋体"/>
          <w:sz w:val="28"/>
          <w:szCs w:val="28"/>
        </w:rPr>
        <w:t>格式，为便于唱标，此函件请务必放置在投标文件内页的第一页）；</w:t>
      </w:r>
    </w:p>
    <w:p>
      <w:pPr>
        <w:spacing w:line="360" w:lineRule="auto"/>
        <w:ind w:firstLine="548" w:firstLineChars="196"/>
        <w:rPr>
          <w:rFonts w:asci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2</w:t>
      </w:r>
      <w:r>
        <w:rPr>
          <w:rFonts w:hint="eastAsia" w:ascii="宋体" w:hAnsi="宋体" w:cs="宋体"/>
          <w:sz w:val="28"/>
          <w:szCs w:val="28"/>
        </w:rPr>
        <w:t>）</w:t>
      </w:r>
      <w:r>
        <w:rPr>
          <w:rFonts w:ascii="宋体" w:hAnsi="宋体" w:cs="宋体"/>
          <w:sz w:val="28"/>
          <w:szCs w:val="28"/>
        </w:rPr>
        <w:t>300</w:t>
      </w:r>
      <w:r>
        <w:rPr>
          <w:rFonts w:hint="eastAsia" w:ascii="宋体" w:hAnsi="宋体" w:cs="宋体"/>
          <w:sz w:val="28"/>
          <w:szCs w:val="28"/>
        </w:rPr>
        <w:t>元报名资料费银行转账回单（复印件）；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3</w:t>
      </w:r>
      <w:r>
        <w:rPr>
          <w:rFonts w:hint="eastAsia" w:ascii="宋体" w:hAnsi="宋体" w:cs="宋体"/>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4</w:t>
      </w:r>
      <w:r>
        <w:rPr>
          <w:rFonts w:hint="eastAsia" w:ascii="宋体" w:hAnsi="宋体" w:cs="宋体"/>
          <w:sz w:val="28"/>
          <w:szCs w:val="28"/>
        </w:rPr>
        <w:t>）授权委托书、被委托人身份证复印件；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5</w:t>
      </w:r>
      <w:r>
        <w:rPr>
          <w:rFonts w:hint="eastAsia" w:ascii="宋体" w:hAnsi="宋体" w:cs="宋体"/>
          <w:sz w:val="28"/>
          <w:szCs w:val="28"/>
        </w:rPr>
        <w:t>）产品（或服务，下同）技术性能参数的详细描述一览表（投标文件在对投标标的物进行技术和商务描述时，必须完全按照招标文件附件</w:t>
      </w:r>
      <w:r>
        <w:rPr>
          <w:rFonts w:ascii="宋体" w:hAnsi="宋体" w:cs="宋体"/>
          <w:sz w:val="28"/>
          <w:szCs w:val="28"/>
        </w:rPr>
        <w:t>1</w:t>
      </w:r>
      <w:r>
        <w:rPr>
          <w:rFonts w:hint="eastAsia" w:ascii="宋体" w:hAnsi="宋体" w:cs="宋体"/>
          <w:sz w:val="28"/>
          <w:szCs w:val="28"/>
        </w:rPr>
        <w:t>中的章节顺序依次逐条响应，不得颠倒顺序，不得有漏项，不得原封不动地引用招标文件附件</w:t>
      </w:r>
      <w:r>
        <w:rPr>
          <w:rFonts w:ascii="宋体" w:hAnsi="宋体" w:cs="宋体"/>
          <w:sz w:val="28"/>
          <w:szCs w:val="28"/>
        </w:rPr>
        <w:t>1</w:t>
      </w:r>
      <w:r>
        <w:rPr>
          <w:rFonts w:hint="eastAsia" w:ascii="宋体" w:hAnsi="宋体" w:cs="宋体"/>
          <w:sz w:val="28"/>
          <w:szCs w:val="28"/>
        </w:rPr>
        <w:t>中的章节、句段；投标文件应采用文字加图片或图形描述的方式对标的物进行必要的、详尽的说明；</w:t>
      </w:r>
    </w:p>
    <w:p>
      <w:pPr>
        <w:spacing w:line="360" w:lineRule="auto"/>
        <w:ind w:firstLine="548" w:firstLineChars="196"/>
        <w:rPr>
          <w:rFonts w:asci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6</w:t>
      </w:r>
      <w:r>
        <w:rPr>
          <w:rFonts w:hint="eastAsia" w:ascii="宋体" w:hAnsi="宋体" w:cs="宋体"/>
          <w:sz w:val="28"/>
          <w:szCs w:val="28"/>
        </w:rPr>
        <w:t>）产品技术和商务指标偏差表；</w:t>
      </w:r>
    </w:p>
    <w:p>
      <w:pPr>
        <w:spacing w:line="360" w:lineRule="auto"/>
        <w:ind w:firstLine="548" w:firstLineChars="196"/>
        <w:rPr>
          <w:rFonts w:asci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7</w:t>
      </w:r>
      <w:r>
        <w:rPr>
          <w:rFonts w:hint="eastAsia" w:ascii="宋体" w:hAnsi="宋体" w:cs="宋体"/>
          <w:sz w:val="28"/>
          <w:szCs w:val="28"/>
        </w:rPr>
        <w:t>）产品服务方案；</w:t>
      </w:r>
    </w:p>
    <w:p>
      <w:pPr>
        <w:spacing w:line="360" w:lineRule="auto"/>
        <w:ind w:firstLine="548" w:firstLineChars="196"/>
        <w:rPr>
          <w:rFonts w:asci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8</w:t>
      </w:r>
      <w:r>
        <w:rPr>
          <w:rFonts w:hint="eastAsia" w:ascii="宋体" w:hAnsi="宋体" w:cs="宋体"/>
          <w:sz w:val="28"/>
          <w:szCs w:val="28"/>
        </w:rPr>
        <w:t>）产品销售授权书或代理证书（如系代理公司的）；</w:t>
      </w:r>
    </w:p>
    <w:p>
      <w:pPr>
        <w:spacing w:line="360" w:lineRule="auto"/>
        <w:ind w:firstLine="548" w:firstLineChars="196"/>
        <w:rPr>
          <w:rFonts w:ascii="宋体" w:cs="宋体"/>
          <w:sz w:val="28"/>
          <w:szCs w:val="28"/>
        </w:rPr>
      </w:pPr>
      <w:r>
        <w:rPr>
          <w:rFonts w:hint="eastAsia" w:ascii="宋体" w:hAnsi="宋体" w:cs="宋体"/>
          <w:sz w:val="28"/>
          <w:szCs w:val="28"/>
        </w:rPr>
        <w:t>（</w:t>
      </w:r>
      <w:r>
        <w:rPr>
          <w:rFonts w:hint="eastAsia" w:ascii="宋体" w:hAnsi="宋体" w:cs="宋体"/>
          <w:sz w:val="28"/>
          <w:szCs w:val="28"/>
          <w:lang w:val="en-US" w:eastAsia="zh-CN"/>
        </w:rPr>
        <w:t>9</w:t>
      </w:r>
      <w:r>
        <w:rPr>
          <w:rFonts w:ascii="宋体" w:hAnsi="宋体" w:cs="宋体"/>
          <w:sz w:val="28"/>
          <w:szCs w:val="28"/>
        </w:rPr>
        <w:t>)</w:t>
      </w:r>
      <w:r>
        <w:rPr>
          <w:rFonts w:hint="eastAsia" w:ascii="宋体" w:hAnsi="宋体" w:cs="宋体"/>
          <w:sz w:val="28"/>
          <w:szCs w:val="28"/>
        </w:rPr>
        <w:t xml:space="preserve"> 产品质量、工期、安全、管理及售后服务承诺书；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lang w:val="en-US" w:eastAsia="zh-CN"/>
        </w:rPr>
        <w:t>0</w:t>
      </w:r>
      <w:r>
        <w:rPr>
          <w:rFonts w:hint="eastAsia" w:ascii="宋体" w:hAnsi="宋体" w:cs="宋体"/>
          <w:sz w:val="28"/>
          <w:szCs w:val="28"/>
        </w:rPr>
        <w:t>）产品质量检测报告、质保、认证等证书；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lang w:val="en-US" w:eastAsia="zh-CN"/>
        </w:rPr>
        <w:t>1</w:t>
      </w:r>
      <w:r>
        <w:rPr>
          <w:rFonts w:hint="eastAsia" w:ascii="宋体" w:hAnsi="宋体" w:cs="宋体"/>
          <w:sz w:val="28"/>
          <w:szCs w:val="28"/>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lang w:val="en-US" w:eastAsia="zh-CN"/>
        </w:rPr>
        <w:t>2</w:t>
      </w:r>
      <w:r>
        <w:rPr>
          <w:rFonts w:hint="eastAsia" w:ascii="宋体" w:hAnsi="宋体" w:cs="宋体"/>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lang w:val="en-US" w:eastAsia="zh-CN"/>
        </w:rPr>
        <w:t>3</w:t>
      </w:r>
      <w:r>
        <w:rPr>
          <w:rFonts w:hint="eastAsia" w:ascii="宋体" w:hAnsi="宋体" w:cs="宋体"/>
          <w:sz w:val="28"/>
          <w:szCs w:val="28"/>
        </w:rPr>
        <w:t>）招标文件规定或投标人对照评标办法的得分因素以及附件</w:t>
      </w:r>
      <w:r>
        <w:rPr>
          <w:rFonts w:ascii="宋体" w:hAnsi="宋体" w:cs="宋体"/>
          <w:sz w:val="28"/>
          <w:szCs w:val="28"/>
        </w:rPr>
        <w:t>1</w:t>
      </w:r>
      <w:r>
        <w:rPr>
          <w:rFonts w:hint="eastAsia" w:ascii="宋体" w:hAnsi="宋体" w:cs="宋体"/>
          <w:sz w:val="28"/>
          <w:szCs w:val="28"/>
        </w:rPr>
        <w:t>相关要求认为应提交的其他资料和文件。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lang w:val="en-US" w:eastAsia="zh-CN"/>
        </w:rPr>
        <w:t>4</w:t>
      </w:r>
      <w:r>
        <w:rPr>
          <w:rFonts w:hint="eastAsia" w:ascii="宋体" w:hAnsi="宋体" w:cs="宋体"/>
          <w:sz w:val="28"/>
          <w:szCs w:val="28"/>
        </w:rPr>
        <w:t>）</w:t>
      </w:r>
      <w:r>
        <w:rPr>
          <w:rFonts w:hint="eastAsia"/>
          <w:sz w:val="28"/>
          <w:szCs w:val="28"/>
        </w:rPr>
        <w:t>投标人必须投本标书所有标段的设备，不允许分标段投标；标书中服务器标段必须满足所有参数要求，其余标段标</w:t>
      </w:r>
      <w:r>
        <w:rPr>
          <w:rFonts w:hint="eastAsia" w:ascii="宋体" w:hAnsi="宋体" w:cs="Arial"/>
          <w:kern w:val="0"/>
          <w:sz w:val="18"/>
          <w:szCs w:val="18"/>
        </w:rPr>
        <w:t>★</w:t>
      </w:r>
      <w:r>
        <w:rPr>
          <w:rFonts w:hint="eastAsia"/>
          <w:sz w:val="28"/>
          <w:szCs w:val="28"/>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投标人在投标文件中应承诺对如下内容已完全理解，如不承诺，视为认可：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）在参与我校相关项目的招投标活动中，遵纪守法，诚信经营，公平竞争；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）不采取不正当手段诋毁、排挤其他投标人；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）本项目的中标单位由本校评标专家组按规定程序确定（采用“评定分离”制的项目除外）；</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）未能中标单位，本校对其原因不作解释；</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）投标单位对本文件其他内容已充分理解，并承诺一经中标即严格按合同执行，合同附件与合同有同等法律效力。</w:t>
      </w:r>
    </w:p>
    <w:p>
      <w:pPr>
        <w:spacing w:beforeLines="100" w:afterLines="100" w:line="360" w:lineRule="auto"/>
        <w:ind w:firstLine="548" w:firstLineChars="196"/>
        <w:jc w:val="center"/>
        <w:rPr>
          <w:rFonts w:ascii="黑体" w:hAnsi="黑体" w:eastAsia="黑体" w:cs="宋体"/>
          <w:sz w:val="28"/>
          <w:szCs w:val="28"/>
        </w:rPr>
      </w:pPr>
      <w:bookmarkStart w:id="3" w:name="_Hlk9866206"/>
      <w:r>
        <w:rPr>
          <w:rFonts w:hint="eastAsia" w:ascii="黑体" w:hAnsi="黑体" w:eastAsia="黑体" w:cs="宋体"/>
          <w:sz w:val="28"/>
          <w:szCs w:val="28"/>
        </w:rPr>
        <w:t>四、开标程序</w:t>
      </w:r>
    </w:p>
    <w:bookmarkEnd w:id="3"/>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招标文件给出评标办法（见附件</w:t>
      </w:r>
      <w:r>
        <w:rPr>
          <w:rFonts w:hint="eastAsia" w:ascii="宋体" w:hAnsi="宋体" w:cs="宋体"/>
          <w:sz w:val="28"/>
          <w:szCs w:val="28"/>
          <w:lang w:val="en-US" w:eastAsia="zh-CN"/>
        </w:rPr>
        <w:t>4</w:t>
      </w:r>
      <w:r>
        <w:rPr>
          <w:rFonts w:hint="eastAsia" w:ascii="宋体" w:hAnsi="宋体" w:cs="宋体"/>
          <w:sz w:val="28"/>
          <w:szCs w:val="28"/>
        </w:rPr>
        <w:t>）</w:t>
      </w:r>
      <w:r>
        <w:rPr>
          <w:rFonts w:ascii="宋体" w:cs="宋体"/>
          <w:sz w:val="28"/>
          <w:szCs w:val="28"/>
        </w:rPr>
        <w:t>,</w:t>
      </w:r>
      <w:r>
        <w:rPr>
          <w:rFonts w:hint="eastAsia" w:ascii="宋体" w:hAnsi="宋体" w:cs="宋体"/>
          <w:sz w:val="28"/>
          <w:szCs w:val="28"/>
        </w:rPr>
        <w:t>供投标人和评标专家组参考。</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rPr>
      </w:pPr>
      <w:r>
        <w:rPr>
          <w:rFonts w:hint="eastAsia" w:ascii="宋体" w:hAnsi="宋体" w:cs="宋体"/>
          <w:sz w:val="28"/>
          <w:szCs w:val="28"/>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）投标文件中的大写金额与小写金额不一致的，以大写金额为准；正本和副本不一致的，以正本为准。</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招标办根据评标专家组综合排序，在学校网站和招标办网站对拟中标单位进行公示。公示结束，无异议，确定中标单位。</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五、无效投标</w:t>
      </w:r>
    </w:p>
    <w:p>
      <w:pPr>
        <w:spacing w:line="360" w:lineRule="auto"/>
        <w:ind w:firstLine="548" w:firstLineChars="196"/>
        <w:rPr>
          <w:rFonts w:ascii="宋体" w:cs="宋体"/>
          <w:sz w:val="28"/>
          <w:szCs w:val="28"/>
        </w:rPr>
      </w:pPr>
      <w:r>
        <w:rPr>
          <w:rFonts w:hint="eastAsia" w:ascii="宋体" w:hAnsi="宋体" w:cs="宋体"/>
          <w:sz w:val="28"/>
          <w:szCs w:val="28"/>
        </w:rPr>
        <w:t>投标文件出现下列情形的，将作为无效投标文件，不得进入评标：</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投标文件未按照招标文件的要求予以密封的；</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投标文件少项漏项，或关键内容字迹模糊、无法辨认的；</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有</w:t>
      </w:r>
      <w:r>
        <w:rPr>
          <w:rFonts w:ascii="宋体" w:hAnsi="宋体" w:cs="宋体"/>
          <w:sz w:val="28"/>
          <w:szCs w:val="28"/>
        </w:rPr>
        <w:t>1</w:t>
      </w:r>
      <w:r>
        <w:rPr>
          <w:rFonts w:hint="eastAsia" w:ascii="宋体" w:hAnsi="宋体" w:cs="宋体"/>
          <w:sz w:val="28"/>
          <w:szCs w:val="28"/>
        </w:rPr>
        <w:t>个核心指标或有</w:t>
      </w:r>
      <w:r>
        <w:rPr>
          <w:rFonts w:ascii="宋体" w:hAnsi="宋体" w:cs="宋体"/>
          <w:sz w:val="28"/>
          <w:szCs w:val="28"/>
        </w:rPr>
        <w:t>5</w:t>
      </w:r>
      <w:r>
        <w:rPr>
          <w:rFonts w:hint="eastAsia" w:ascii="宋体" w:hAnsi="宋体" w:cs="宋体"/>
          <w:sz w:val="28"/>
          <w:szCs w:val="28"/>
        </w:rPr>
        <w:t>个及以上非核心指标未能满足的；</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技术指标响应内容未按照招标文件附件</w:t>
      </w:r>
      <w:r>
        <w:rPr>
          <w:rFonts w:ascii="宋体" w:hAnsi="宋体" w:cs="宋体"/>
          <w:sz w:val="28"/>
          <w:szCs w:val="28"/>
        </w:rPr>
        <w:t>1</w:t>
      </w:r>
      <w:r>
        <w:rPr>
          <w:rFonts w:hint="eastAsia" w:ascii="宋体" w:hAnsi="宋体" w:cs="宋体"/>
          <w:sz w:val="28"/>
          <w:szCs w:val="28"/>
        </w:rPr>
        <w:t>中的章节顺序依次逐条响应；投标文件未采用文字加图片或图形描述的方式对货物进行必要的、详尽的说明，原封不动地引用招标文件附件</w:t>
      </w:r>
      <w:r>
        <w:rPr>
          <w:rFonts w:ascii="宋体" w:hAnsi="宋体" w:cs="宋体"/>
          <w:sz w:val="28"/>
          <w:szCs w:val="28"/>
        </w:rPr>
        <w:t>1</w:t>
      </w:r>
      <w:r>
        <w:rPr>
          <w:rFonts w:hint="eastAsia" w:ascii="宋体" w:hAnsi="宋体" w:cs="宋体"/>
          <w:sz w:val="28"/>
          <w:szCs w:val="28"/>
        </w:rPr>
        <w:t>中的章节、句段的；</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rPr>
      </w:pPr>
      <w:r>
        <w:rPr>
          <w:rFonts w:ascii="宋体" w:hAnsi="宋体" w:cs="宋体"/>
          <w:sz w:val="28"/>
          <w:szCs w:val="28"/>
        </w:rPr>
        <w:t>8.</w:t>
      </w:r>
      <w:r>
        <w:rPr>
          <w:rFonts w:hint="eastAsia" w:ascii="宋体" w:hAnsi="宋体" w:cs="宋体"/>
          <w:sz w:val="28"/>
          <w:szCs w:val="28"/>
        </w:rPr>
        <w:t>报价超过预算金额，或以人民币之外的币种报价的；</w:t>
      </w:r>
    </w:p>
    <w:p>
      <w:pPr>
        <w:spacing w:line="360" w:lineRule="auto"/>
        <w:ind w:firstLine="548" w:firstLineChars="196"/>
        <w:rPr>
          <w:rFonts w:ascii="宋体" w:hAnsi="宋体" w:cs="宋体"/>
          <w:b/>
          <w:sz w:val="28"/>
          <w:szCs w:val="28"/>
        </w:rPr>
      </w:pPr>
      <w:r>
        <w:rPr>
          <w:rFonts w:ascii="宋体" w:hAnsi="宋体" w:cs="宋体"/>
          <w:sz w:val="28"/>
          <w:szCs w:val="28"/>
        </w:rPr>
        <w:t>9.</w:t>
      </w:r>
      <w:r>
        <w:rPr>
          <w:rFonts w:hint="eastAsia" w:ascii="宋体" w:hAnsi="宋体" w:cs="宋体"/>
          <w:sz w:val="28"/>
          <w:szCs w:val="28"/>
        </w:rPr>
        <w:t>无</w:t>
      </w:r>
      <w:r>
        <w:rPr>
          <w:rFonts w:ascii="宋体" w:hAnsi="宋体" w:cs="宋体"/>
          <w:sz w:val="28"/>
          <w:szCs w:val="28"/>
        </w:rPr>
        <w:t>300</w:t>
      </w:r>
      <w:r>
        <w:rPr>
          <w:rFonts w:hint="eastAsia" w:ascii="宋体" w:hAnsi="宋体" w:cs="宋体"/>
          <w:sz w:val="28"/>
          <w:szCs w:val="28"/>
        </w:rPr>
        <w:t>元报名资料费银行转账回单复印件的，或报名资料费银行转账回单中无</w:t>
      </w:r>
      <w:r>
        <w:rPr>
          <w:rFonts w:hint="eastAsia" w:ascii="宋体" w:hAnsi="宋体" w:cs="宋体"/>
          <w:b/>
          <w:sz w:val="28"/>
          <w:szCs w:val="28"/>
        </w:rPr>
        <w:t>“</w:t>
      </w:r>
      <w:r>
        <w:rPr>
          <w:rFonts w:hint="eastAsia" w:ascii="宋体" w:hAnsi="宋体" w:cs="宋体"/>
          <w:b/>
          <w:sz w:val="28"/>
          <w:szCs w:val="28"/>
          <w:lang w:val="en-US" w:eastAsia="zh-CN"/>
        </w:rPr>
        <w:t>BJ</w:t>
      </w:r>
      <w:r>
        <w:rPr>
          <w:rFonts w:hint="eastAsia" w:ascii="宋体" w:hAnsi="宋体" w:cs="宋体"/>
          <w:b/>
          <w:sz w:val="28"/>
          <w:szCs w:val="28"/>
        </w:rPr>
        <w:t>20200</w:t>
      </w:r>
      <w:r>
        <w:rPr>
          <w:rFonts w:hint="eastAsia" w:ascii="宋体" w:hAnsi="宋体" w:cs="宋体"/>
          <w:b/>
          <w:sz w:val="28"/>
          <w:szCs w:val="28"/>
          <w:lang w:val="en-US" w:eastAsia="zh-CN"/>
        </w:rPr>
        <w:t>04</w:t>
      </w:r>
      <w:r>
        <w:rPr>
          <w:rFonts w:hint="eastAsia" w:ascii="宋体" w:hAnsi="宋体" w:cs="宋体"/>
          <w:b/>
          <w:sz w:val="28"/>
          <w:szCs w:val="28"/>
        </w:rPr>
        <w:t>资料费”</w:t>
      </w:r>
      <w:r>
        <w:rPr>
          <w:rFonts w:hint="eastAsia" w:ascii="宋体" w:hAnsi="宋体" w:cs="宋体"/>
          <w:sz w:val="28"/>
          <w:szCs w:val="28"/>
        </w:rPr>
        <w:t>字样的；</w:t>
      </w:r>
    </w:p>
    <w:p>
      <w:pPr>
        <w:spacing w:line="360" w:lineRule="auto"/>
        <w:ind w:firstLine="548" w:firstLineChars="196"/>
        <w:rPr>
          <w:rFonts w:ascii="宋体" w:cs="宋体"/>
          <w:sz w:val="28"/>
          <w:szCs w:val="28"/>
        </w:rPr>
      </w:pPr>
      <w:r>
        <w:rPr>
          <w:rFonts w:ascii="宋体" w:hAnsi="宋体" w:cs="宋体"/>
          <w:sz w:val="28"/>
          <w:szCs w:val="28"/>
        </w:rPr>
        <w:t>10.</w:t>
      </w:r>
      <w:r>
        <w:rPr>
          <w:rFonts w:hint="eastAsia" w:ascii="宋体" w:hAnsi="宋体" w:cs="宋体"/>
          <w:sz w:val="28"/>
          <w:szCs w:val="28"/>
        </w:rPr>
        <w:t>招标文件中虽没明确，但经评标专家组讨论通过的符合无效投标情形的其他条件。</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六、评标办法</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本着“质量第一、价格合理、服务优异、保障有力”的原则，由采购人、项目归口管理部门和财务处从报价得分、技术得分、服务、业绩、信誉得分五个方面提出评标办法（见附件</w:t>
      </w:r>
      <w:r>
        <w:rPr>
          <w:rFonts w:hint="eastAsia" w:ascii="宋体" w:hAnsi="宋体" w:cs="宋体"/>
          <w:sz w:val="28"/>
          <w:szCs w:val="28"/>
          <w:lang w:val="en-US" w:eastAsia="zh-CN"/>
        </w:rPr>
        <w:t>4</w:t>
      </w:r>
      <w:r>
        <w:rPr>
          <w:rFonts w:hint="eastAsia" w:ascii="宋体" w:hAnsi="宋体" w:cs="宋体"/>
          <w:sz w:val="28"/>
          <w:szCs w:val="28"/>
        </w:rPr>
        <w:t>）。</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为保证招标质量，在评标办法中设核心指标。每个分包的核心指标不超过</w:t>
      </w:r>
      <w:r>
        <w:rPr>
          <w:rFonts w:ascii="宋体" w:hAnsi="宋体" w:cs="宋体"/>
          <w:sz w:val="28"/>
          <w:szCs w:val="28"/>
        </w:rPr>
        <w:t>5</w:t>
      </w:r>
      <w:r>
        <w:rPr>
          <w:rFonts w:hint="eastAsia" w:ascii="宋体" w:hAnsi="宋体" w:cs="宋体"/>
          <w:sz w:val="28"/>
          <w:szCs w:val="28"/>
        </w:rPr>
        <w:t>个。</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七、合同、履约、验收及结算等事项</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合同：</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）中标公示结束无异议后5个工作日内，中标单位须及时缴纳</w:t>
      </w:r>
      <w:r>
        <w:rPr>
          <w:rFonts w:hint="eastAsia" w:ascii="宋体" w:hAnsi="宋体" w:cs="宋体"/>
          <w:sz w:val="28"/>
          <w:szCs w:val="28"/>
          <w:lang w:val="en-US" w:eastAsia="zh-CN"/>
        </w:rPr>
        <w:t>5000元</w:t>
      </w:r>
      <w:r>
        <w:rPr>
          <w:rFonts w:hint="eastAsia" w:ascii="宋体" w:hAnsi="宋体" w:cs="宋体"/>
          <w:sz w:val="28"/>
          <w:szCs w:val="28"/>
        </w:rPr>
        <w:t>履约保证金，并前来我校领取《中标通知书》（一式二份）。</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）中标单位须在接《中标通知书》起</w:t>
      </w:r>
      <w:r>
        <w:rPr>
          <w:rFonts w:ascii="宋体" w:hAnsi="宋体" w:cs="宋体"/>
          <w:sz w:val="28"/>
          <w:szCs w:val="28"/>
        </w:rPr>
        <w:t>7</w:t>
      </w:r>
      <w:r>
        <w:rPr>
          <w:rFonts w:hint="eastAsia" w:ascii="宋体" w:hAnsi="宋体" w:cs="宋体"/>
          <w:sz w:val="28"/>
          <w:szCs w:val="28"/>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spacing w:line="360" w:lineRule="auto"/>
        <w:ind w:firstLine="548" w:firstLineChars="196"/>
        <w:rPr>
          <w:rFonts w:ascii="宋体" w:hAnsi="宋体" w:cs="宋体"/>
          <w:sz w:val="28"/>
          <w:szCs w:val="28"/>
        </w:rPr>
      </w:pPr>
      <w:r>
        <w:rPr>
          <w:rFonts w:ascii="宋体" w:hAnsi="宋体" w:cs="宋体"/>
          <w:sz w:val="28"/>
          <w:szCs w:val="28"/>
        </w:rPr>
        <w:t>2.</w:t>
      </w:r>
      <w:r>
        <w:rPr>
          <w:rFonts w:hint="eastAsia" w:ascii="宋体" w:hAnsi="宋体" w:cs="宋体"/>
          <w:sz w:val="28"/>
          <w:szCs w:val="28"/>
        </w:rPr>
        <w:t>服务地点：南京信息工程大学</w:t>
      </w:r>
      <w:r>
        <w:rPr>
          <w:rFonts w:hint="eastAsia" w:ascii="宋体" w:hAnsi="宋体" w:cs="宋体"/>
          <w:sz w:val="28"/>
          <w:szCs w:val="28"/>
          <w:lang w:val="en-US" w:eastAsia="zh-CN"/>
        </w:rPr>
        <w:t>滨江学院（无锡校区）院</w:t>
      </w:r>
      <w:r>
        <w:rPr>
          <w:rFonts w:hint="eastAsia" w:ascii="宋体" w:hAnsi="宋体" w:cs="宋体"/>
          <w:sz w:val="28"/>
          <w:szCs w:val="28"/>
        </w:rPr>
        <w:t>内。</w:t>
      </w:r>
    </w:p>
    <w:p>
      <w:pPr>
        <w:spacing w:line="360" w:lineRule="auto"/>
        <w:ind w:firstLine="548" w:firstLineChars="196"/>
        <w:rPr>
          <w:rFonts w:ascii="宋体" w:hAnsi="宋体" w:cs="宋体"/>
          <w:sz w:val="28"/>
          <w:szCs w:val="28"/>
        </w:rPr>
      </w:pPr>
      <w:r>
        <w:rPr>
          <w:rFonts w:ascii="宋体" w:hAnsi="宋体" w:cs="宋体"/>
          <w:sz w:val="28"/>
          <w:szCs w:val="28"/>
        </w:rPr>
        <w:t>3.</w:t>
      </w:r>
      <w:r>
        <w:rPr>
          <w:rFonts w:hint="eastAsia" w:ascii="宋体" w:hAnsi="宋体" w:cs="宋体"/>
          <w:sz w:val="28"/>
          <w:szCs w:val="28"/>
        </w:rPr>
        <w:t>付款方式：</w:t>
      </w:r>
    </w:p>
    <w:p>
      <w:pPr>
        <w:spacing w:line="360" w:lineRule="auto"/>
        <w:ind w:firstLine="548" w:firstLineChars="196"/>
        <w:rPr>
          <w:rFonts w:ascii="宋体" w:hAnsi="宋体" w:cs="宋体"/>
          <w:color w:val="auto"/>
          <w:sz w:val="28"/>
          <w:szCs w:val="28"/>
        </w:rPr>
      </w:pPr>
      <w:r>
        <w:rPr>
          <w:rFonts w:hint="eastAsia" w:ascii="宋体" w:hAnsi="宋体" w:cs="宋体"/>
          <w:color w:val="auto"/>
          <w:sz w:val="28"/>
          <w:szCs w:val="28"/>
        </w:rPr>
        <w:t>针对国内供应货物，中标单位所供设备（或软件、服务）进场安装调试或服务工作完毕，经验收、检测合格后，提供全额税务发票，凭最终签字和盖章的验收合格报告</w:t>
      </w:r>
      <w:r>
        <w:rPr>
          <w:rFonts w:hint="eastAsia" w:ascii="宋体" w:hAnsi="宋体" w:cs="宋体"/>
          <w:sz w:val="28"/>
          <w:szCs w:val="28"/>
        </w:rPr>
        <w:t>（工作机位用材需由独立第三方提供的检测报告）后</w:t>
      </w:r>
      <w:r>
        <w:rPr>
          <w:rFonts w:hint="eastAsia" w:ascii="宋体" w:hAnsi="宋体" w:cs="宋体"/>
          <w:color w:val="auto"/>
          <w:sz w:val="28"/>
          <w:szCs w:val="28"/>
        </w:rPr>
        <w:t>，支付至合同价的95%，余5%作质保金，质保期满后并经有关单位确认无质量问题后，一次性</w:t>
      </w:r>
      <w:r>
        <w:rPr>
          <w:rFonts w:hint="eastAsia" w:ascii="宋体" w:hAnsi="宋体" w:cs="宋体"/>
          <w:color w:val="auto"/>
          <w:sz w:val="28"/>
          <w:szCs w:val="28"/>
          <w:lang w:val="en-US" w:eastAsia="zh-CN"/>
        </w:rPr>
        <w:t>无息</w:t>
      </w:r>
      <w:r>
        <w:rPr>
          <w:rFonts w:hint="eastAsia" w:ascii="宋体" w:hAnsi="宋体" w:cs="宋体"/>
          <w:color w:val="auto"/>
          <w:sz w:val="28"/>
          <w:szCs w:val="28"/>
        </w:rPr>
        <w:t>支付完毕。具体内容以最终签署的合同约定为准。</w:t>
      </w:r>
    </w:p>
    <w:p>
      <w:pPr>
        <w:spacing w:line="360" w:lineRule="auto"/>
        <w:ind w:firstLine="548" w:firstLineChars="196"/>
        <w:rPr>
          <w:rFonts w:ascii="宋体" w:hAnsi="宋体" w:cs="宋体"/>
          <w:sz w:val="28"/>
          <w:szCs w:val="28"/>
        </w:rPr>
      </w:pPr>
      <w:r>
        <w:rPr>
          <w:rFonts w:hint="eastAsia" w:ascii="宋体" w:hAnsi="宋体" w:cs="宋体"/>
          <w:sz w:val="28"/>
          <w:szCs w:val="28"/>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资料费：</w:t>
      </w:r>
      <w:r>
        <w:rPr>
          <w:rFonts w:ascii="宋体" w:hAnsi="宋体" w:cs="宋体"/>
          <w:sz w:val="28"/>
          <w:szCs w:val="28"/>
        </w:rPr>
        <w:t>300</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）我校不接收现金或支付宝等方式交费。各投标人务必通过单位银行基本账户提前将资料费汇至我校以下账号：户名：南京信息工程大学；账号：</w:t>
      </w:r>
      <w:r>
        <w:rPr>
          <w:rFonts w:ascii="宋体" w:hAnsi="宋体" w:cs="宋体"/>
          <w:sz w:val="28"/>
          <w:szCs w:val="28"/>
        </w:rPr>
        <w:t>10115401040000228</w:t>
      </w:r>
      <w:r>
        <w:rPr>
          <w:rFonts w:hint="eastAsia" w:ascii="宋体" w:hAnsi="宋体" w:cs="宋体"/>
          <w:sz w:val="28"/>
          <w:szCs w:val="28"/>
        </w:rPr>
        <w:t>；开户银行：中国农业银行南京盘城支行。请各投标人务必在转账留言栏备注填写</w:t>
      </w:r>
      <w:r>
        <w:rPr>
          <w:rFonts w:hint="eastAsia" w:ascii="宋体" w:hAnsi="宋体" w:cs="宋体"/>
          <w:b/>
          <w:sz w:val="28"/>
          <w:szCs w:val="28"/>
        </w:rPr>
        <w:t>“</w:t>
      </w:r>
      <w:r>
        <w:rPr>
          <w:rFonts w:hint="eastAsia" w:ascii="宋体" w:hAnsi="宋体" w:cs="宋体"/>
          <w:b/>
          <w:sz w:val="28"/>
          <w:szCs w:val="28"/>
          <w:lang w:val="en-US" w:eastAsia="zh-CN"/>
        </w:rPr>
        <w:t>BJ</w:t>
      </w:r>
      <w:r>
        <w:rPr>
          <w:rFonts w:hint="eastAsia" w:ascii="宋体" w:hAnsi="宋体" w:cs="宋体"/>
          <w:b/>
          <w:sz w:val="28"/>
          <w:szCs w:val="28"/>
        </w:rPr>
        <w:t>20200</w:t>
      </w:r>
      <w:r>
        <w:rPr>
          <w:rFonts w:hint="eastAsia" w:ascii="宋体" w:hAnsi="宋体" w:cs="宋体"/>
          <w:b/>
          <w:sz w:val="28"/>
          <w:szCs w:val="28"/>
          <w:lang w:val="en-US" w:eastAsia="zh-CN"/>
        </w:rPr>
        <w:t>04</w:t>
      </w:r>
      <w:r>
        <w:rPr>
          <w:rFonts w:hint="eastAsia" w:ascii="宋体" w:hAnsi="宋体" w:cs="宋体"/>
          <w:b/>
          <w:sz w:val="28"/>
          <w:szCs w:val="28"/>
        </w:rPr>
        <w:t>资料费”</w:t>
      </w:r>
      <w:r>
        <w:rPr>
          <w:rFonts w:hint="eastAsia" w:ascii="宋体" w:hAnsi="宋体" w:cs="宋体"/>
          <w:sz w:val="28"/>
          <w:szCs w:val="28"/>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w:t>
      </w:r>
      <w:r>
        <w:rPr>
          <w:rFonts w:hint="eastAsia" w:ascii="宋体" w:hAnsi="宋体" w:cs="宋体"/>
          <w:b/>
          <w:bCs/>
          <w:sz w:val="28"/>
          <w:szCs w:val="28"/>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履约保证金（或投标保证金）：</w:t>
      </w:r>
      <w:r>
        <w:rPr>
          <w:rFonts w:hint="eastAsia" w:ascii="宋体" w:hAnsi="宋体" w:cs="宋体"/>
          <w:sz w:val="28"/>
          <w:szCs w:val="28"/>
          <w:lang w:val="en-US" w:eastAsia="zh-CN"/>
        </w:rPr>
        <w:t>5000元</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w:t>
      </w:r>
      <w:r>
        <w:rPr>
          <w:rFonts w:hint="eastAsia" w:ascii="宋体" w:hAnsi="宋体" w:cs="宋体"/>
          <w:sz w:val="28"/>
          <w:szCs w:val="28"/>
          <w:lang w:val="en-US" w:eastAsia="zh-CN"/>
        </w:rPr>
        <w:t>5000元</w:t>
      </w:r>
      <w:r>
        <w:rPr>
          <w:rFonts w:hint="eastAsia" w:ascii="宋体" w:hAnsi="宋体" w:cs="宋体"/>
          <w:sz w:val="28"/>
          <w:szCs w:val="28"/>
        </w:rPr>
        <w:t>履约保证金交款账号同</w:t>
      </w:r>
      <w:r>
        <w:rPr>
          <w:rFonts w:ascii="宋体" w:hAnsi="宋体" w:cs="宋体"/>
          <w:sz w:val="28"/>
          <w:szCs w:val="28"/>
        </w:rPr>
        <w:t>300</w:t>
      </w:r>
      <w:r>
        <w:rPr>
          <w:rFonts w:hint="eastAsia" w:ascii="宋体" w:hAnsi="宋体" w:cs="宋体"/>
          <w:sz w:val="28"/>
          <w:szCs w:val="28"/>
        </w:rPr>
        <w:t>元资料费。</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）履约保证金交退咨询：财务处结算中心（体育馆北面，南气宾馆东侧的大学生创业中心</w:t>
      </w:r>
      <w:r>
        <w:rPr>
          <w:rFonts w:ascii="宋体" w:hAnsi="宋体" w:cs="宋体"/>
          <w:sz w:val="28"/>
          <w:szCs w:val="28"/>
        </w:rPr>
        <w:t>3</w:t>
      </w:r>
      <w:r>
        <w:rPr>
          <w:rFonts w:hint="eastAsia" w:ascii="宋体" w:hAnsi="宋体" w:cs="宋体"/>
          <w:sz w:val="28"/>
          <w:szCs w:val="28"/>
        </w:rPr>
        <w:t>号楼二楼201）。</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）如中标单位有下列情况之一，不予退还履约保证金，我校将其列入招投标诚信“黑名单”，</w:t>
      </w:r>
      <w:r>
        <w:rPr>
          <w:rFonts w:ascii="宋体" w:hAnsi="宋体" w:cs="宋体"/>
          <w:sz w:val="28"/>
          <w:szCs w:val="28"/>
        </w:rPr>
        <w:t>3</w:t>
      </w:r>
      <w:r>
        <w:rPr>
          <w:rFonts w:hint="eastAsia" w:ascii="宋体" w:hAnsi="宋体" w:cs="宋体"/>
          <w:sz w:val="28"/>
          <w:szCs w:val="28"/>
        </w:rPr>
        <w:t>年内不得到我校从事任何投标活动。</w:t>
      </w:r>
    </w:p>
    <w:p>
      <w:pPr>
        <w:spacing w:line="360" w:lineRule="auto"/>
        <w:ind w:firstLine="548" w:firstLineChars="196"/>
        <w:rPr>
          <w:rFonts w:ascii="宋体" w:cs="宋体"/>
          <w:sz w:val="28"/>
          <w:szCs w:val="28"/>
        </w:rPr>
      </w:pPr>
      <w:r>
        <w:rPr>
          <w:rFonts w:ascii="宋体" w:hAnsi="宋体" w:cs="宋体"/>
          <w:sz w:val="28"/>
          <w:szCs w:val="28"/>
        </w:rPr>
        <w:t>a.</w:t>
      </w:r>
      <w:r>
        <w:rPr>
          <w:rFonts w:hint="eastAsia" w:ascii="宋体" w:hAnsi="宋体" w:cs="宋体"/>
          <w:sz w:val="28"/>
          <w:szCs w:val="28"/>
        </w:rPr>
        <w:t>中标单位未能按学校通知，在规定时间内签署合同；或签署合同后未能履约、单方撕毁合同等；</w:t>
      </w:r>
    </w:p>
    <w:p>
      <w:pPr>
        <w:spacing w:line="360" w:lineRule="auto"/>
        <w:ind w:firstLine="548" w:firstLineChars="196"/>
        <w:rPr>
          <w:rFonts w:ascii="宋体" w:cs="宋体"/>
          <w:sz w:val="28"/>
          <w:szCs w:val="28"/>
        </w:rPr>
      </w:pPr>
      <w:r>
        <w:rPr>
          <w:rFonts w:ascii="宋体" w:hAnsi="宋体" w:cs="宋体"/>
          <w:sz w:val="28"/>
          <w:szCs w:val="28"/>
        </w:rPr>
        <w:t>b.</w:t>
      </w:r>
      <w:r>
        <w:rPr>
          <w:rFonts w:hint="eastAsia" w:ascii="宋体" w:hAnsi="宋体" w:cs="宋体"/>
          <w:sz w:val="28"/>
          <w:szCs w:val="28"/>
        </w:rPr>
        <w:t>中标单位在投标过程中存在串通投标等违规或舞弊行为；或中标单位借用其他公司相关资质的；</w:t>
      </w:r>
    </w:p>
    <w:p>
      <w:pPr>
        <w:spacing w:line="360" w:lineRule="auto"/>
        <w:ind w:firstLine="548" w:firstLineChars="196"/>
        <w:rPr>
          <w:rFonts w:ascii="宋体" w:cs="宋体"/>
          <w:sz w:val="28"/>
          <w:szCs w:val="28"/>
        </w:rPr>
      </w:pPr>
      <w:r>
        <w:rPr>
          <w:rFonts w:ascii="宋体" w:hAnsi="宋体" w:cs="宋体"/>
          <w:sz w:val="28"/>
          <w:szCs w:val="28"/>
        </w:rPr>
        <w:t>c.</w:t>
      </w:r>
      <w:r>
        <w:rPr>
          <w:rFonts w:hint="eastAsia" w:ascii="宋体" w:hAnsi="宋体" w:cs="宋体"/>
          <w:sz w:val="28"/>
          <w:szCs w:val="28"/>
        </w:rPr>
        <w:t>出现其他不予退还履约保证金情形的。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验收：按学校验收规定执行，项目合同是验收的主要依据。</w:t>
      </w:r>
    </w:p>
    <w:p>
      <w:pPr>
        <w:widowControl/>
        <w:spacing w:line="360" w:lineRule="auto"/>
        <w:ind w:firstLine="560" w:firstLineChars="200"/>
        <w:textAlignment w:val="center"/>
        <w:rPr>
          <w:rFonts w:hint="eastAsia" w:ascii="宋体" w:hAnsi="宋体" w:eastAsia="宋体" w:cs="宋体"/>
          <w:sz w:val="28"/>
          <w:szCs w:val="28"/>
          <w:lang w:val="en-US" w:eastAsia="zh-CN"/>
        </w:rPr>
      </w:pPr>
      <w:r>
        <w:rPr>
          <w:rFonts w:ascii="宋体" w:hAnsi="宋体" w:cs="宋体"/>
          <w:sz w:val="28"/>
          <w:szCs w:val="28"/>
        </w:rPr>
        <w:t>7.</w:t>
      </w:r>
      <w:r>
        <w:rPr>
          <w:rFonts w:hint="eastAsia" w:ascii="宋体" w:hAnsi="宋体" w:cs="宋体"/>
          <w:sz w:val="28"/>
          <w:szCs w:val="28"/>
        </w:rPr>
        <w:t>质保：参照附件</w:t>
      </w:r>
      <w:r>
        <w:rPr>
          <w:rFonts w:hint="eastAsia" w:ascii="宋体" w:hAnsi="宋体" w:cs="宋体"/>
          <w:sz w:val="28"/>
          <w:szCs w:val="28"/>
          <w:lang w:val="en-US" w:eastAsia="zh-CN"/>
        </w:rPr>
        <w:t>3</w:t>
      </w:r>
      <w:r>
        <w:rPr>
          <w:rFonts w:hint="eastAsia" w:ascii="宋体" w:hAnsi="宋体" w:cs="宋体"/>
          <w:sz w:val="28"/>
          <w:szCs w:val="28"/>
        </w:rPr>
        <w:t>服务要求</w:t>
      </w:r>
      <w:r>
        <w:rPr>
          <w:rFonts w:hint="eastAsia" w:ascii="宋体" w:hAnsi="宋体" w:cs="宋体"/>
          <w:sz w:val="28"/>
          <w:szCs w:val="28"/>
          <w:lang w:eastAsia="zh-CN"/>
        </w:rPr>
        <w:t>。</w:t>
      </w:r>
    </w:p>
    <w:p>
      <w:pPr>
        <w:spacing w:beforeLines="100" w:afterLines="100" w:line="360" w:lineRule="auto"/>
        <w:jc w:val="center"/>
        <w:rPr>
          <w:rFonts w:ascii="黑体" w:hAnsi="黑体" w:eastAsia="黑体"/>
          <w:sz w:val="28"/>
          <w:szCs w:val="28"/>
        </w:rPr>
      </w:pPr>
      <w:bookmarkStart w:id="4" w:name="_Hlk9866833"/>
      <w:r>
        <w:rPr>
          <w:rFonts w:hint="eastAsia" w:ascii="黑体" w:hAnsi="黑体" w:eastAsia="黑体"/>
          <w:sz w:val="28"/>
          <w:szCs w:val="28"/>
        </w:rPr>
        <w:t>八、日程安排和联系方式</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报名时间：招标信息发布后。</w:t>
      </w:r>
    </w:p>
    <w:p>
      <w:pPr>
        <w:spacing w:line="360" w:lineRule="auto"/>
        <w:ind w:firstLine="560" w:firstLineChars="200"/>
        <w:rPr>
          <w:rFonts w:ascii="宋体" w:cs="宋体"/>
          <w:sz w:val="28"/>
          <w:szCs w:val="28"/>
        </w:rPr>
      </w:pPr>
      <w:r>
        <w:rPr>
          <w:rFonts w:ascii="宋体" w:hAnsi="宋体"/>
          <w:sz w:val="28"/>
          <w:szCs w:val="28"/>
        </w:rPr>
        <w:t>2.</w:t>
      </w:r>
      <w:r>
        <w:rPr>
          <w:rFonts w:hint="eastAsia" w:ascii="宋体" w:hAnsi="宋体"/>
          <w:sz w:val="28"/>
          <w:szCs w:val="28"/>
        </w:rPr>
        <w:t>领取招标文件：</w:t>
      </w:r>
      <w:r>
        <w:rPr>
          <w:rFonts w:hint="eastAsia" w:ascii="宋体" w:hAnsi="宋体"/>
          <w:sz w:val="28"/>
          <w:szCs w:val="28"/>
          <w:u w:val="single"/>
        </w:rPr>
        <w:t>自行下载</w:t>
      </w:r>
      <w:r>
        <w:rPr>
          <w:rFonts w:hint="eastAsia" w:ascii="宋体" w:hAnsi="宋体" w:cs="宋体"/>
          <w:kern w:val="0"/>
          <w:sz w:val="28"/>
          <w:szCs w:val="28"/>
        </w:rPr>
        <w:t>。</w:t>
      </w:r>
    </w:p>
    <w:p>
      <w:pPr>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 xml:space="preserve">答疑时间：          </w:t>
      </w:r>
    </w:p>
    <w:p>
      <w:pPr>
        <w:spacing w:line="360" w:lineRule="auto"/>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）投标人如有疑问，请在</w:t>
      </w:r>
      <w:r>
        <w:rPr>
          <w:rFonts w:ascii="宋体" w:hAnsi="宋体"/>
          <w:b/>
          <w:sz w:val="28"/>
          <w:szCs w:val="28"/>
          <w:u w:val="single"/>
        </w:rPr>
        <w:t>2020</w:t>
      </w:r>
      <w:r>
        <w:rPr>
          <w:rFonts w:hint="eastAsia" w:ascii="宋体" w:hAnsi="宋体"/>
          <w:b/>
          <w:sz w:val="28"/>
          <w:szCs w:val="28"/>
          <w:u w:val="single"/>
        </w:rPr>
        <w:t>年07月21日</w:t>
      </w:r>
      <w:r>
        <w:rPr>
          <w:rFonts w:ascii="宋体" w:hAnsi="宋体"/>
          <w:b/>
          <w:sz w:val="28"/>
          <w:szCs w:val="28"/>
          <w:u w:val="single"/>
        </w:rPr>
        <w:t>11</w:t>
      </w:r>
      <w:r>
        <w:rPr>
          <w:rFonts w:hint="eastAsia" w:ascii="宋体" w:hAnsi="宋体"/>
          <w:b/>
          <w:sz w:val="28"/>
          <w:szCs w:val="28"/>
          <w:u w:val="single"/>
        </w:rPr>
        <w:t>：</w:t>
      </w:r>
      <w:r>
        <w:rPr>
          <w:rFonts w:ascii="宋体" w:hAnsi="宋体"/>
          <w:b/>
          <w:sz w:val="28"/>
          <w:szCs w:val="28"/>
          <w:u w:val="single"/>
        </w:rPr>
        <w:t>3</w:t>
      </w:r>
      <w:r>
        <w:fldChar w:fldCharType="begin"/>
      </w:r>
      <w:r>
        <w:instrText xml:space="preserve"> HYPERLINK "mailto:30前将问题一律以word格式或txt格式发至89523765@qq.com" </w:instrText>
      </w:r>
      <w:r>
        <w:fldChar w:fldCharType="separate"/>
      </w:r>
      <w:r>
        <w:rPr>
          <w:rFonts w:ascii="宋体"/>
          <w:b/>
          <w:sz w:val="28"/>
          <w:szCs w:val="28"/>
          <w:u w:val="single"/>
        </w:rPr>
        <w:t>0</w:t>
      </w:r>
      <w:r>
        <w:rPr>
          <w:rFonts w:hint="eastAsia" w:ascii="宋体" w:hAnsi="宋体"/>
          <w:sz w:val="28"/>
          <w:szCs w:val="28"/>
        </w:rPr>
        <w:t>前将问题以</w:t>
      </w:r>
      <w:r>
        <w:rPr>
          <w:rFonts w:ascii="宋体" w:hAnsi="宋体"/>
          <w:sz w:val="28"/>
          <w:szCs w:val="28"/>
        </w:rPr>
        <w:t>word</w:t>
      </w:r>
      <w:r>
        <w:rPr>
          <w:rFonts w:hint="eastAsia" w:ascii="宋体" w:hAnsi="宋体"/>
          <w:sz w:val="28"/>
          <w:szCs w:val="28"/>
        </w:rPr>
        <w:t>格式或</w:t>
      </w:r>
      <w:r>
        <w:rPr>
          <w:rFonts w:ascii="宋体" w:hAnsi="宋体"/>
          <w:sz w:val="28"/>
          <w:szCs w:val="28"/>
        </w:rPr>
        <w:t>txt</w:t>
      </w:r>
      <w:r>
        <w:rPr>
          <w:rFonts w:hint="eastAsia" w:ascii="宋体" w:hAnsi="宋体"/>
          <w:sz w:val="28"/>
          <w:szCs w:val="28"/>
        </w:rPr>
        <w:t>格式发至</w:t>
      </w:r>
      <w:r>
        <w:rPr>
          <w:rFonts w:ascii="宋体" w:hAnsi="宋体"/>
          <w:sz w:val="28"/>
          <w:szCs w:val="28"/>
        </w:rPr>
        <w:t>2483567991@qq.com</w:t>
      </w:r>
      <w:r>
        <w:rPr>
          <w:rFonts w:ascii="宋体" w:hAnsi="宋体"/>
          <w:sz w:val="28"/>
          <w:szCs w:val="28"/>
        </w:rPr>
        <w:fldChar w:fldCharType="end"/>
      </w:r>
      <w:r>
        <w:rPr>
          <w:rFonts w:hint="eastAsia" w:ascii="宋体" w:hAnsi="宋体"/>
          <w:sz w:val="28"/>
          <w:szCs w:val="28"/>
        </w:rPr>
        <w:t>（质疑函请勿以</w:t>
      </w:r>
      <w:r>
        <w:rPr>
          <w:rFonts w:ascii="宋体" w:hAnsi="宋体"/>
          <w:sz w:val="28"/>
          <w:szCs w:val="28"/>
        </w:rPr>
        <w:t>JPG</w:t>
      </w:r>
      <w:r>
        <w:rPr>
          <w:rFonts w:hint="eastAsia" w:ascii="宋体" w:hAnsi="宋体"/>
          <w:sz w:val="28"/>
          <w:szCs w:val="28"/>
        </w:rPr>
        <w:t>或</w:t>
      </w:r>
      <w:r>
        <w:rPr>
          <w:rFonts w:ascii="宋体" w:hAnsi="宋体"/>
          <w:sz w:val="28"/>
          <w:szCs w:val="28"/>
        </w:rPr>
        <w:t>PDF</w:t>
      </w:r>
      <w:r>
        <w:rPr>
          <w:rFonts w:hint="eastAsia" w:ascii="宋体" w:hAnsi="宋体"/>
          <w:sz w:val="28"/>
          <w:szCs w:val="28"/>
        </w:rPr>
        <w:t>格式，对</w:t>
      </w:r>
      <w:r>
        <w:rPr>
          <w:rFonts w:ascii="宋体" w:hAnsi="宋体"/>
          <w:sz w:val="28"/>
          <w:szCs w:val="28"/>
        </w:rPr>
        <w:t>JPG</w:t>
      </w:r>
      <w:r>
        <w:rPr>
          <w:rFonts w:hint="eastAsia" w:ascii="宋体" w:hAnsi="宋体"/>
          <w:sz w:val="28"/>
          <w:szCs w:val="28"/>
        </w:rPr>
        <w:t>和</w:t>
      </w:r>
      <w:r>
        <w:rPr>
          <w:rFonts w:ascii="宋体" w:hAnsi="宋体"/>
          <w:sz w:val="28"/>
          <w:szCs w:val="28"/>
        </w:rPr>
        <w:t>PDF</w:t>
      </w:r>
      <w:r>
        <w:rPr>
          <w:rFonts w:hint="eastAsia" w:ascii="宋体" w:hAnsi="宋体"/>
          <w:sz w:val="28"/>
          <w:szCs w:val="28"/>
        </w:rPr>
        <w:t>格式的附件一律删除，不予采纳，敬请谅解）。</w:t>
      </w:r>
    </w:p>
    <w:p>
      <w:pPr>
        <w:spacing w:line="360" w:lineRule="auto"/>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rPr>
      </w:pPr>
      <w:r>
        <w:rPr>
          <w:rFonts w:hint="eastAsia" w:ascii="宋体" w:hAnsi="宋体"/>
          <w:sz w:val="28"/>
          <w:szCs w:val="28"/>
        </w:rPr>
        <w:t>4.投标文件</w:t>
      </w:r>
    </w:p>
    <w:p>
      <w:pPr>
        <w:widowControl/>
        <w:spacing w:line="360" w:lineRule="auto"/>
        <w:ind w:firstLine="560" w:firstLineChars="200"/>
        <w:rPr>
          <w:rFonts w:ascii="宋体" w:hAnsi="宋体"/>
          <w:sz w:val="28"/>
          <w:szCs w:val="28"/>
        </w:rPr>
      </w:pPr>
      <w:r>
        <w:rPr>
          <w:rFonts w:hint="eastAsia" w:ascii="宋体" w:hAnsi="宋体"/>
          <w:sz w:val="28"/>
          <w:szCs w:val="28"/>
        </w:rPr>
        <w:t>（1）投标送达方式：</w:t>
      </w:r>
      <w:r>
        <w:rPr>
          <w:rFonts w:hint="eastAsia" w:ascii="宋体" w:hAnsi="宋体"/>
          <w:b/>
          <w:sz w:val="28"/>
          <w:szCs w:val="28"/>
        </w:rPr>
        <w:t>只接受以邮寄方式送达，并请务必用顺丰快递</w:t>
      </w:r>
      <w:r>
        <w:rPr>
          <w:rFonts w:hint="eastAsia" w:ascii="宋体" w:hAnsi="宋体"/>
          <w:sz w:val="28"/>
          <w:szCs w:val="28"/>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rPr>
      </w:pPr>
      <w:r>
        <w:rPr>
          <w:rFonts w:hint="eastAsia" w:ascii="宋体" w:hAnsi="宋体"/>
          <w:sz w:val="28"/>
          <w:szCs w:val="28"/>
        </w:rPr>
        <w:t>（2）投标截止时间：2020年08月04日09：00。</w:t>
      </w:r>
      <w:bookmarkStart w:id="5" w:name="_Hlk32349437"/>
    </w:p>
    <w:bookmarkEnd w:id="5"/>
    <w:p>
      <w:pPr>
        <w:widowControl/>
        <w:adjustRightInd w:val="0"/>
        <w:snapToGrid w:val="0"/>
        <w:spacing w:line="360" w:lineRule="auto"/>
        <w:ind w:firstLine="560" w:firstLineChars="200"/>
        <w:rPr>
          <w:rFonts w:ascii="宋体" w:hAnsi="宋体"/>
          <w:sz w:val="28"/>
          <w:szCs w:val="28"/>
        </w:rPr>
      </w:pPr>
      <w:r>
        <w:rPr>
          <w:rFonts w:hint="eastAsia" w:ascii="宋体" w:hAnsi="宋体"/>
          <w:sz w:val="28"/>
          <w:szCs w:val="28"/>
        </w:rPr>
        <w:t>（3）邮寄送达地点：</w:t>
      </w:r>
      <w:r>
        <w:rPr>
          <w:rFonts w:hint="eastAsia" w:ascii="宋体" w:hAnsi="宋体" w:cs="宋体"/>
          <w:kern w:val="0"/>
          <w:sz w:val="28"/>
          <w:szCs w:val="28"/>
        </w:rPr>
        <w:t>南京市浦口区宁六路219号</w:t>
      </w:r>
      <w:r>
        <w:rPr>
          <w:rFonts w:ascii="宋体" w:hAnsi="宋体" w:cs="宋体"/>
          <w:kern w:val="0"/>
          <w:sz w:val="28"/>
          <w:szCs w:val="28"/>
        </w:rPr>
        <w:t>南京信息工程大学</w:t>
      </w:r>
      <w:r>
        <w:rPr>
          <w:rFonts w:hint="eastAsia" w:ascii="宋体" w:hAnsi="宋体"/>
          <w:sz w:val="28"/>
          <w:szCs w:val="28"/>
        </w:rPr>
        <w:t>东苑大学生创业中心3号楼（体育馆北面三层小楼）210室</w:t>
      </w:r>
      <w:r>
        <w:rPr>
          <w:rFonts w:hint="eastAsia" w:ascii="宋体" w:hAnsi="宋体" w:cs="宋体"/>
          <w:kern w:val="0"/>
          <w:sz w:val="28"/>
          <w:szCs w:val="28"/>
        </w:rPr>
        <w:t>招标办。联系人：马老师、罗老师；联系电话：025-58731441。</w:t>
      </w:r>
    </w:p>
    <w:p>
      <w:pPr>
        <w:snapToGrid w:val="0"/>
        <w:spacing w:line="360" w:lineRule="auto"/>
        <w:ind w:firstLine="560" w:firstLineChars="200"/>
        <w:rPr>
          <w:rFonts w:ascii="宋体" w:hAnsi="宋体"/>
          <w:sz w:val="28"/>
          <w:szCs w:val="28"/>
        </w:rPr>
      </w:pPr>
      <w:r>
        <w:rPr>
          <w:rFonts w:hint="eastAsia" w:ascii="宋体" w:hAnsi="宋体"/>
          <w:sz w:val="28"/>
          <w:szCs w:val="28"/>
        </w:rPr>
        <w:t>5.开标、唱标和评标</w:t>
      </w:r>
    </w:p>
    <w:p>
      <w:pPr>
        <w:widowControl/>
        <w:spacing w:line="360" w:lineRule="auto"/>
        <w:ind w:firstLine="560" w:firstLineChars="200"/>
        <w:rPr>
          <w:rFonts w:ascii="宋体" w:hAnsi="宋体"/>
          <w:sz w:val="28"/>
          <w:szCs w:val="28"/>
        </w:rPr>
      </w:pPr>
      <w:r>
        <w:rPr>
          <w:rFonts w:hint="eastAsia" w:ascii="宋体" w:hAnsi="宋体"/>
          <w:sz w:val="28"/>
          <w:szCs w:val="28"/>
        </w:rPr>
        <w:t>（1）开标、唱标：2020年08月04日09：00；(不安排公开开标、唱标，由招标办工作人员在我校纪检监察部门监督见证下进行，开标、唱标工作全程视频监控并录像)。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rPr>
      </w:pPr>
      <w:r>
        <w:rPr>
          <w:rFonts w:hint="eastAsia" w:ascii="宋体" w:hAnsi="宋体"/>
          <w:sz w:val="28"/>
          <w:szCs w:val="28"/>
        </w:rPr>
        <w:t>（2）唱标和开标地点：南京信息工程大学东苑大学生创业中心</w:t>
      </w:r>
      <w:r>
        <w:rPr>
          <w:rFonts w:ascii="宋体" w:hAnsi="宋体"/>
          <w:sz w:val="28"/>
          <w:szCs w:val="28"/>
        </w:rPr>
        <w:t>3</w:t>
      </w:r>
      <w:r>
        <w:rPr>
          <w:rFonts w:hint="eastAsia" w:ascii="宋体" w:hAnsi="宋体"/>
          <w:sz w:val="28"/>
          <w:szCs w:val="28"/>
        </w:rPr>
        <w:t>号楼（体育馆北面三层小楼）</w:t>
      </w:r>
      <w:r>
        <w:rPr>
          <w:rFonts w:ascii="宋体" w:hAnsi="宋体"/>
          <w:sz w:val="28"/>
          <w:szCs w:val="28"/>
        </w:rPr>
        <w:t>210</w:t>
      </w:r>
      <w:r>
        <w:rPr>
          <w:rFonts w:hint="eastAsia" w:ascii="宋体" w:hAnsi="宋体"/>
          <w:sz w:val="28"/>
          <w:szCs w:val="28"/>
        </w:rPr>
        <w:t>室。</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6.相关单位联系人及电话</w:t>
      </w:r>
    </w:p>
    <w:p>
      <w:pPr>
        <w:snapToGrid w:val="0"/>
        <w:spacing w:line="360" w:lineRule="auto"/>
        <w:ind w:firstLine="425" w:firstLineChars="152"/>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）招标办（招投标管理业务单位）：联系电话：</w:t>
      </w:r>
      <w:r>
        <w:rPr>
          <w:rFonts w:ascii="宋体" w:hAnsi="宋体"/>
          <w:sz w:val="28"/>
          <w:szCs w:val="28"/>
        </w:rPr>
        <w:t>025-58731441</w:t>
      </w:r>
      <w:r>
        <w:rPr>
          <w:rFonts w:hint="eastAsia" w:ascii="宋体" w:hAnsi="宋体"/>
          <w:sz w:val="28"/>
          <w:szCs w:val="28"/>
        </w:rPr>
        <w:t>，联系人：马老师、罗老师；</w:t>
      </w:r>
    </w:p>
    <w:p>
      <w:pPr>
        <w:snapToGrid w:val="0"/>
        <w:spacing w:line="360" w:lineRule="auto"/>
        <w:ind w:firstLine="425" w:firstLineChars="152"/>
        <w:rPr>
          <w:rFonts w:ascii="宋体" w:hAnsi="宋体"/>
          <w:sz w:val="28"/>
          <w:szCs w:val="28"/>
        </w:rPr>
      </w:pPr>
      <w:r>
        <w:rPr>
          <w:rFonts w:hint="eastAsia" w:ascii="宋体" w:hAnsi="宋体"/>
          <w:sz w:val="28"/>
          <w:szCs w:val="28"/>
        </w:rPr>
        <w:t>（2）</w:t>
      </w:r>
      <w:bookmarkEnd w:id="4"/>
      <w:r>
        <w:rPr>
          <w:rFonts w:hint="eastAsia" w:ascii="宋体" w:hAnsi="宋体"/>
          <w:sz w:val="28"/>
          <w:szCs w:val="28"/>
        </w:rPr>
        <w:t>用户单位联系电话：</w:t>
      </w:r>
      <w:bookmarkStart w:id="9" w:name="_GoBack"/>
      <w:r>
        <w:rPr>
          <w:rFonts w:hint="eastAsia" w:ascii="宋体" w:hAnsi="宋体"/>
          <w:sz w:val="28"/>
          <w:szCs w:val="28"/>
          <w:lang w:val="en-US" w:eastAsia="zh-CN"/>
        </w:rPr>
        <w:t>13812024987</w:t>
      </w:r>
      <w:bookmarkEnd w:id="9"/>
      <w:r>
        <w:rPr>
          <w:rFonts w:hint="eastAsia" w:ascii="宋体" w:hAnsi="宋体"/>
          <w:sz w:val="28"/>
          <w:szCs w:val="28"/>
        </w:rPr>
        <w:t>，联系人：</w:t>
      </w:r>
      <w:r>
        <w:rPr>
          <w:rFonts w:hint="eastAsia" w:ascii="宋体" w:hAnsi="宋体"/>
          <w:sz w:val="28"/>
          <w:szCs w:val="28"/>
          <w:lang w:val="en-US" w:eastAsia="zh-CN"/>
        </w:rPr>
        <w:t>毛</w:t>
      </w:r>
      <w:r>
        <w:rPr>
          <w:rFonts w:hint="eastAsia" w:ascii="宋体" w:hAnsi="宋体"/>
          <w:sz w:val="28"/>
          <w:szCs w:val="28"/>
        </w:rPr>
        <w:t>老师。</w:t>
      </w:r>
    </w:p>
    <w:p>
      <w:pPr>
        <w:pStyle w:val="2"/>
        <w:ind w:left="0" w:leftChars="0" w:right="0" w:rightChars="0"/>
        <w:rPr>
          <w:rFonts w:ascii="宋体" w:hAnsi="宋体"/>
          <w:sz w:val="28"/>
          <w:szCs w:val="28"/>
        </w:rPr>
      </w:pPr>
    </w:p>
    <w:p>
      <w:pPr>
        <w:tabs>
          <w:tab w:val="left" w:pos="1260"/>
        </w:tabs>
        <w:spacing w:line="360" w:lineRule="auto"/>
        <w:ind w:left="1959" w:leftChars="933" w:firstLine="2530" w:firstLineChars="900"/>
        <w:rPr>
          <w:rFonts w:ascii="宋体"/>
          <w:b/>
          <w:sz w:val="28"/>
          <w:szCs w:val="28"/>
        </w:rPr>
      </w:pPr>
      <w:bookmarkStart w:id="6" w:name="_Hlk9866962"/>
      <w:r>
        <w:rPr>
          <w:rFonts w:hint="eastAsia" w:ascii="宋体" w:hAnsi="宋体"/>
          <w:b/>
          <w:sz w:val="28"/>
          <w:szCs w:val="28"/>
        </w:rPr>
        <w:t>南京信息工程大学招标办</w:t>
      </w:r>
    </w:p>
    <w:p>
      <w:pPr>
        <w:pStyle w:val="11"/>
        <w:spacing w:line="360" w:lineRule="auto"/>
        <w:ind w:left="99" w:leftChars="47" w:firstLine="4919" w:firstLineChars="1750"/>
        <w:rPr>
          <w:rStyle w:val="41"/>
          <w:rFonts w:ascii="宋体" w:hAnsi="Times New Roman" w:eastAsia="宋体"/>
          <w:sz w:val="28"/>
          <w:szCs w:val="28"/>
        </w:rPr>
      </w:pPr>
      <w:r>
        <w:rPr>
          <w:rStyle w:val="41"/>
          <w:rFonts w:ascii="宋体" w:hAnsi="宋体" w:eastAsia="宋体"/>
          <w:sz w:val="28"/>
          <w:szCs w:val="28"/>
        </w:rPr>
        <w:t>20</w:t>
      </w:r>
      <w:r>
        <w:rPr>
          <w:rStyle w:val="41"/>
          <w:rFonts w:hint="eastAsia" w:ascii="宋体" w:hAnsi="宋体" w:eastAsia="宋体"/>
          <w:sz w:val="28"/>
          <w:szCs w:val="28"/>
        </w:rPr>
        <w:t>20年</w:t>
      </w:r>
      <w:r>
        <w:rPr>
          <w:rStyle w:val="41"/>
          <w:rFonts w:hint="eastAsia" w:ascii="宋体" w:hAnsi="宋体"/>
          <w:sz w:val="28"/>
          <w:szCs w:val="28"/>
        </w:rPr>
        <w:t>07</w:t>
      </w:r>
      <w:r>
        <w:rPr>
          <w:rStyle w:val="41"/>
          <w:rFonts w:hint="eastAsia" w:ascii="宋体" w:hAnsi="宋体" w:eastAsia="宋体"/>
          <w:sz w:val="28"/>
          <w:szCs w:val="28"/>
        </w:rPr>
        <w:t>月</w:t>
      </w:r>
      <w:r>
        <w:rPr>
          <w:rStyle w:val="41"/>
          <w:rFonts w:hint="eastAsia" w:ascii="宋体" w:hAnsi="宋体"/>
          <w:sz w:val="28"/>
          <w:szCs w:val="28"/>
        </w:rPr>
        <w:t>15</w:t>
      </w:r>
      <w:r>
        <w:rPr>
          <w:rStyle w:val="41"/>
          <w:rFonts w:hint="eastAsia" w:ascii="宋体" w:hAnsi="宋体" w:eastAsia="宋体"/>
          <w:sz w:val="28"/>
          <w:szCs w:val="28"/>
        </w:rPr>
        <w:t>日</w:t>
      </w:r>
    </w:p>
    <w:bookmarkEnd w:id="6"/>
    <w:p>
      <w:pPr>
        <w:adjustRightInd w:val="0"/>
        <w:snapToGrid w:val="0"/>
        <w:spacing w:line="360" w:lineRule="auto"/>
        <w:rPr>
          <w:sz w:val="28"/>
          <w:szCs w:val="28"/>
        </w:rPr>
      </w:pPr>
      <w:r>
        <w:rPr>
          <w:rStyle w:val="41"/>
          <w:rFonts w:ascii="宋体" w:hAnsi="Times New Roman" w:eastAsia="宋体"/>
          <w:b w:val="0"/>
          <w:sz w:val="28"/>
          <w:szCs w:val="28"/>
        </w:rPr>
        <w:br w:type="page"/>
      </w:r>
      <w:r>
        <w:rPr>
          <w:sz w:val="28"/>
          <w:szCs w:val="28"/>
        </w:rPr>
        <w:t>附件1：</w:t>
      </w:r>
    </w:p>
    <w:p>
      <w:pPr>
        <w:spacing w:line="360" w:lineRule="auto"/>
        <w:ind w:left="180"/>
        <w:jc w:val="center"/>
        <w:rPr>
          <w:b/>
          <w:sz w:val="28"/>
          <w:szCs w:val="28"/>
        </w:rPr>
      </w:pPr>
      <w:r>
        <w:rPr>
          <w:b/>
          <w:sz w:val="28"/>
          <w:szCs w:val="28"/>
        </w:rPr>
        <w:t>招标项目设备名称、数量、主要技术要求及其他要求</w:t>
      </w:r>
    </w:p>
    <w:p>
      <w:pPr>
        <w:spacing w:beforeLines="50"/>
        <w:rPr>
          <w:b/>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4961"/>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sz w:val="24"/>
              </w:rPr>
            </w:pPr>
            <w:r>
              <w:rPr>
                <w:rFonts w:hint="eastAsia" w:ascii="宋体" w:hAnsi="宋体" w:cs="宋体"/>
                <w:b/>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sz w:val="24"/>
              </w:rPr>
            </w:pPr>
            <w:r>
              <w:rPr>
                <w:rFonts w:hint="eastAsia" w:ascii="宋体" w:hAnsi="宋体" w:cs="宋体"/>
                <w:b/>
                <w:sz w:val="24"/>
              </w:rPr>
              <w:t>名称</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000000"/>
                <w:sz w:val="24"/>
              </w:rPr>
            </w:pPr>
            <w:r>
              <w:rPr>
                <w:rFonts w:hint="eastAsia" w:ascii="宋体" w:hAnsi="宋体" w:cs="宋体"/>
                <w:b/>
                <w:color w:val="000000"/>
                <w:sz w:val="24"/>
              </w:rPr>
              <w:t>规格及参数</w:t>
            </w:r>
          </w:p>
        </w:tc>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000000"/>
                <w:sz w:val="24"/>
              </w:rPr>
            </w:pPr>
            <w:r>
              <w:rPr>
                <w:rFonts w:hint="eastAsia" w:ascii="宋体" w:hAnsi="宋体" w:cs="宋体"/>
                <w:b/>
                <w:color w:val="000000"/>
                <w:sz w:val="24"/>
              </w:rPr>
              <w:t>数量</w:t>
            </w:r>
          </w:p>
        </w:tc>
        <w:tc>
          <w:tcPr>
            <w:tcW w:w="7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000000"/>
                <w:sz w:val="24"/>
              </w:rPr>
            </w:pPr>
            <w:r>
              <w:rPr>
                <w:rFonts w:hint="eastAsia" w:ascii="宋体" w:hAnsi="宋体" w:cs="宋体"/>
                <w:b/>
                <w:color w:val="00000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1</w:t>
            </w:r>
          </w:p>
        </w:tc>
        <w:tc>
          <w:tcPr>
            <w:tcW w:w="1418"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color w:val="000000"/>
                <w:kern w:val="0"/>
                <w:sz w:val="24"/>
                <w:szCs w:val="24"/>
              </w:rPr>
            </w:pPr>
            <w:r>
              <w:rPr>
                <w:rFonts w:hint="eastAsia" w:ascii="宋体" w:hAnsi="宋体"/>
                <w:color w:val="000000"/>
                <w:kern w:val="0"/>
                <w:sz w:val="24"/>
                <w:szCs w:val="24"/>
              </w:rPr>
              <w:t>供电控制计算机</w:t>
            </w:r>
          </w:p>
        </w:tc>
        <w:tc>
          <w:tcPr>
            <w:tcW w:w="4961"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color w:val="000000"/>
                <w:kern w:val="0"/>
                <w:sz w:val="24"/>
                <w:szCs w:val="24"/>
              </w:rPr>
            </w:pPr>
            <w:r>
              <w:rPr>
                <w:rFonts w:hint="eastAsia" w:ascii="宋体" w:hAnsi="宋体"/>
                <w:color w:val="000000"/>
                <w:kern w:val="0"/>
                <w:sz w:val="24"/>
                <w:szCs w:val="24"/>
              </w:rPr>
              <w:t>1、数量：1台。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2、参数：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供电控制计算机参数：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CPU：I5处理器；</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内存：8G内存；</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硬盘：500G；</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显示器：21.5英寸液晶显示器。</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配套：键盘鼠标。</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3、主要用于安装供电远动控制系统的现场控制部分，并为其提供系统电源。</w:t>
            </w:r>
          </w:p>
        </w:tc>
        <w:tc>
          <w:tcPr>
            <w:tcW w:w="709"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1</w:t>
            </w:r>
          </w:p>
        </w:tc>
        <w:tc>
          <w:tcPr>
            <w:tcW w:w="708"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2</w:t>
            </w:r>
          </w:p>
        </w:tc>
        <w:tc>
          <w:tcPr>
            <w:tcW w:w="1418"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color w:val="000000"/>
                <w:kern w:val="0"/>
                <w:sz w:val="24"/>
                <w:szCs w:val="24"/>
              </w:rPr>
            </w:pPr>
            <w:r>
              <w:rPr>
                <w:rFonts w:hint="eastAsia" w:ascii="宋体" w:hAnsi="宋体"/>
                <w:color w:val="000000"/>
                <w:kern w:val="0"/>
                <w:sz w:val="24"/>
                <w:szCs w:val="24"/>
              </w:rPr>
              <w:t>操作台和讨论桌</w:t>
            </w:r>
          </w:p>
        </w:tc>
        <w:tc>
          <w:tcPr>
            <w:tcW w:w="4961"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color w:val="000000"/>
                <w:kern w:val="0"/>
                <w:sz w:val="24"/>
                <w:szCs w:val="24"/>
              </w:rPr>
            </w:pPr>
            <w:r>
              <w:rPr>
                <w:rFonts w:hint="eastAsia" w:ascii="宋体" w:hAnsi="宋体"/>
                <w:color w:val="000000"/>
                <w:kern w:val="0"/>
                <w:sz w:val="24"/>
                <w:szCs w:val="24"/>
              </w:rPr>
              <w:t>1、数量：1套。</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2、参数：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操作台用于放置供电控制计算机，配套座椅。配套讨论桌，尺寸1.6米-2米左右，桌面为优质板材，桌面加钢化玻璃，环保等级必须达到E1级标准，整体设计现代化。</w:t>
            </w:r>
          </w:p>
        </w:tc>
        <w:tc>
          <w:tcPr>
            <w:tcW w:w="709"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1</w:t>
            </w:r>
          </w:p>
        </w:tc>
        <w:tc>
          <w:tcPr>
            <w:tcW w:w="708"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3</w:t>
            </w:r>
          </w:p>
        </w:tc>
        <w:tc>
          <w:tcPr>
            <w:tcW w:w="1418"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cs="宋体"/>
                <w:color w:val="000000"/>
                <w:kern w:val="0"/>
                <w:sz w:val="24"/>
                <w:szCs w:val="24"/>
              </w:rPr>
            </w:pPr>
            <w:r>
              <w:rPr>
                <w:rFonts w:hint="eastAsia" w:ascii="宋体" w:hAnsi="宋体" w:cs="宋体"/>
                <w:color w:val="000000"/>
                <w:kern w:val="0"/>
                <w:sz w:val="24"/>
                <w:szCs w:val="24"/>
              </w:rPr>
              <w:t>110kV牵引变电所进线控制屏</w:t>
            </w:r>
          </w:p>
        </w:tc>
        <w:tc>
          <w:tcPr>
            <w:tcW w:w="4961"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color w:val="000000"/>
                <w:kern w:val="0"/>
                <w:sz w:val="24"/>
                <w:szCs w:val="24"/>
              </w:rPr>
            </w:pPr>
            <w:r>
              <w:rPr>
                <w:rFonts w:hint="eastAsia" w:ascii="宋体" w:hAnsi="宋体"/>
                <w:color w:val="000000"/>
                <w:kern w:val="0"/>
                <w:sz w:val="24"/>
                <w:szCs w:val="24"/>
              </w:rPr>
              <w:t>1、数量：1台。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2、参数：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模拟110V进线控制屏，具备“远动/就地”切换功能。模拟110kV进线控制屏实现一条进线模拟倒闸操作。面板实现倒闸操作和显示，柜内接触器受倒闸操作控制，实现一条110kV进线的模拟供电，进线侧安装断路器实现过载保护和手动隔离。</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主要包括柜体、门锁、小型断路器、时间继电器、交流接触器、转换开关、旋钮、指示灯、开关电源、供电主控板、采集输入板、继电器输出板等设备。</w:t>
            </w: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1</w:t>
            </w: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jc w:val="center"/>
        </w:trPr>
        <w:tc>
          <w:tcPr>
            <w:tcW w:w="7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4</w:t>
            </w:r>
          </w:p>
        </w:tc>
        <w:tc>
          <w:tcPr>
            <w:tcW w:w="1418"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110kV牵引变电所馈线控制屏</w:t>
            </w:r>
          </w:p>
        </w:tc>
        <w:tc>
          <w:tcPr>
            <w:tcW w:w="4961"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color w:val="000000"/>
                <w:kern w:val="0"/>
                <w:sz w:val="24"/>
                <w:szCs w:val="24"/>
              </w:rPr>
            </w:pPr>
            <w:r>
              <w:rPr>
                <w:rFonts w:hint="eastAsia" w:ascii="宋体" w:hAnsi="宋体"/>
                <w:color w:val="000000"/>
                <w:kern w:val="0"/>
                <w:sz w:val="24"/>
                <w:szCs w:val="24"/>
              </w:rPr>
              <w:t>1、数量：1台。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2、参数：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模拟110V所一条馈线控制，具备“远动/就地”切换功能，模拟35kV输出控制实现模拟倒闸，面板实现倒闸操作和显示，柜内接触器受倒闸操作控制，实现一条35kV馈线的模拟供电，进线侧安装断路器实现过载保护和手动隔离。</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主要包括柜体、门锁、小型断路器、交流接触器、转换开关、旋钮、指示灯等设备。</w:t>
            </w: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1</w:t>
            </w: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sz w:val="24"/>
              </w:rPr>
            </w:pPr>
            <w:r>
              <w:rPr>
                <w:rFonts w:hint="eastAsia" w:ascii="宋体" w:hAnsi="宋体" w:cs="宋体"/>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5</w:t>
            </w:r>
          </w:p>
        </w:tc>
        <w:tc>
          <w:tcPr>
            <w:tcW w:w="1418"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35KV牵引混合所进线控制屏</w:t>
            </w:r>
          </w:p>
        </w:tc>
        <w:tc>
          <w:tcPr>
            <w:tcW w:w="4961"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color w:val="000000"/>
                <w:kern w:val="0"/>
                <w:sz w:val="24"/>
                <w:szCs w:val="24"/>
              </w:rPr>
            </w:pPr>
            <w:r>
              <w:rPr>
                <w:rFonts w:hint="eastAsia" w:ascii="宋体" w:hAnsi="宋体"/>
                <w:color w:val="000000"/>
                <w:kern w:val="0"/>
                <w:sz w:val="24"/>
                <w:szCs w:val="24"/>
              </w:rPr>
              <w:t>1、数量：1台。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2、参数：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模拟35kV牵混所一条进线控制，具备“远动/就地”切换功能。模拟35kV经降压转换成1500VDC输出控制实现模拟倒闸，面板实现倒闸操作和显示，柜内接触器受倒闸操作控制，实现一条35kV进线和AC/DC转换的模拟供电。</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主要包括柜体、门锁、小型断路器、交流接触器、转换开关、旋钮、指示灯等设备。</w:t>
            </w: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1</w:t>
            </w: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sz w:val="24"/>
              </w:rPr>
            </w:pPr>
            <w:r>
              <w:rPr>
                <w:rFonts w:hint="eastAsia" w:ascii="宋体" w:hAnsi="宋体" w:cs="宋体"/>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6</w:t>
            </w:r>
          </w:p>
        </w:tc>
        <w:tc>
          <w:tcPr>
            <w:tcW w:w="1418"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35KV牵引混合所馈线控制屏</w:t>
            </w:r>
          </w:p>
        </w:tc>
        <w:tc>
          <w:tcPr>
            <w:tcW w:w="4961"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color w:val="000000"/>
                <w:kern w:val="0"/>
                <w:sz w:val="24"/>
                <w:szCs w:val="24"/>
              </w:rPr>
            </w:pPr>
            <w:r>
              <w:rPr>
                <w:rFonts w:hint="eastAsia" w:ascii="宋体" w:hAnsi="宋体"/>
                <w:color w:val="000000"/>
                <w:kern w:val="0"/>
                <w:sz w:val="24"/>
                <w:szCs w:val="24"/>
              </w:rPr>
              <w:t>1、数量：1台。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2、参数：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模拟35kV牵混所一条馈线控制，具备“远动/就地”切换功能。面板实现倒闸操作和显示，柜内接触器受倒闸操作控制，实现一条35kV进线和AC/DC转换的模拟供电，进线侧安装断路器实现过载保护和手动隔离。同时联动驱动真空断路器和电动隔离开关。</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主要包括柜体、门锁、小型断路器、塑壳断路器、交流接触器、转换开关、旋钮、指示灯、降压变压器等设备。</w:t>
            </w: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1</w:t>
            </w: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sz w:val="24"/>
              </w:rPr>
            </w:pPr>
            <w:r>
              <w:rPr>
                <w:rFonts w:hint="eastAsia" w:ascii="宋体" w:hAnsi="宋体" w:cs="宋体"/>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7</w:t>
            </w:r>
          </w:p>
        </w:tc>
        <w:tc>
          <w:tcPr>
            <w:tcW w:w="1418"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补偿柜</w:t>
            </w:r>
          </w:p>
        </w:tc>
        <w:tc>
          <w:tcPr>
            <w:tcW w:w="4961"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color w:val="000000"/>
                <w:kern w:val="0"/>
                <w:sz w:val="24"/>
                <w:szCs w:val="24"/>
              </w:rPr>
            </w:pPr>
            <w:r>
              <w:rPr>
                <w:rFonts w:hint="eastAsia" w:ascii="宋体" w:hAnsi="宋体"/>
                <w:color w:val="000000"/>
                <w:kern w:val="0"/>
                <w:sz w:val="24"/>
                <w:szCs w:val="24"/>
              </w:rPr>
              <w:t>1、数量：1台。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2、参数：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补偿柜、HD13BX-200/31刀型开关、JKL5CF无功功率自动补偿控制器6套、CJX4-25KD切换电容器接触器、微型断路器、BSMJ0.4-10-3自愈式并联电力电容器、LMK-0.66电流互感器、电流表、电压表、氧化锌避雷器。</w:t>
            </w: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1</w:t>
            </w: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sz w:val="24"/>
              </w:rPr>
            </w:pPr>
            <w:r>
              <w:rPr>
                <w:rFonts w:hint="eastAsia" w:ascii="宋体" w:hAnsi="宋体" w:cs="宋体"/>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8</w:t>
            </w:r>
          </w:p>
        </w:tc>
        <w:tc>
          <w:tcPr>
            <w:tcW w:w="1418"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低压进线柜</w:t>
            </w:r>
          </w:p>
        </w:tc>
        <w:tc>
          <w:tcPr>
            <w:tcW w:w="4961"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color w:val="000000"/>
                <w:kern w:val="0"/>
                <w:sz w:val="24"/>
                <w:szCs w:val="24"/>
              </w:rPr>
            </w:pPr>
            <w:r>
              <w:rPr>
                <w:rFonts w:hint="eastAsia" w:ascii="宋体" w:hAnsi="宋体"/>
                <w:color w:val="000000"/>
                <w:kern w:val="0"/>
                <w:sz w:val="24"/>
                <w:szCs w:val="24"/>
              </w:rPr>
              <w:t>1、数量：1台。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2、参数：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低压进线柜、DW15-630/3万能式断路、电压表、HD13BX-200/31刀型开关、LMK-0.66电流互感器、电流表3只、有功电度表、无功电度表。</w:t>
            </w: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1</w:t>
            </w: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sz w:val="24"/>
              </w:rPr>
            </w:pPr>
            <w:r>
              <w:rPr>
                <w:rFonts w:hint="eastAsia" w:ascii="宋体" w:hAnsi="宋体" w:cs="宋体"/>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9</w:t>
            </w:r>
          </w:p>
        </w:tc>
        <w:tc>
          <w:tcPr>
            <w:tcW w:w="1418"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低压出线柜</w:t>
            </w:r>
          </w:p>
        </w:tc>
        <w:tc>
          <w:tcPr>
            <w:tcW w:w="4961"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color w:val="000000"/>
                <w:kern w:val="0"/>
                <w:sz w:val="24"/>
                <w:szCs w:val="24"/>
              </w:rPr>
            </w:pPr>
            <w:r>
              <w:rPr>
                <w:rFonts w:hint="eastAsia" w:ascii="宋体" w:hAnsi="宋体"/>
                <w:color w:val="000000"/>
                <w:kern w:val="0"/>
                <w:sz w:val="24"/>
                <w:szCs w:val="24"/>
              </w:rPr>
              <w:t>1、数量：1台。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2、参数：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低压出线柜、HD13BX-200/31刀型开关、LMK-0.66电流互感器、电流表2只、电压表2只、热继电器、塑料外壳式断路器、万能转换开关等。</w:t>
            </w: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1</w:t>
            </w: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sz w:val="24"/>
              </w:rPr>
            </w:pPr>
            <w:r>
              <w:rPr>
                <w:rFonts w:hint="eastAsia" w:ascii="宋体" w:hAnsi="宋体" w:cs="宋体"/>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10</w:t>
            </w:r>
          </w:p>
        </w:tc>
        <w:tc>
          <w:tcPr>
            <w:tcW w:w="1418"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模拟显示屏</w:t>
            </w:r>
          </w:p>
        </w:tc>
        <w:tc>
          <w:tcPr>
            <w:tcW w:w="4961"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color w:val="000000"/>
                <w:kern w:val="0"/>
                <w:sz w:val="24"/>
                <w:szCs w:val="24"/>
              </w:rPr>
            </w:pPr>
            <w:r>
              <w:rPr>
                <w:rFonts w:hint="eastAsia" w:ascii="宋体" w:hAnsi="宋体"/>
                <w:color w:val="000000"/>
                <w:kern w:val="0"/>
                <w:sz w:val="24"/>
                <w:szCs w:val="24"/>
              </w:rPr>
              <w:t>1、数量：3块。</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2、参数：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包括1块110KV主变电所主接线图、2块35KV牵引混合所主接线图。</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根据110KV主变电所、35KV牵引混合所主接线图实际制作模拟显示屏，与远动控制系统结合，具有供电方式实时显示功能（与远动控制操作系统一致）。</w:t>
            </w:r>
          </w:p>
          <w:p>
            <w:pPr>
              <w:pStyle w:val="48"/>
              <w:spacing w:line="360" w:lineRule="auto"/>
              <w:rPr>
                <w:rFonts w:ascii="宋体" w:hAnsi="宋体"/>
                <w:color w:val="000000"/>
                <w:kern w:val="0"/>
                <w:sz w:val="24"/>
                <w:szCs w:val="24"/>
                <w:lang w:val="zh-CN"/>
              </w:rPr>
            </w:pPr>
            <w:r>
              <w:rPr>
                <w:rFonts w:hint="eastAsia" w:ascii="宋体" w:hAnsi="宋体"/>
                <w:color w:val="000000"/>
                <w:kern w:val="0"/>
                <w:sz w:val="24"/>
                <w:szCs w:val="24"/>
                <w:lang w:val="zh-CN"/>
              </w:rPr>
              <w:t>能够模拟开关实时位置信号显示，满足实训要求。</w:t>
            </w:r>
          </w:p>
          <w:p>
            <w:pPr>
              <w:pStyle w:val="48"/>
              <w:spacing w:line="360" w:lineRule="auto"/>
              <w:rPr>
                <w:rFonts w:ascii="宋体" w:hAnsi="宋体"/>
                <w:color w:val="000000"/>
                <w:kern w:val="0"/>
                <w:sz w:val="24"/>
                <w:szCs w:val="24"/>
                <w:lang w:val="zh-CN"/>
              </w:rPr>
            </w:pPr>
            <w:r>
              <w:rPr>
                <w:rFonts w:hint="eastAsia" w:ascii="宋体" w:hAnsi="宋体"/>
                <w:color w:val="000000"/>
                <w:kern w:val="0"/>
                <w:sz w:val="24"/>
                <w:szCs w:val="24"/>
              </w:rPr>
              <w:t>屏上各开关位置显示与运动牵引供电系统一致，可完整、清晰地显示整个牵引供电系统的运行方式和各开关状态。</w:t>
            </w: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3</w:t>
            </w: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sz w:val="24"/>
              </w:rPr>
            </w:pPr>
            <w:r>
              <w:rPr>
                <w:rFonts w:hint="eastAsia" w:ascii="宋体" w:hAnsi="宋体" w:cs="宋体"/>
                <w:color w:val="000000"/>
                <w:sz w:val="24"/>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11</w:t>
            </w:r>
          </w:p>
        </w:tc>
        <w:tc>
          <w:tcPr>
            <w:tcW w:w="1418"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轨道交通牵引供电系统</w:t>
            </w:r>
          </w:p>
        </w:tc>
        <w:tc>
          <w:tcPr>
            <w:tcW w:w="4961"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color w:val="000000"/>
                <w:kern w:val="0"/>
                <w:sz w:val="24"/>
                <w:szCs w:val="24"/>
              </w:rPr>
            </w:pPr>
            <w:r>
              <w:rPr>
                <w:rFonts w:hint="eastAsia" w:ascii="宋体" w:hAnsi="宋体"/>
                <w:color w:val="000000"/>
                <w:kern w:val="0"/>
                <w:sz w:val="24"/>
                <w:szCs w:val="24"/>
              </w:rPr>
              <w:t>1、数量：1套。</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2、参数：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本系统应能通过计算机技术、通信技术、网络技术、控制技术将变电所传统的二次设备（包括测量仪表、信号系统、继电保护、自动装置和远动装置等）经过功能的组合和优化设计，实现对变电所各供电设备进行故障保护、运行控制、状态采集、实时测量、与调度通信的微机化、网络化的智能保护测控系统；具备110KV主变电所、35KV牵引混合所各开关的遥控、遥信和模拟自动倒闸操作功能。</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在主界面中应有“110KV牵引变电所”、“1#35KV牵引混合所”、“ 2#35KV牵引混合所”图标，单击这些图标即可进入相应的控制界面，命令并分发给各个可倒闸开关和相应开关位置指示灯、模拟屏指示灯。按照牵引供电系统及电力系统各断路器、隔离开关及停送电操作顺序规程，建立完善的开关操作闭锁关系，防止误停电、误送电操作。</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通过控制模拟调度屏实现真实供电系统的调度仿真引供电系统模拟沙盘主要实现牵引供电的模拟功能，实现牵引供电的模拟仿真.利用计算机控制软件实现对牵引供电的控制。真实再现牵引供电在不同运行方式和运行状态下控制及操作功能，通过软件界面实现真实供电系统的调度仿真。能模拟牵引供电系统的主要故障。软件系统能提供完善的用户管理、运行日志管理和运行参数管理，可实时上传可倒闸开关的信息到供电控制上位机，接收上位机的远动控制，实现模拟供电信息的上传下达和指示驱动、开关驱动。</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系统软件应具备对操作人员、运行维护人员进行上岗培训功能。使其通过软件培训功能掌握供电系统的运行管理、操作、日常维护、故障排除、故障元件更换等业务技能。</w:t>
            </w: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1</w:t>
            </w: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sz w:val="24"/>
              </w:rPr>
            </w:pPr>
            <w:r>
              <w:rPr>
                <w:rFonts w:hint="eastAsia" w:ascii="宋体" w:hAnsi="宋体" w:cs="宋体"/>
                <w:color w:val="00000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12</w:t>
            </w:r>
          </w:p>
        </w:tc>
        <w:tc>
          <w:tcPr>
            <w:tcW w:w="1418"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color w:val="000000"/>
                <w:kern w:val="0"/>
                <w:sz w:val="24"/>
                <w:szCs w:val="24"/>
              </w:rPr>
            </w:pPr>
            <w:r>
              <w:rPr>
                <w:rFonts w:hint="eastAsia" w:ascii="宋体" w:hAnsi="宋体"/>
                <w:color w:val="000000"/>
                <w:kern w:val="0"/>
                <w:sz w:val="24"/>
                <w:szCs w:val="24"/>
              </w:rPr>
              <w:t>轨道交通基础实验箱（A</w:t>
            </w:r>
            <w:r>
              <w:rPr>
                <w:rFonts w:ascii="宋体" w:hAnsi="宋体"/>
                <w:color w:val="000000"/>
                <w:kern w:val="0"/>
                <w:sz w:val="24"/>
                <w:szCs w:val="24"/>
              </w:rPr>
              <w:t>5</w:t>
            </w:r>
            <w:r>
              <w:rPr>
                <w:rFonts w:hint="eastAsia" w:ascii="宋体" w:hAnsi="宋体"/>
                <w:color w:val="000000"/>
                <w:kern w:val="0"/>
                <w:sz w:val="24"/>
                <w:szCs w:val="24"/>
              </w:rPr>
              <w:t>开发板+仿真器）</w:t>
            </w:r>
          </w:p>
        </w:tc>
        <w:tc>
          <w:tcPr>
            <w:tcW w:w="4961"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color w:val="000000"/>
                <w:kern w:val="0"/>
                <w:sz w:val="24"/>
                <w:szCs w:val="24"/>
              </w:rPr>
            </w:pPr>
            <w:r>
              <w:rPr>
                <w:rFonts w:hint="eastAsia" w:ascii="宋体" w:hAnsi="宋体"/>
                <w:color w:val="000000"/>
                <w:kern w:val="0"/>
                <w:sz w:val="24"/>
                <w:szCs w:val="24"/>
              </w:rPr>
              <w:t>1、数量：20套。</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2、参数：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步进电机驱动模块、蓝牙模块接口、系统电源切换、USB转TTL模块、继电器模块、交通灯模块、红外接受模块等。</w:t>
            </w: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20</w:t>
            </w: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sz w:val="24"/>
              </w:rPr>
            </w:pPr>
            <w:r>
              <w:rPr>
                <w:rFonts w:hint="eastAsia" w:ascii="宋体" w:hAnsi="宋体" w:cs="宋体"/>
                <w:color w:val="00000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13</w:t>
            </w:r>
          </w:p>
        </w:tc>
        <w:tc>
          <w:tcPr>
            <w:tcW w:w="1418"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color w:val="000000"/>
                <w:kern w:val="0"/>
                <w:sz w:val="24"/>
                <w:szCs w:val="24"/>
              </w:rPr>
            </w:pPr>
            <w:r>
              <w:rPr>
                <w:rFonts w:hint="eastAsia" w:ascii="宋体" w:hAnsi="宋体"/>
                <w:color w:val="000000"/>
                <w:kern w:val="0"/>
                <w:sz w:val="24"/>
                <w:szCs w:val="24"/>
              </w:rPr>
              <w:t>真空断路器</w:t>
            </w:r>
          </w:p>
        </w:tc>
        <w:tc>
          <w:tcPr>
            <w:tcW w:w="4961"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color w:val="000000"/>
                <w:kern w:val="0"/>
                <w:sz w:val="24"/>
                <w:szCs w:val="24"/>
              </w:rPr>
            </w:pPr>
            <w:r>
              <w:rPr>
                <w:rFonts w:hint="eastAsia" w:ascii="宋体" w:hAnsi="宋体"/>
                <w:color w:val="000000"/>
                <w:kern w:val="0"/>
                <w:sz w:val="24"/>
                <w:szCs w:val="24"/>
              </w:rPr>
              <w:t>1、数量：1台。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2、参数：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1:1仿真真空断路器制作。</w:t>
            </w: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1</w:t>
            </w: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sz w:val="24"/>
              </w:rPr>
            </w:pPr>
            <w:r>
              <w:rPr>
                <w:rFonts w:hint="eastAsia" w:ascii="宋体" w:hAnsi="宋体" w:cs="宋体"/>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14</w:t>
            </w:r>
          </w:p>
        </w:tc>
        <w:tc>
          <w:tcPr>
            <w:tcW w:w="1418"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color w:val="000000"/>
                <w:kern w:val="0"/>
                <w:sz w:val="24"/>
                <w:szCs w:val="24"/>
              </w:rPr>
            </w:pPr>
            <w:r>
              <w:rPr>
                <w:rFonts w:hint="eastAsia" w:ascii="宋体" w:hAnsi="宋体"/>
                <w:color w:val="000000"/>
                <w:kern w:val="0"/>
                <w:sz w:val="24"/>
                <w:szCs w:val="24"/>
              </w:rPr>
              <w:t>电动隔离开关</w:t>
            </w:r>
          </w:p>
        </w:tc>
        <w:tc>
          <w:tcPr>
            <w:tcW w:w="4961"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color w:val="000000"/>
                <w:kern w:val="0"/>
                <w:sz w:val="24"/>
                <w:szCs w:val="24"/>
              </w:rPr>
            </w:pPr>
            <w:r>
              <w:rPr>
                <w:rFonts w:hint="eastAsia" w:ascii="宋体" w:hAnsi="宋体"/>
                <w:color w:val="000000"/>
                <w:kern w:val="0"/>
                <w:sz w:val="24"/>
                <w:szCs w:val="24"/>
              </w:rPr>
              <w:t>1、数量：1台。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2、参数：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1:1仿真隔离开关制作。</w:t>
            </w: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rPr>
              <w:t>1</w:t>
            </w: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color w:val="000000"/>
                <w:sz w:val="24"/>
              </w:rPr>
            </w:pPr>
            <w:r>
              <w:rPr>
                <w:rFonts w:hint="eastAsia" w:ascii="宋体" w:hAnsi="宋体" w:cs="宋体"/>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15</w:t>
            </w: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rPr>
            </w:pPr>
            <w:r>
              <w:rPr>
                <w:rFonts w:hint="eastAsia" w:ascii="宋体" w:hAnsi="宋体" w:cs="宋体"/>
                <w:sz w:val="24"/>
              </w:rPr>
              <w:t>牵引变电所结构柜</w:t>
            </w:r>
          </w:p>
        </w:tc>
        <w:tc>
          <w:tcPr>
            <w:tcW w:w="4961"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color w:val="000000"/>
                <w:kern w:val="0"/>
                <w:sz w:val="24"/>
                <w:szCs w:val="24"/>
              </w:rPr>
            </w:pPr>
            <w:r>
              <w:rPr>
                <w:rFonts w:hint="eastAsia" w:ascii="宋体" w:hAnsi="宋体"/>
                <w:color w:val="000000"/>
                <w:kern w:val="0"/>
                <w:sz w:val="24"/>
                <w:szCs w:val="24"/>
              </w:rPr>
              <w:t>1、数量：1套。</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2、参数：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按1:20比例制作，尺寸为2*1m左右，仿真实际牵引变电所结构，展现牵引变电所接线方式。</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台面和台体采用不锈钢等优质材质包边。并采用白色哑光烤漆，其中三面设有柜门，用于存放物品。</w:t>
            </w: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rPr>
            </w:pPr>
            <w:r>
              <w:rPr>
                <w:rFonts w:hint="eastAsia" w:ascii="宋体" w:hAnsi="宋体" w:cs="宋体"/>
                <w:sz w:val="24"/>
              </w:rPr>
              <w:t>1</w:t>
            </w: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rPr>
            </w:pPr>
            <w:r>
              <w:rPr>
                <w:rFonts w:hint="eastAsia" w:ascii="宋体" w:hAnsi="宋体" w:cs="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16</w:t>
            </w:r>
          </w:p>
        </w:tc>
        <w:tc>
          <w:tcPr>
            <w:tcW w:w="141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rPr>
            </w:pPr>
            <w:r>
              <w:rPr>
                <w:rFonts w:hint="eastAsia" w:ascii="宋体" w:hAnsi="宋体" w:cs="宋体"/>
                <w:sz w:val="24"/>
              </w:rPr>
              <w:t>牵引混合所结构柜</w:t>
            </w:r>
          </w:p>
        </w:tc>
        <w:tc>
          <w:tcPr>
            <w:tcW w:w="4961"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color w:val="000000"/>
                <w:kern w:val="0"/>
                <w:sz w:val="24"/>
                <w:szCs w:val="24"/>
              </w:rPr>
            </w:pPr>
            <w:r>
              <w:rPr>
                <w:rFonts w:hint="eastAsia" w:ascii="宋体" w:hAnsi="宋体"/>
                <w:color w:val="000000"/>
                <w:kern w:val="0"/>
                <w:sz w:val="24"/>
                <w:szCs w:val="24"/>
              </w:rPr>
              <w:t>1、数量：1套。</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2、参数：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按1:20比例制作，尺寸为2*1m左右，仿真实际牵引混合所结构，展现牵引混合所接线方式。</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台面和台体采用不锈钢等优质材质包边。并采用白色哑光烤漆，其中三面设有柜门，用于存放物品。</w:t>
            </w:r>
          </w:p>
        </w:tc>
        <w:tc>
          <w:tcPr>
            <w:tcW w:w="70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rPr>
            </w:pPr>
            <w:r>
              <w:rPr>
                <w:rFonts w:hint="eastAsia" w:ascii="宋体" w:hAnsi="宋体" w:cs="宋体"/>
                <w:sz w:val="24"/>
              </w:rPr>
              <w:t>1</w:t>
            </w:r>
          </w:p>
        </w:tc>
        <w:tc>
          <w:tcPr>
            <w:tcW w:w="7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rPr>
            </w:pPr>
            <w:r>
              <w:rPr>
                <w:rFonts w:hint="eastAsia" w:ascii="宋体" w:hAnsi="宋体" w:cs="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1</w:t>
            </w:r>
            <w:r>
              <w:rPr>
                <w:rFonts w:ascii="宋体" w:hAnsi="宋体"/>
                <w:kern w:val="0"/>
                <w:sz w:val="24"/>
                <w:szCs w:val="24"/>
              </w:rPr>
              <w:t>7</w:t>
            </w:r>
          </w:p>
        </w:tc>
        <w:tc>
          <w:tcPr>
            <w:tcW w:w="1418" w:type="dxa"/>
            <w:tcBorders>
              <w:top w:val="single" w:color="auto" w:sz="4" w:space="0"/>
              <w:left w:val="single" w:color="auto" w:sz="4" w:space="0"/>
              <w:bottom w:val="single" w:color="auto" w:sz="4" w:space="0"/>
              <w:right w:val="single" w:color="auto" w:sz="4" w:space="0"/>
            </w:tcBorders>
          </w:tcPr>
          <w:p>
            <w:pPr>
              <w:pStyle w:val="48"/>
              <w:widowControl/>
              <w:spacing w:line="360" w:lineRule="auto"/>
              <w:rPr>
                <w:rFonts w:ascii="宋体" w:hAnsi="宋体" w:cs="宋体"/>
                <w:color w:val="000000"/>
                <w:kern w:val="0"/>
                <w:sz w:val="24"/>
                <w:szCs w:val="24"/>
              </w:rPr>
            </w:pPr>
            <w:r>
              <w:rPr>
                <w:rFonts w:hint="eastAsia" w:ascii="宋体" w:hAnsi="宋体" w:cs="宋体"/>
                <w:sz w:val="24"/>
              </w:rPr>
              <w:t>逻辑驱采接口控制箱</w:t>
            </w:r>
          </w:p>
        </w:tc>
        <w:tc>
          <w:tcPr>
            <w:tcW w:w="4961"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color w:val="000000"/>
                <w:kern w:val="0"/>
                <w:sz w:val="24"/>
                <w:szCs w:val="24"/>
              </w:rPr>
            </w:pPr>
            <w:r>
              <w:rPr>
                <w:rFonts w:hint="eastAsia" w:ascii="宋体" w:hAnsi="宋体"/>
                <w:color w:val="000000"/>
                <w:kern w:val="0"/>
                <w:sz w:val="24"/>
                <w:szCs w:val="24"/>
              </w:rPr>
              <w:t>1、</w:t>
            </w:r>
            <w:r>
              <w:rPr>
                <w:rFonts w:hint="eastAsia" w:ascii="宋体" w:hAnsi="宋体"/>
                <w:color w:val="000000"/>
                <w:kern w:val="0"/>
                <w:sz w:val="24"/>
                <w:szCs w:val="24"/>
              </w:rPr>
              <w:tab/>
            </w:r>
            <w:r>
              <w:rPr>
                <w:rFonts w:hint="eastAsia" w:ascii="宋体" w:hAnsi="宋体"/>
                <w:color w:val="000000"/>
                <w:kern w:val="0"/>
                <w:sz w:val="24"/>
                <w:szCs w:val="24"/>
              </w:rPr>
              <w:t>定制</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2、</w:t>
            </w:r>
            <w:r>
              <w:rPr>
                <w:rFonts w:hint="eastAsia" w:ascii="宋体" w:hAnsi="宋体"/>
                <w:color w:val="000000"/>
                <w:kern w:val="0"/>
                <w:sz w:val="24"/>
                <w:szCs w:val="24"/>
              </w:rPr>
              <w:tab/>
            </w:r>
            <w:r>
              <w:rPr>
                <w:rFonts w:hint="eastAsia" w:ascii="宋体" w:hAnsi="宋体"/>
                <w:color w:val="000000"/>
                <w:kern w:val="0"/>
                <w:sz w:val="24"/>
                <w:szCs w:val="24"/>
              </w:rPr>
              <w:t>数量：2套</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实现信号设备的正常驱动和状态采集，并可学校现有信号设备进行联动控制，满足逻辑控制教学需求</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3、</w:t>
            </w:r>
            <w:r>
              <w:rPr>
                <w:rFonts w:hint="eastAsia" w:ascii="宋体" w:hAnsi="宋体"/>
                <w:color w:val="000000"/>
                <w:kern w:val="0"/>
                <w:sz w:val="24"/>
                <w:szCs w:val="24"/>
              </w:rPr>
              <w:tab/>
            </w:r>
            <w:r>
              <w:rPr>
                <w:rFonts w:hint="eastAsia" w:ascii="宋体" w:hAnsi="宋体"/>
                <w:color w:val="000000"/>
                <w:kern w:val="0"/>
                <w:sz w:val="24"/>
                <w:szCs w:val="24"/>
              </w:rPr>
              <w:t>满足现有信号设备接口连接，并提供RS485接口，可供再次编程；</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4、</w:t>
            </w:r>
            <w:r>
              <w:rPr>
                <w:rFonts w:hint="eastAsia" w:ascii="宋体" w:hAnsi="宋体"/>
                <w:color w:val="000000"/>
                <w:kern w:val="0"/>
                <w:sz w:val="24"/>
                <w:szCs w:val="24"/>
              </w:rPr>
              <w:tab/>
            </w:r>
            <w:r>
              <w:rPr>
                <w:rFonts w:hint="eastAsia" w:ascii="宋体" w:hAnsi="宋体"/>
                <w:color w:val="000000"/>
                <w:kern w:val="0"/>
                <w:sz w:val="24"/>
                <w:szCs w:val="24"/>
              </w:rPr>
              <w:t>开放设备接口协议，可供二次开发，满足自我设计需求</w:t>
            </w:r>
          </w:p>
        </w:tc>
        <w:tc>
          <w:tcPr>
            <w:tcW w:w="709" w:type="dxa"/>
            <w:tcBorders>
              <w:top w:val="single" w:color="auto" w:sz="4" w:space="0"/>
              <w:left w:val="single" w:color="auto" w:sz="4" w:space="0"/>
              <w:bottom w:val="single" w:color="auto" w:sz="4" w:space="0"/>
              <w:right w:val="single" w:color="auto" w:sz="4" w:space="0"/>
            </w:tcBorders>
          </w:tcPr>
          <w:p>
            <w:pPr>
              <w:pStyle w:val="48"/>
              <w:widowControl/>
              <w:spacing w:line="360" w:lineRule="auto"/>
              <w:rPr>
                <w:rFonts w:ascii="宋体" w:hAnsi="宋体" w:cs="宋体"/>
                <w:color w:val="000000"/>
                <w:kern w:val="0"/>
                <w:sz w:val="24"/>
                <w:szCs w:val="24"/>
              </w:rPr>
            </w:pPr>
            <w:r>
              <w:rPr>
                <w:rFonts w:hint="eastAsia" w:ascii="宋体" w:hAnsi="宋体" w:cs="宋体"/>
                <w:sz w:val="24"/>
              </w:rPr>
              <w:t>2</w:t>
            </w:r>
          </w:p>
        </w:tc>
        <w:tc>
          <w:tcPr>
            <w:tcW w:w="708" w:type="dxa"/>
            <w:tcBorders>
              <w:top w:val="single" w:color="auto" w:sz="4" w:space="0"/>
              <w:left w:val="single" w:color="auto" w:sz="4" w:space="0"/>
              <w:bottom w:val="single" w:color="auto" w:sz="4" w:space="0"/>
              <w:right w:val="single" w:color="auto" w:sz="4" w:space="0"/>
            </w:tcBorders>
          </w:tcPr>
          <w:p>
            <w:pPr>
              <w:pStyle w:val="48"/>
              <w:widowControl/>
              <w:spacing w:line="360" w:lineRule="auto"/>
              <w:rPr>
                <w:rFonts w:ascii="宋体" w:hAnsi="宋体" w:cs="宋体"/>
                <w:color w:val="000000"/>
                <w:kern w:val="0"/>
                <w:sz w:val="24"/>
                <w:szCs w:val="24"/>
              </w:rPr>
            </w:pPr>
            <w:r>
              <w:rPr>
                <w:rFonts w:hint="eastAsia" w:ascii="宋体" w:hAnsi="宋体" w:cs="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1</w:t>
            </w:r>
            <w:r>
              <w:rPr>
                <w:rFonts w:ascii="宋体" w:hAnsi="宋体"/>
                <w:kern w:val="0"/>
                <w:sz w:val="24"/>
                <w:szCs w:val="24"/>
              </w:rPr>
              <w:t>8</w:t>
            </w:r>
          </w:p>
        </w:tc>
        <w:tc>
          <w:tcPr>
            <w:tcW w:w="1418" w:type="dxa"/>
            <w:tcBorders>
              <w:top w:val="single" w:color="auto" w:sz="4" w:space="0"/>
              <w:left w:val="single" w:color="auto" w:sz="4" w:space="0"/>
              <w:bottom w:val="single" w:color="auto" w:sz="4" w:space="0"/>
              <w:right w:val="single" w:color="auto" w:sz="4" w:space="0"/>
            </w:tcBorders>
          </w:tcPr>
          <w:p>
            <w:pPr>
              <w:pStyle w:val="48"/>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牵引供电虚拟实训系统</w:t>
            </w:r>
          </w:p>
        </w:tc>
        <w:tc>
          <w:tcPr>
            <w:tcW w:w="4961"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color w:val="000000"/>
                <w:kern w:val="0"/>
                <w:sz w:val="24"/>
                <w:szCs w:val="24"/>
              </w:rPr>
            </w:pPr>
            <w:r>
              <w:rPr>
                <w:rFonts w:hint="eastAsia" w:ascii="宋体" w:hAnsi="宋体"/>
                <w:color w:val="000000"/>
                <w:kern w:val="0"/>
                <w:sz w:val="24"/>
                <w:szCs w:val="24"/>
              </w:rPr>
              <w:t>1、数量：1台。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2、参数：</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系统应由电力调度系统、变电所综合自动化系统、通信通道三部分组成。电力调度系统设置在调度中心，主要由硬件平台、系统软件、数据库系统、信息收集系统等部分组成；变电所综合自动化系统具有一次设备监控、运行数据采集、时间顺序记录等功能，同时还承担着整个变电所信息处理、调度通信、中央信号、保护自动化等功能；通信通道是指变电所与调度中心电力调度系统的前置机之间进行数据交换的通信链路。</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本系统应包括供电系统理论基础知识（含设备功能介绍、操作解析、工作技能培训）、理论知识考试模拟系统、教员管理系统三个模块。每个系统模块是主系统的一个组成部分，可进入子模块，进行教学使用，每个系统模块内容要求如下。</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（1）理论基础知识</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系统能根据牵引供电系统配置进行规划和设计，根据培训要求，完成开发供电系统设备仿真培训系统。系统利用三维动画及多媒体技术，通过基础知识与工作技能培训相结合的方式，以精细完整的教学流程，提高受训人员专业技术知识和技能水平。</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（2）理论知识考试模块</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考试模拟系统应该是一套作业练习的网络软件，系统采用B/S架构，基于微软.NET平台，能适用于局域网，无需安装客户端即可实现网上考试和作业练习。学生在接受由教师端选题组卷后，生成考试试卷，教师发送考试试卷至学员端，学员必须在指定时间内进行考试，并提交考卷，完成考试。</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（3）教员管理系统模块</w:t>
            </w:r>
          </w:p>
          <w:p>
            <w:pPr>
              <w:pStyle w:val="48"/>
              <w:spacing w:line="360" w:lineRule="auto"/>
              <w:rPr>
                <w:rFonts w:ascii="宋体" w:hAnsi="宋体"/>
                <w:color w:val="000000"/>
                <w:kern w:val="0"/>
                <w:sz w:val="24"/>
                <w:szCs w:val="24"/>
              </w:rPr>
            </w:pPr>
            <w:r>
              <w:rPr>
                <w:rFonts w:hint="eastAsia" w:ascii="宋体" w:hAnsi="宋体"/>
                <w:color w:val="000000"/>
                <w:kern w:val="0"/>
                <w:sz w:val="24"/>
                <w:szCs w:val="24"/>
              </w:rPr>
              <w:t>本系统应有教师端模块，主要功能为编辑班级、试卷和考试试题；教师可根据具体情况编辑不同需求的内容，教员端应含试题管理、试卷管理和用户管理三个模块。</w:t>
            </w:r>
          </w:p>
        </w:tc>
        <w:tc>
          <w:tcPr>
            <w:tcW w:w="709" w:type="dxa"/>
            <w:tcBorders>
              <w:top w:val="single" w:color="auto" w:sz="4" w:space="0"/>
              <w:left w:val="single" w:color="auto" w:sz="4" w:space="0"/>
              <w:bottom w:val="single" w:color="auto" w:sz="4" w:space="0"/>
              <w:right w:val="single" w:color="auto" w:sz="4" w:space="0"/>
            </w:tcBorders>
          </w:tcPr>
          <w:p>
            <w:pPr>
              <w:pStyle w:val="48"/>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1</w:t>
            </w:r>
          </w:p>
        </w:tc>
        <w:tc>
          <w:tcPr>
            <w:tcW w:w="708" w:type="dxa"/>
            <w:tcBorders>
              <w:top w:val="single" w:color="auto" w:sz="4" w:space="0"/>
              <w:left w:val="single" w:color="auto" w:sz="4" w:space="0"/>
              <w:bottom w:val="single" w:color="auto" w:sz="4" w:space="0"/>
              <w:right w:val="single" w:color="auto" w:sz="4" w:space="0"/>
            </w:tcBorders>
          </w:tcPr>
          <w:p>
            <w:pPr>
              <w:pStyle w:val="48"/>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4"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kern w:val="0"/>
                <w:sz w:val="24"/>
                <w:szCs w:val="24"/>
              </w:rPr>
            </w:pPr>
            <w:r>
              <w:rPr>
                <w:rFonts w:hint="eastAsia" w:ascii="宋体" w:hAnsi="宋体"/>
                <w:kern w:val="0"/>
                <w:sz w:val="24"/>
                <w:szCs w:val="24"/>
              </w:rPr>
              <w:t>1</w:t>
            </w:r>
            <w:r>
              <w:rPr>
                <w:rFonts w:ascii="宋体" w:hAnsi="宋体"/>
                <w:kern w:val="0"/>
                <w:sz w:val="24"/>
                <w:szCs w:val="24"/>
              </w:rPr>
              <w:t>9</w:t>
            </w:r>
          </w:p>
        </w:tc>
        <w:tc>
          <w:tcPr>
            <w:tcW w:w="1418" w:type="dxa"/>
            <w:tcBorders>
              <w:top w:val="single" w:color="auto" w:sz="4" w:space="0"/>
              <w:left w:val="single" w:color="auto" w:sz="4" w:space="0"/>
              <w:bottom w:val="single" w:color="auto" w:sz="4" w:space="0"/>
              <w:right w:val="single" w:color="auto" w:sz="4" w:space="0"/>
            </w:tcBorders>
          </w:tcPr>
          <w:p>
            <w:pPr>
              <w:pStyle w:val="48"/>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安装、调试和布置</w:t>
            </w:r>
          </w:p>
        </w:tc>
        <w:tc>
          <w:tcPr>
            <w:tcW w:w="4961" w:type="dxa"/>
            <w:tcBorders>
              <w:top w:val="single" w:color="auto" w:sz="4" w:space="0"/>
              <w:left w:val="single" w:color="auto" w:sz="4" w:space="0"/>
              <w:bottom w:val="single" w:color="auto" w:sz="4" w:space="0"/>
              <w:right w:val="single" w:color="auto" w:sz="4" w:space="0"/>
            </w:tcBorders>
          </w:tcPr>
          <w:p>
            <w:pPr>
              <w:pStyle w:val="48"/>
              <w:spacing w:line="360" w:lineRule="auto"/>
              <w:rPr>
                <w:rFonts w:ascii="宋体" w:hAnsi="宋体"/>
                <w:color w:val="000000"/>
                <w:kern w:val="0"/>
                <w:sz w:val="24"/>
                <w:szCs w:val="24"/>
              </w:rPr>
            </w:pPr>
            <w:r>
              <w:rPr>
                <w:rFonts w:hint="eastAsia" w:ascii="宋体" w:hAnsi="宋体"/>
                <w:color w:val="000000"/>
                <w:kern w:val="0"/>
                <w:sz w:val="24"/>
                <w:szCs w:val="24"/>
              </w:rPr>
              <w:t>投标方应提供效果布置图（按宽8米，长1</w:t>
            </w:r>
            <w:r>
              <w:rPr>
                <w:rFonts w:ascii="宋体" w:hAnsi="宋体"/>
                <w:color w:val="000000"/>
                <w:kern w:val="0"/>
                <w:sz w:val="24"/>
                <w:szCs w:val="24"/>
              </w:rPr>
              <w:t>0</w:t>
            </w:r>
            <w:r>
              <w:rPr>
                <w:rFonts w:hint="eastAsia" w:ascii="宋体" w:hAnsi="宋体"/>
                <w:color w:val="000000"/>
                <w:kern w:val="0"/>
                <w:sz w:val="24"/>
                <w:szCs w:val="24"/>
              </w:rPr>
              <w:t>米的空间设计）；安装、调试到位</w:t>
            </w:r>
          </w:p>
        </w:tc>
        <w:tc>
          <w:tcPr>
            <w:tcW w:w="709" w:type="dxa"/>
            <w:tcBorders>
              <w:top w:val="single" w:color="auto" w:sz="4" w:space="0"/>
              <w:left w:val="single" w:color="auto" w:sz="4" w:space="0"/>
              <w:bottom w:val="single" w:color="auto" w:sz="4" w:space="0"/>
              <w:right w:val="single" w:color="auto" w:sz="4" w:space="0"/>
            </w:tcBorders>
          </w:tcPr>
          <w:p>
            <w:pPr>
              <w:pStyle w:val="48"/>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1</w:t>
            </w:r>
          </w:p>
        </w:tc>
        <w:tc>
          <w:tcPr>
            <w:tcW w:w="708" w:type="dxa"/>
            <w:tcBorders>
              <w:top w:val="single" w:color="auto" w:sz="4" w:space="0"/>
              <w:left w:val="single" w:color="auto" w:sz="4" w:space="0"/>
              <w:bottom w:val="single" w:color="auto" w:sz="4" w:space="0"/>
              <w:right w:val="single" w:color="auto" w:sz="4" w:space="0"/>
            </w:tcBorders>
          </w:tcPr>
          <w:p>
            <w:pPr>
              <w:pStyle w:val="48"/>
              <w:widowControl/>
              <w:spacing w:line="360" w:lineRule="auto"/>
              <w:rPr>
                <w:rFonts w:ascii="宋体" w:hAnsi="宋体" w:cs="宋体"/>
                <w:color w:val="000000"/>
                <w:kern w:val="0"/>
                <w:sz w:val="24"/>
                <w:szCs w:val="24"/>
              </w:rPr>
            </w:pPr>
            <w:r>
              <w:rPr>
                <w:rFonts w:hint="eastAsia" w:ascii="宋体" w:hAnsi="宋体" w:cs="宋体"/>
                <w:color w:val="000000"/>
                <w:kern w:val="0"/>
                <w:sz w:val="24"/>
                <w:szCs w:val="24"/>
              </w:rPr>
              <w:t>套</w:t>
            </w:r>
          </w:p>
        </w:tc>
      </w:tr>
    </w:tbl>
    <w:p>
      <w:pPr>
        <w:widowControl/>
        <w:jc w:val="left"/>
      </w:pPr>
    </w:p>
    <w:p/>
    <w:p>
      <w:pPr>
        <w:widowControl/>
        <w:jc w:val="left"/>
        <w:rPr>
          <w:rFonts w:hAnsi="宋体"/>
          <w:b/>
          <w:sz w:val="36"/>
          <w:szCs w:val="36"/>
        </w:rPr>
      </w:pPr>
      <w:bookmarkStart w:id="7" w:name="_Toc462564147"/>
      <w:r>
        <w:rPr>
          <w:rFonts w:hAnsi="宋体"/>
          <w:b/>
          <w:sz w:val="28"/>
          <w:szCs w:val="28"/>
        </w:rPr>
        <w:br w:type="page"/>
      </w:r>
      <w:r>
        <w:rPr>
          <w:rFonts w:hint="eastAsia" w:hAnsi="宋体"/>
          <w:b/>
          <w:sz w:val="28"/>
          <w:szCs w:val="28"/>
        </w:rPr>
        <w:t>附件</w:t>
      </w:r>
      <w:r>
        <w:rPr>
          <w:rFonts w:hAnsi="宋体"/>
          <w:b/>
          <w:sz w:val="28"/>
          <w:szCs w:val="28"/>
        </w:rPr>
        <w:t>2</w:t>
      </w:r>
      <w:r>
        <w:rPr>
          <w:rFonts w:hint="eastAsia" w:hAnsi="宋体"/>
          <w:b/>
          <w:sz w:val="28"/>
          <w:szCs w:val="28"/>
        </w:rPr>
        <w:t>：</w:t>
      </w:r>
    </w:p>
    <w:p>
      <w:pPr>
        <w:tabs>
          <w:tab w:val="left" w:pos="3270"/>
        </w:tabs>
        <w:autoSpaceDE w:val="0"/>
        <w:autoSpaceDN w:val="0"/>
        <w:adjustRightInd w:val="0"/>
        <w:spacing w:line="360" w:lineRule="exact"/>
        <w:rPr>
          <w:rFonts w:ascii="宋体" w:hAnsi="宋体"/>
          <w:b/>
          <w:sz w:val="24"/>
          <w:lang w:val="zh-CN"/>
        </w:rPr>
      </w:pPr>
      <w:bookmarkStart w:id="8" w:name="_Hlk9862420"/>
    </w:p>
    <w:p>
      <w:pPr>
        <w:autoSpaceDE w:val="0"/>
        <w:autoSpaceDN w:val="0"/>
        <w:adjustRightInd w:val="0"/>
        <w:spacing w:line="360" w:lineRule="exact"/>
        <w:ind w:firstLine="723" w:firstLineChars="200"/>
        <w:jc w:val="center"/>
        <w:rPr>
          <w:rFonts w:ascii="宋体" w:hAnsi="宋体"/>
          <w:b/>
          <w:sz w:val="36"/>
          <w:szCs w:val="36"/>
          <w:lang w:val="zh-CN"/>
        </w:rPr>
      </w:pPr>
      <w:r>
        <w:rPr>
          <w:rFonts w:hint="eastAsia" w:ascii="宋体" w:hAnsi="宋体"/>
          <w:b/>
          <w:sz w:val="36"/>
          <w:szCs w:val="36"/>
          <w:lang w:val="zh-CN"/>
        </w:rPr>
        <w:t>投标函</w:t>
      </w:r>
    </w:p>
    <w:p>
      <w:pPr>
        <w:autoSpaceDE w:val="0"/>
        <w:autoSpaceDN w:val="0"/>
        <w:adjustRightInd w:val="0"/>
        <w:spacing w:line="30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根据贵方</w:t>
      </w:r>
      <w:r>
        <w:rPr>
          <w:rFonts w:hint="eastAsia" w:ascii="宋体" w:hAnsi="宋体"/>
          <w:sz w:val="24"/>
          <w:u w:val="single"/>
          <w:lang w:val="zh-CN"/>
        </w:rPr>
        <w:t xml:space="preserve">                   </w:t>
      </w:r>
      <w:r>
        <w:rPr>
          <w:rFonts w:hint="eastAsia" w:ascii="宋体" w:hAnsi="宋体"/>
          <w:sz w:val="24"/>
          <w:lang w:val="zh-CN"/>
        </w:rPr>
        <w:t>（项目名称）</w:t>
      </w:r>
      <w:r>
        <w:rPr>
          <w:rFonts w:hint="eastAsia" w:ascii="宋体" w:hAnsi="宋体"/>
          <w:b/>
          <w:sz w:val="24"/>
          <w:u w:val="single"/>
          <w:lang w:val="zh-CN"/>
        </w:rPr>
        <w:t xml:space="preserve">        </w:t>
      </w:r>
      <w:r>
        <w:rPr>
          <w:rFonts w:hint="eastAsia" w:ascii="宋体" w:hAnsi="宋体"/>
          <w:sz w:val="24"/>
          <w:lang w:val="zh-CN"/>
        </w:rPr>
        <w:t>（项目编号）投标邀请，正式授权下述签字人</w:t>
      </w:r>
      <w:r>
        <w:rPr>
          <w:rFonts w:hint="eastAsia" w:ascii="宋体" w:hAnsi="宋体"/>
          <w:sz w:val="24"/>
          <w:u w:val="single"/>
          <w:lang w:val="zh-CN"/>
        </w:rPr>
        <w:t xml:space="preserve">        </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 xml:space="preserve">代表投标人 </w:t>
      </w:r>
      <w:r>
        <w:rPr>
          <w:rFonts w:hint="eastAsia" w:ascii="宋体" w:hAnsi="宋体"/>
          <w:sz w:val="24"/>
          <w:u w:val="single"/>
          <w:lang w:val="zh-CN"/>
        </w:rPr>
        <w:t xml:space="preserve">        </w:t>
      </w:r>
      <w:r>
        <w:rPr>
          <w:rFonts w:hint="eastAsia" w:ascii="宋体" w:hAnsi="宋体"/>
          <w:sz w:val="24"/>
          <w:lang w:val="zh-CN"/>
        </w:rPr>
        <w:t>（投标人名称），提交投标文件。</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00" w:lineRule="auto"/>
        <w:ind w:firstLine="480" w:firstLineChars="200"/>
        <w:rPr>
          <w:rFonts w:ascii="宋体" w:hAnsi="宋体"/>
          <w:sz w:val="22"/>
          <w:szCs w:val="22"/>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我们的资格条件完全符合政府采购法和本次招标要求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300" w:lineRule="auto"/>
        <w:ind w:firstLine="440" w:firstLineChars="200"/>
        <w:rPr>
          <w:rFonts w:ascii="宋体" w:hAnsi="宋体"/>
          <w:sz w:val="24"/>
          <w:lang w:val="zh-CN"/>
        </w:rPr>
      </w:pPr>
      <w:r>
        <w:rPr>
          <w:rFonts w:ascii="宋体" w:hAnsi="宋体"/>
          <w:sz w:val="22"/>
          <w:szCs w:val="22"/>
        </w:rPr>
        <w:t>2</w:t>
      </w:r>
      <w:r>
        <w:rPr>
          <w:rFonts w:hint="eastAsia" w:ascii="宋体" w:hAnsi="宋体"/>
          <w:sz w:val="22"/>
          <w:szCs w:val="22"/>
        </w:rPr>
        <w:t>、</w:t>
      </w:r>
      <w:r>
        <w:rPr>
          <w:rFonts w:hint="eastAsia" w:ascii="宋体" w:hAnsi="宋体"/>
          <w:sz w:val="22"/>
          <w:szCs w:val="22"/>
          <w:lang w:val="zh-CN"/>
        </w:rPr>
        <w:t>按招标要求，我们的投标总报价为人民币</w:t>
      </w:r>
      <w:r>
        <w:rPr>
          <w:rFonts w:hint="eastAsia" w:ascii="宋体" w:hAnsi="宋体"/>
          <w:sz w:val="24"/>
          <w:lang w:val="zh-CN"/>
        </w:rPr>
        <w:t>大写</w:t>
      </w:r>
      <w:r>
        <w:rPr>
          <w:rFonts w:hint="eastAsia" w:ascii="宋体" w:hAnsi="宋体"/>
          <w:sz w:val="24"/>
          <w:u w:val="single"/>
          <w:lang w:val="zh-CN"/>
        </w:rPr>
        <w:t xml:space="preserve">                        ，</w:t>
      </w:r>
      <w:r>
        <w:rPr>
          <w:rFonts w:hint="eastAsia" w:ascii="宋体" w:hAnsi="宋体"/>
          <w:sz w:val="24"/>
          <w:lang w:val="zh-CN"/>
        </w:rPr>
        <w:t>小写：</w:t>
      </w:r>
      <w:r>
        <w:rPr>
          <w:rFonts w:hint="eastAsia" w:ascii="宋体" w:hAnsi="宋体"/>
          <w:sz w:val="24"/>
          <w:u w:val="single"/>
          <w:lang w:val="zh-CN"/>
        </w:rPr>
        <w:t>￥         。</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3、项目负责人</w:t>
      </w:r>
      <w:r>
        <w:rPr>
          <w:rFonts w:hint="eastAsia" w:ascii="宋体" w:hAnsi="宋体"/>
          <w:sz w:val="24"/>
          <w:u w:val="single"/>
          <w:lang w:val="zh-CN"/>
        </w:rPr>
        <w:t xml:space="preserve">         </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r>
        <w:rPr>
          <w:rFonts w:hint="eastAsia" w:ascii="宋体" w:hAnsi="宋体"/>
          <w:sz w:val="24"/>
          <w:u w:val="single"/>
          <w:lang w:val="zh-CN"/>
        </w:rPr>
        <w:t xml:space="preserve">         </w:t>
      </w:r>
      <w:r>
        <w:rPr>
          <w:rFonts w:hint="eastAsia" w:ascii="宋体" w:hAnsi="宋体"/>
          <w:sz w:val="24"/>
          <w:lang w:val="zh-CN"/>
        </w:rPr>
        <w:t>。</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集成、调试等服务，交付采购人验收、使用。</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日期：     年   月    日</w:t>
      </w:r>
    </w:p>
    <w:p>
      <w:pPr>
        <w:spacing w:line="360" w:lineRule="auto"/>
        <w:rPr>
          <w:b/>
          <w:sz w:val="28"/>
          <w:szCs w:val="28"/>
        </w:rPr>
      </w:pPr>
      <w:r>
        <w:rPr>
          <w:rFonts w:ascii="宋体" w:hAnsi="宋体"/>
          <w:b/>
          <w:sz w:val="28"/>
          <w:szCs w:val="28"/>
        </w:rPr>
        <w:br w:type="page"/>
      </w:r>
      <w:r>
        <w:rPr>
          <w:rFonts w:hint="eastAsia" w:ascii="宋体" w:hAnsi="宋体"/>
          <w:b/>
          <w:sz w:val="28"/>
          <w:szCs w:val="28"/>
        </w:rPr>
        <w:t>附件</w:t>
      </w:r>
      <w:r>
        <w:rPr>
          <w:rFonts w:ascii="宋体" w:hAnsi="宋体"/>
          <w:b/>
          <w:sz w:val="28"/>
          <w:szCs w:val="28"/>
        </w:rPr>
        <w:t>3</w:t>
      </w:r>
      <w:r>
        <w:rPr>
          <w:rFonts w:hint="eastAsia" w:ascii="宋体" w:hAnsi="宋体"/>
          <w:b/>
          <w:sz w:val="28"/>
          <w:szCs w:val="28"/>
        </w:rPr>
        <w:t>：</w:t>
      </w:r>
      <w:r>
        <w:rPr>
          <w:rFonts w:hint="eastAsia"/>
          <w:b/>
          <w:sz w:val="28"/>
          <w:szCs w:val="28"/>
        </w:rPr>
        <w:t>服务要求</w:t>
      </w:r>
    </w:p>
    <w:bookmarkEnd w:id="7"/>
    <w:bookmarkEnd w:id="8"/>
    <w:p>
      <w:pPr>
        <w:adjustRightInd w:val="0"/>
        <w:snapToGrid w:val="0"/>
        <w:spacing w:beforeLines="5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（一）投标人须提供优质的培训服务，制定相应的培训计划和培训方案，对系统应用人员进行系统的培训，帮助学校顺利实施该项目，使校方人员熟悉运用，提高业务能力和专业技术水平。</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（二）产品要求：</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2.1 中标方应按采购文件规定的货物性能、技术要求、质量标准向采购方提供未经使用的全新产品。</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2.2 采购方提供的货物在质量期内因货物本身的质量问题发生故障，招标方应负责免费更换。对达不到技术要求者，根据实际情况，经双方协商，可按以下办法处理：</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（1）更换：由中标方承担所发生的全部费用。</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（2）贬值处理：由双方合议定价。</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（3）退货处理：中标方应退还采购方支付的合同款，同时应承担该货物的直接费用（运输、保险、检验、货款利息及银行手续费等）。</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2.3 如在使用过程中发生质量问题，中标方在接到甲方通知后在2小时内到达采购方现场。</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2.4 在质保期内，中标方应对货物出现的质量及安全问题负责处理解决并承担一切费用。</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2.5上述的货物免费保修期为2年，因人为因素出现的故障不在免费保修范围内。超过保修期的机器设备，终生维修，维修时只收部件成本费。</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（三）其他要求：</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新设备的采购、安装调试、人员培训、后续维修服务等全部由中标人完成，投标人投标报价包括项目所有设备（材料）的采购、运输、施工、安装调试、人员培训至验收合格的一切费用。</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（四）有关说明：</w:t>
      </w:r>
    </w:p>
    <w:p>
      <w:pPr>
        <w:tabs>
          <w:tab w:val="left" w:pos="945"/>
        </w:tabs>
        <w:adjustRightInd w:val="0"/>
        <w:snapToGrid w:val="0"/>
        <w:spacing w:line="360" w:lineRule="auto"/>
        <w:ind w:firstLine="484" w:firstLineChars="202"/>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1.投标总报价包括满足本项目要求的所有产品及其配件、包装、运杂、安装调试及售后服务等从项目中标起到项目正式交付以及质保期内所发生的一切费用。</w:t>
      </w:r>
    </w:p>
    <w:p>
      <w:pPr>
        <w:tabs>
          <w:tab w:val="left" w:pos="525"/>
          <w:tab w:val="left" w:pos="945"/>
        </w:tabs>
        <w:adjustRightInd w:val="0"/>
        <w:snapToGrid w:val="0"/>
        <w:spacing w:line="360" w:lineRule="auto"/>
        <w:ind w:left="525"/>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2.完工期：供方于合同生效之日起7个工作日内至需方指定地点施工,并在自施工入场40天内完成设备运输（含上、下力）、安装调试等，所有费用由供方承担。安装调试完毕后需方用户负责试用并签收。</w:t>
      </w:r>
    </w:p>
    <w:p>
      <w:pPr>
        <w:rPr>
          <w:rFonts w:ascii="仿宋" w:hAnsi="仿宋" w:eastAsia="仿宋" w:cs="仿宋"/>
          <w:color w:val="000000" w:themeColor="text1"/>
          <w:sz w:val="28"/>
          <w:szCs w:val="28"/>
        </w:rPr>
      </w:pPr>
    </w:p>
    <w:p>
      <w:pPr>
        <w:adjustRightInd w:val="0"/>
        <w:snapToGrid w:val="0"/>
        <w:spacing w:line="360" w:lineRule="auto"/>
        <w:rPr>
          <w:rFonts w:ascii="宋体" w:hAnsi="宋体" w:cs="仿宋"/>
          <w:b/>
          <w:bCs/>
          <w:sz w:val="28"/>
          <w:szCs w:val="28"/>
        </w:rPr>
      </w:pPr>
      <w:r>
        <w:rPr>
          <w:rFonts w:hint="eastAsia" w:ascii="宋体" w:hAnsi="宋体" w:cs="仿宋"/>
          <w:b/>
          <w:bCs/>
          <w:sz w:val="28"/>
          <w:szCs w:val="28"/>
        </w:rPr>
        <w:t>附件4：评标方法及评标标准</w:t>
      </w:r>
    </w:p>
    <w:p>
      <w:pPr>
        <w:pStyle w:val="4"/>
        <w:rPr>
          <w:lang w:val="en-US"/>
        </w:rPr>
      </w:pPr>
    </w:p>
    <w:tbl>
      <w:tblPr>
        <w:tblStyle w:val="17"/>
        <w:tblW w:w="48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269"/>
        <w:gridCol w:w="779"/>
        <w:gridCol w:w="6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000000" w:sz="4" w:space="0"/>
              <w:left w:val="single" w:color="000000" w:sz="4" w:space="0"/>
              <w:bottom w:val="single" w:color="000000" w:sz="4" w:space="0"/>
              <w:right w:val="single" w:color="000000" w:sz="4" w:space="0"/>
            </w:tcBorders>
            <w:vAlign w:val="center"/>
          </w:tcPr>
          <w:p>
            <w:pPr>
              <w:snapToGrid w:val="0"/>
              <w:spacing w:line="288" w:lineRule="auto"/>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678" w:type="pct"/>
            <w:tcBorders>
              <w:top w:val="single" w:color="000000" w:sz="4" w:space="0"/>
              <w:left w:val="nil"/>
              <w:bottom w:val="single" w:color="000000" w:sz="4" w:space="0"/>
              <w:right w:val="single" w:color="000000" w:sz="4" w:space="0"/>
            </w:tcBorders>
            <w:vAlign w:val="center"/>
          </w:tcPr>
          <w:p>
            <w:pPr>
              <w:snapToGrid w:val="0"/>
              <w:spacing w:line="288" w:lineRule="auto"/>
              <w:jc w:val="center"/>
              <w:rPr>
                <w:rFonts w:ascii="宋体" w:hAnsi="宋体" w:cs="宋体"/>
                <w:b/>
                <w:bCs/>
                <w:color w:val="000000"/>
                <w:kern w:val="0"/>
                <w:szCs w:val="21"/>
              </w:rPr>
            </w:pPr>
            <w:r>
              <w:rPr>
                <w:rFonts w:hint="eastAsia" w:ascii="宋体" w:hAnsi="宋体" w:cs="宋体"/>
                <w:b/>
                <w:bCs/>
                <w:color w:val="000000"/>
                <w:kern w:val="0"/>
                <w:szCs w:val="21"/>
              </w:rPr>
              <w:t>评分因素</w:t>
            </w:r>
          </w:p>
        </w:tc>
        <w:tc>
          <w:tcPr>
            <w:tcW w:w="416" w:type="pct"/>
            <w:tcBorders>
              <w:top w:val="single" w:color="000000" w:sz="4" w:space="0"/>
              <w:left w:val="nil"/>
              <w:bottom w:val="single" w:color="000000" w:sz="4" w:space="0"/>
              <w:right w:val="single" w:color="000000" w:sz="4" w:space="0"/>
            </w:tcBorders>
            <w:vAlign w:val="center"/>
          </w:tcPr>
          <w:p>
            <w:pPr>
              <w:snapToGrid w:val="0"/>
              <w:spacing w:line="288" w:lineRule="auto"/>
              <w:jc w:val="center"/>
              <w:rPr>
                <w:rFonts w:ascii="宋体" w:hAnsi="宋体" w:cs="宋体"/>
                <w:b/>
                <w:bCs/>
                <w:color w:val="000000"/>
                <w:kern w:val="0"/>
                <w:szCs w:val="21"/>
              </w:rPr>
            </w:pPr>
            <w:r>
              <w:rPr>
                <w:rFonts w:hint="eastAsia" w:ascii="宋体" w:hAnsi="宋体" w:cs="宋体"/>
                <w:b/>
                <w:bCs/>
                <w:color w:val="000000"/>
                <w:kern w:val="0"/>
                <w:szCs w:val="21"/>
              </w:rPr>
              <w:t>分值</w:t>
            </w:r>
          </w:p>
        </w:tc>
        <w:tc>
          <w:tcPr>
            <w:tcW w:w="3622" w:type="pct"/>
            <w:tcBorders>
              <w:top w:val="single" w:color="000000" w:sz="4" w:space="0"/>
              <w:left w:val="nil"/>
              <w:bottom w:val="single" w:color="000000" w:sz="4" w:space="0"/>
              <w:right w:val="single" w:color="000000" w:sz="4" w:space="0"/>
            </w:tcBorders>
            <w:vAlign w:val="center"/>
          </w:tcPr>
          <w:p>
            <w:pPr>
              <w:snapToGrid w:val="0"/>
              <w:spacing w:line="288" w:lineRule="auto"/>
              <w:jc w:val="center"/>
              <w:rPr>
                <w:rFonts w:ascii="宋体" w:hAnsi="宋体" w:cs="宋体"/>
                <w:b/>
                <w:bCs/>
                <w:color w:val="000000"/>
                <w:kern w:val="0"/>
                <w:szCs w:val="21"/>
              </w:rPr>
            </w:pPr>
            <w:r>
              <w:rPr>
                <w:rFonts w:hint="eastAsia" w:ascii="宋体" w:hAnsi="宋体" w:cs="宋体"/>
                <w:b/>
                <w:bCs/>
                <w:color w:val="000000"/>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000000" w:sz="4" w:space="0"/>
              <w:left w:val="single" w:color="000000" w:sz="4" w:space="0"/>
              <w:bottom w:val="single" w:color="000000" w:sz="4" w:space="0"/>
              <w:right w:val="single" w:color="000000" w:sz="4" w:space="0"/>
            </w:tcBorders>
            <w:vAlign w:val="center"/>
          </w:tcPr>
          <w:p>
            <w:pPr>
              <w:snapToGrid w:val="0"/>
              <w:spacing w:line="288" w:lineRule="auto"/>
              <w:jc w:val="center"/>
              <w:rPr>
                <w:rFonts w:ascii="宋体" w:hAnsi="宋体" w:cs="宋体"/>
                <w:b/>
                <w:color w:val="000000"/>
                <w:kern w:val="0"/>
                <w:szCs w:val="21"/>
              </w:rPr>
            </w:pPr>
            <w:r>
              <w:rPr>
                <w:rFonts w:hint="eastAsia" w:ascii="宋体" w:hAnsi="宋体" w:cs="宋体"/>
                <w:b/>
                <w:color w:val="000000"/>
                <w:kern w:val="0"/>
                <w:szCs w:val="21"/>
              </w:rPr>
              <w:t>（一）价格分（30分）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 w:type="pct"/>
            <w:tcBorders>
              <w:top w:val="single" w:color="000000" w:sz="4" w:space="0"/>
              <w:left w:val="single" w:color="000000" w:sz="4" w:space="0"/>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1</w:t>
            </w:r>
          </w:p>
        </w:tc>
        <w:tc>
          <w:tcPr>
            <w:tcW w:w="678"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投标报价</w:t>
            </w:r>
          </w:p>
        </w:tc>
        <w:tc>
          <w:tcPr>
            <w:tcW w:w="416"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30分</w:t>
            </w:r>
          </w:p>
        </w:tc>
        <w:tc>
          <w:tcPr>
            <w:tcW w:w="3620"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所有有效投标报价中满足招标文件要求,价格最低的投标报价为评标基准价,其价格分为30分,其他投标人的价格分按照下列公式计算(计算结果四舍五入保留两位小数)。</w:t>
            </w:r>
          </w:p>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投标人报价得分=(评标基准价/投标报价)×100×30%。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000000" w:sz="4" w:space="0"/>
              <w:left w:val="single" w:color="000000" w:sz="4" w:space="0"/>
              <w:bottom w:val="single" w:color="000000" w:sz="4" w:space="0"/>
              <w:right w:val="single" w:color="000000" w:sz="4" w:space="0"/>
            </w:tcBorders>
            <w:vAlign w:val="center"/>
          </w:tcPr>
          <w:p>
            <w:pPr>
              <w:snapToGrid w:val="0"/>
              <w:spacing w:line="288" w:lineRule="auto"/>
              <w:jc w:val="center"/>
              <w:rPr>
                <w:rFonts w:ascii="宋体" w:hAnsi="宋体" w:cs="宋体"/>
                <w:b/>
                <w:color w:val="000000"/>
                <w:kern w:val="0"/>
                <w:szCs w:val="21"/>
              </w:rPr>
            </w:pPr>
            <w:r>
              <w:rPr>
                <w:rFonts w:hint="eastAsia" w:ascii="宋体" w:hAnsi="宋体" w:cs="宋体"/>
                <w:b/>
                <w:color w:val="000000"/>
                <w:kern w:val="0"/>
                <w:szCs w:val="21"/>
              </w:rPr>
              <w:t>（二）技术部分（52分）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 w:type="pct"/>
            <w:tcBorders>
              <w:top w:val="single" w:color="000000" w:sz="4" w:space="0"/>
              <w:left w:val="single" w:color="000000" w:sz="4" w:space="0"/>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2</w:t>
            </w:r>
          </w:p>
        </w:tc>
        <w:tc>
          <w:tcPr>
            <w:tcW w:w="678"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技术方案合理性</w:t>
            </w:r>
          </w:p>
        </w:tc>
        <w:tc>
          <w:tcPr>
            <w:tcW w:w="416"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25分</w:t>
            </w:r>
          </w:p>
        </w:tc>
        <w:tc>
          <w:tcPr>
            <w:tcW w:w="3620"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1、根据项目需求对投标人项目技术方案的完整性、层次结构的合理性、清晰性、功能、成熟度等方面进行综合评审。投标人提供详尽的项目技术方案介绍。投标人技术方案满足招标文件要求，整套方案科学合理、安排严密、内容齐全。对所有有效投标人进行横向比较：</w:t>
            </w:r>
          </w:p>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优秀标准：完全准确理解本项目的特点；内容全面、准确、可靠、科学合理，完全满足招标文件的要求。针对招标人提供的技术方案、系统设备选型配置评议，技术方案优于其它竞标人且被评标委员会接受的要求。（19-25分）。</w:t>
            </w:r>
          </w:p>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良好标准：较准确理解本项目的特点；内容一般，可行的技术方案基本满足招标文件的要求（11-18分）。</w:t>
            </w:r>
          </w:p>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合格标准：基本能够理解本项目的特点；内容简单，提供了基本可行的技术方案，但不能很好地满足竞标文件的要求（0-10分）。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000000" w:sz="4" w:space="0"/>
              <w:left w:val="single" w:color="000000" w:sz="4" w:space="0"/>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3</w:t>
            </w:r>
          </w:p>
        </w:tc>
        <w:tc>
          <w:tcPr>
            <w:tcW w:w="678"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自主知识产权</w:t>
            </w:r>
          </w:p>
        </w:tc>
        <w:tc>
          <w:tcPr>
            <w:tcW w:w="416"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6分</w:t>
            </w:r>
          </w:p>
        </w:tc>
        <w:tc>
          <w:tcPr>
            <w:tcW w:w="3620"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1、投标人提供国家版权局出具轨道交通牵引供电系统类计算机软件著作权登记证书得2分。</w:t>
            </w:r>
          </w:p>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2、投标人提供国家版权局出具的轨道交通虚拟仿真类培训软件计算机软件著作权登记证书得2分。</w:t>
            </w:r>
          </w:p>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3、投标人提供国家知识产权局出具的轨道交通供电系统类专利证书得2分。</w:t>
            </w:r>
          </w:p>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注：投标人提供证书复印件并加盖投标人公章，原件中标后核查，未提供不得分。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000000" w:sz="4" w:space="0"/>
              <w:left w:val="single" w:color="000000" w:sz="4" w:space="0"/>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5</w:t>
            </w:r>
          </w:p>
        </w:tc>
        <w:tc>
          <w:tcPr>
            <w:tcW w:w="678"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现场演示</w:t>
            </w:r>
          </w:p>
        </w:tc>
        <w:tc>
          <w:tcPr>
            <w:tcW w:w="416"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21分</w:t>
            </w:r>
          </w:p>
        </w:tc>
        <w:tc>
          <w:tcPr>
            <w:tcW w:w="3622"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hint="eastAsia" w:ascii="宋体" w:hAnsi="宋体" w:cs="宋体"/>
                <w:b/>
                <w:color w:val="000000"/>
                <w:kern w:val="0"/>
                <w:szCs w:val="21"/>
              </w:rPr>
            </w:pPr>
            <w:r>
              <w:rPr>
                <w:rFonts w:hint="eastAsia" w:ascii="宋体" w:hAnsi="宋体" w:cs="宋体"/>
                <w:b/>
                <w:kern w:val="0"/>
                <w:szCs w:val="21"/>
              </w:rPr>
              <w:t>投标单位需要提供演示视频（U盘寄送，未寄送演示视频视为无效投标）</w:t>
            </w:r>
            <w:r>
              <w:rPr>
                <w:rFonts w:hint="eastAsia" w:ascii="宋体" w:hAnsi="宋体" w:cs="宋体"/>
                <w:b/>
                <w:color w:val="000000"/>
                <w:kern w:val="0"/>
                <w:szCs w:val="21"/>
              </w:rPr>
              <w:t>每个投标人的演示时间为20分钟</w:t>
            </w:r>
          </w:p>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 xml:space="preserve"> 1、现场演示牵引供电虚拟实训系统中PSCADA三维交互模块软件（不接受静态、PPT、视频、图片形式演示），演示进入城轨牵引供电设备间位置及摆放三维效果，可在1：1三维车站内的站厅层漫游整个设备间，查看配电柜主要组成和设备内容。（0-7分）</w:t>
            </w:r>
          </w:p>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2、现场演示牵引供电虚拟实训系统中理论知识考试模块软件（不接受静态、PPT、视频、图片形式演示），演示基于B/S架构局域网内教师机和学员机的功能，包括教师机对班级编辑管理、试卷编辑管理、试题编辑管理、考核时长设置、选择性发送考试、考试成绩查询等功能，以及学生机端接受考试试卷，提交考试答卷功能。（0-7分）</w:t>
            </w:r>
          </w:p>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3、现场演示牵引供电仿真软件（不接受静态、PPT、视频、图片形式演示），演示110KV主变电所主界面功能和110KV到35KV牵混所配送电操作票过程，以及300作用；演示2个35KV牵混所界面功能，和演示35KV到DC1500配送电操作票过程，并演示2个35KV牵混所在维修或故障时的越区供电功能。（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000000" w:sz="4" w:space="0"/>
              <w:left w:val="single" w:color="000000" w:sz="4" w:space="0"/>
              <w:bottom w:val="single" w:color="000000" w:sz="4" w:space="0"/>
              <w:right w:val="single" w:color="000000" w:sz="4" w:space="0"/>
            </w:tcBorders>
            <w:vAlign w:val="center"/>
          </w:tcPr>
          <w:p>
            <w:pPr>
              <w:snapToGrid w:val="0"/>
              <w:spacing w:line="288" w:lineRule="auto"/>
              <w:jc w:val="center"/>
              <w:rPr>
                <w:rFonts w:ascii="宋体" w:hAnsi="宋体" w:cs="宋体"/>
                <w:b/>
                <w:color w:val="000000"/>
                <w:kern w:val="0"/>
                <w:szCs w:val="21"/>
              </w:rPr>
            </w:pPr>
            <w:r>
              <w:rPr>
                <w:rFonts w:hint="eastAsia" w:ascii="宋体" w:hAnsi="宋体" w:cs="宋体"/>
                <w:b/>
                <w:color w:val="000000"/>
                <w:kern w:val="0"/>
                <w:szCs w:val="21"/>
              </w:rPr>
              <w:t>（三）商务部分（18分）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 w:type="pct"/>
            <w:tcBorders>
              <w:top w:val="single" w:color="000000" w:sz="4" w:space="0"/>
              <w:left w:val="single" w:color="000000" w:sz="4" w:space="0"/>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6</w:t>
            </w:r>
          </w:p>
        </w:tc>
        <w:tc>
          <w:tcPr>
            <w:tcW w:w="678"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企业实力</w:t>
            </w:r>
          </w:p>
        </w:tc>
        <w:tc>
          <w:tcPr>
            <w:tcW w:w="416"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3分</w:t>
            </w:r>
          </w:p>
        </w:tc>
        <w:tc>
          <w:tcPr>
            <w:tcW w:w="3622"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（1）投标人具有ISO9001质量管理体系认证证书（认证范围为铁路或轨道交通类教学模型认证），得0.5分。</w:t>
            </w:r>
          </w:p>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（2）投标人具有ISO18001职业健康安全管理体系认证证书（认证范围为铁路或轨道交通类教学模型认证），得0.5分。</w:t>
            </w:r>
          </w:p>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（3）投标人具有ISO14001环境管理体系认证证书（认证范围为铁路或轨道交通类教学模型认证），得0.5分。</w:t>
            </w:r>
          </w:p>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（4）投标人具有高新技术企业证书，得0.5分。</w:t>
            </w:r>
          </w:p>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（5）投标人具有连续三年获得省级工商行政管理局授予的“守合同重信用”单位称号证书，得0.5分。</w:t>
            </w:r>
          </w:p>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（6）投标人具有连续三年获得省级或市级企业信用评价中心授予的“AAA级企业”单位称号证书，得0.5分。</w:t>
            </w:r>
          </w:p>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注：投标人提供以上证书复印件并加盖投标人公章，原件中标后核查，未提供不得分。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000000" w:sz="4" w:space="0"/>
              <w:left w:val="single" w:color="000000" w:sz="4" w:space="0"/>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7</w:t>
            </w:r>
          </w:p>
        </w:tc>
        <w:tc>
          <w:tcPr>
            <w:tcW w:w="678"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企业业绩</w:t>
            </w:r>
          </w:p>
        </w:tc>
        <w:tc>
          <w:tcPr>
            <w:tcW w:w="416"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6分</w:t>
            </w:r>
          </w:p>
        </w:tc>
        <w:tc>
          <w:tcPr>
            <w:tcW w:w="3622"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投标人提供轨道交通牵引供电类似项目业绩，提供已完成项目成品照片，每提供一份得2分，最多得6分。</w:t>
            </w:r>
          </w:p>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注：投标人提供合同复印件并加盖投标人公章，原件中标后核查，未提供不得分。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000000" w:sz="4" w:space="0"/>
              <w:left w:val="single" w:color="000000" w:sz="4" w:space="0"/>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8</w:t>
            </w:r>
          </w:p>
        </w:tc>
        <w:tc>
          <w:tcPr>
            <w:tcW w:w="678"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培训计划</w:t>
            </w:r>
          </w:p>
        </w:tc>
        <w:tc>
          <w:tcPr>
            <w:tcW w:w="416"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2分</w:t>
            </w:r>
          </w:p>
        </w:tc>
        <w:tc>
          <w:tcPr>
            <w:tcW w:w="3622"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投标人提供培训计划和实训服务的方案的完整、合理、及时等，具有详细、可行的培训和实训服务内容，最高得2分。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000000" w:sz="4" w:space="0"/>
              <w:left w:val="single" w:color="000000" w:sz="4" w:space="0"/>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9</w:t>
            </w:r>
          </w:p>
        </w:tc>
        <w:tc>
          <w:tcPr>
            <w:tcW w:w="678"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质量保证</w:t>
            </w:r>
          </w:p>
        </w:tc>
        <w:tc>
          <w:tcPr>
            <w:tcW w:w="416"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2分</w:t>
            </w:r>
          </w:p>
        </w:tc>
        <w:tc>
          <w:tcPr>
            <w:tcW w:w="3622"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提供质量保证措施，质量保证组织框图，各个阶段质量保证内容等，最高得2分。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 w:type="pct"/>
            <w:tcBorders>
              <w:top w:val="single" w:color="000000" w:sz="4" w:space="0"/>
              <w:left w:val="single" w:color="000000" w:sz="4" w:space="0"/>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10</w:t>
            </w:r>
          </w:p>
        </w:tc>
        <w:tc>
          <w:tcPr>
            <w:tcW w:w="678"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售后服务</w:t>
            </w:r>
          </w:p>
        </w:tc>
        <w:tc>
          <w:tcPr>
            <w:tcW w:w="416"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3分</w:t>
            </w:r>
          </w:p>
        </w:tc>
        <w:tc>
          <w:tcPr>
            <w:tcW w:w="3622"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投标人售后服务年限需满足招标文件要求（三年）；每延长一年加0.5分，最多加1分。</w:t>
            </w:r>
          </w:p>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投标人具有详细、合理可行、响应及时等的售后服务方案，依据投标文件售后服务方案进行比较评价，优得2分；良得1分；一般得0.5分，未提供不得分。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 w:type="pct"/>
            <w:tcBorders>
              <w:top w:val="single" w:color="000000" w:sz="4" w:space="0"/>
              <w:left w:val="single" w:color="000000" w:sz="4" w:space="0"/>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11</w:t>
            </w:r>
          </w:p>
        </w:tc>
        <w:tc>
          <w:tcPr>
            <w:tcW w:w="678"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投标文本制作</w:t>
            </w:r>
          </w:p>
        </w:tc>
        <w:tc>
          <w:tcPr>
            <w:tcW w:w="416" w:type="pct"/>
            <w:tcBorders>
              <w:top w:val="single" w:color="000000" w:sz="4" w:space="0"/>
              <w:left w:val="nil"/>
              <w:bottom w:val="single" w:color="000000" w:sz="4" w:space="0"/>
              <w:right w:val="single" w:color="000000" w:sz="4" w:space="0"/>
            </w:tcBorders>
            <w:vAlign w:val="center"/>
          </w:tcPr>
          <w:p>
            <w:pPr>
              <w:snapToGrid w:val="0"/>
              <w:spacing w:line="288" w:lineRule="auto"/>
              <w:jc w:val="left"/>
              <w:rPr>
                <w:rFonts w:ascii="宋体" w:hAnsi="宋体" w:cs="宋体"/>
                <w:color w:val="000000"/>
                <w:kern w:val="0"/>
                <w:szCs w:val="21"/>
              </w:rPr>
            </w:pPr>
            <w:r>
              <w:rPr>
                <w:rFonts w:hint="eastAsia" w:ascii="宋体" w:hAnsi="宋体" w:cs="宋体"/>
                <w:color w:val="000000"/>
                <w:kern w:val="0"/>
                <w:szCs w:val="21"/>
              </w:rPr>
              <w:t>2分</w:t>
            </w:r>
          </w:p>
        </w:tc>
        <w:tc>
          <w:tcPr>
            <w:tcW w:w="3622" w:type="pct"/>
            <w:tcBorders>
              <w:top w:val="single" w:color="000000" w:sz="4" w:space="0"/>
              <w:left w:val="nil"/>
              <w:bottom w:val="single" w:color="000000" w:sz="4" w:space="0"/>
              <w:right w:val="single" w:color="000000" w:sz="4" w:space="0"/>
            </w:tcBorders>
            <w:vAlign w:val="center"/>
          </w:tcPr>
          <w:p>
            <w:pPr>
              <w:snapToGrid w:val="0"/>
              <w:spacing w:line="288" w:lineRule="auto"/>
              <w:ind w:firstLine="420" w:firstLineChars="200"/>
              <w:rPr>
                <w:rFonts w:ascii="宋体" w:hAnsi="宋体" w:cs="宋体"/>
                <w:color w:val="000000"/>
                <w:kern w:val="0"/>
                <w:szCs w:val="21"/>
              </w:rPr>
            </w:pPr>
            <w:r>
              <w:rPr>
                <w:rFonts w:hint="eastAsia" w:ascii="宋体" w:hAnsi="宋体" w:cs="宋体"/>
                <w:color w:val="000000"/>
                <w:kern w:val="0"/>
                <w:szCs w:val="21"/>
              </w:rPr>
              <w:t>文件内容完备，格式规范，封装整齐，目录、页码齐全，目录与页码能准确对应，满足招标文件要求得</w:t>
            </w:r>
            <w:r>
              <w:rPr>
                <w:rFonts w:ascii="宋体" w:hAnsi="宋体" w:cs="宋体"/>
                <w:color w:val="000000"/>
                <w:kern w:val="0"/>
                <w:szCs w:val="21"/>
              </w:rPr>
              <w:t>2</w:t>
            </w:r>
            <w:r>
              <w:rPr>
                <w:rFonts w:hint="eastAsia" w:ascii="宋体" w:hAnsi="宋体" w:cs="宋体"/>
                <w:color w:val="000000"/>
                <w:kern w:val="0"/>
                <w:szCs w:val="21"/>
              </w:rPr>
              <w:t>分，否则不得分。未经胶封（如文件夹或订书机等）此项不得分。</w:t>
            </w:r>
          </w:p>
        </w:tc>
      </w:tr>
    </w:tbl>
    <w:p>
      <w:pPr>
        <w:rPr>
          <w:rFonts w:cs="宋体" w:asciiTheme="majorEastAsia" w:hAnsiTheme="majorEastAsia" w:eastAsiaTheme="majorEastAsia"/>
          <w:color w:val="000000" w:themeColor="text1"/>
          <w:kern w:val="0"/>
          <w:sz w:val="24"/>
        </w:rPr>
      </w:pPr>
    </w:p>
    <w:p>
      <w:pPr>
        <w:rPr>
          <w:rFonts w:cs="宋体" w:asciiTheme="majorEastAsia" w:hAnsiTheme="majorEastAsia" w:eastAsiaTheme="majorEastAsia"/>
          <w:color w:val="000000" w:themeColor="text1"/>
          <w:kern w:val="0"/>
          <w:sz w:val="24"/>
          <w:highlight w:val="yellow"/>
        </w:rPr>
      </w:pPr>
    </w:p>
    <w:sectPr>
      <w:headerReference r:id="rId3" w:type="default"/>
      <w:footerReference r:id="rId4" w:type="default"/>
      <w:pgSz w:w="11906" w:h="16838"/>
      <w:pgMar w:top="1191" w:right="1247" w:bottom="119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15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24</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w:t>
    </w:r>
    <w:r>
      <w:rPr>
        <w:rFonts w:hint="eastAsia" w:ascii="宋体" w:hAnsi="宋体" w:cs="宋体"/>
        <w:b/>
        <w:bCs/>
        <w:kern w:val="0"/>
        <w:sz w:val="15"/>
        <w:szCs w:val="15"/>
        <w:lang w:val="en-US" w:eastAsia="zh-CN"/>
      </w:rPr>
      <w:t>招标办</w:t>
    </w:r>
    <w:r>
      <w:rPr>
        <w:rFonts w:hint="eastAsia" w:ascii="宋体" w:hAnsi="宋体" w:cs="宋体"/>
        <w:b/>
        <w:bCs/>
        <w:kern w:val="0"/>
        <w:sz w:val="15"/>
        <w:szCs w:val="15"/>
      </w:rPr>
      <w:t>20</w:t>
    </w:r>
    <w:r>
      <w:rPr>
        <w:rFonts w:hint="eastAsia" w:ascii="宋体" w:hAnsi="宋体" w:cs="宋体"/>
        <w:b/>
        <w:bCs/>
        <w:kern w:val="0"/>
        <w:sz w:val="15"/>
        <w:szCs w:val="15"/>
        <w:lang w:val="en-US" w:eastAsia="zh-CN"/>
      </w:rPr>
      <w:t>20</w:t>
    </w:r>
    <w:r>
      <w:rPr>
        <w:rFonts w:hint="eastAsia" w:ascii="宋体" w:hAnsi="宋体" w:cs="宋体"/>
        <w:b/>
        <w:bCs/>
        <w:kern w:val="0"/>
        <w:sz w:val="15"/>
        <w:szCs w:val="15"/>
      </w:rPr>
      <w:t>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201076"/>
    <w:rsid w:val="0000144D"/>
    <w:rsid w:val="00002B2D"/>
    <w:rsid w:val="00003391"/>
    <w:rsid w:val="00003606"/>
    <w:rsid w:val="000054CA"/>
    <w:rsid w:val="0000571D"/>
    <w:rsid w:val="00022B05"/>
    <w:rsid w:val="00023D12"/>
    <w:rsid w:val="00025EE0"/>
    <w:rsid w:val="00026E76"/>
    <w:rsid w:val="00027971"/>
    <w:rsid w:val="00030600"/>
    <w:rsid w:val="00030DF4"/>
    <w:rsid w:val="000319F3"/>
    <w:rsid w:val="000430D6"/>
    <w:rsid w:val="00043F02"/>
    <w:rsid w:val="000441D9"/>
    <w:rsid w:val="000527A0"/>
    <w:rsid w:val="000531E7"/>
    <w:rsid w:val="00054A22"/>
    <w:rsid w:val="00054EE4"/>
    <w:rsid w:val="0005500B"/>
    <w:rsid w:val="00055F2F"/>
    <w:rsid w:val="0006055A"/>
    <w:rsid w:val="00066441"/>
    <w:rsid w:val="00066583"/>
    <w:rsid w:val="0007020F"/>
    <w:rsid w:val="00070DC7"/>
    <w:rsid w:val="00070F0A"/>
    <w:rsid w:val="000716D4"/>
    <w:rsid w:val="000774F2"/>
    <w:rsid w:val="00080B5E"/>
    <w:rsid w:val="00081175"/>
    <w:rsid w:val="000819A3"/>
    <w:rsid w:val="00085E3F"/>
    <w:rsid w:val="00087F42"/>
    <w:rsid w:val="0009319D"/>
    <w:rsid w:val="000933AE"/>
    <w:rsid w:val="00094419"/>
    <w:rsid w:val="00094479"/>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4F6F"/>
    <w:rsid w:val="000B5806"/>
    <w:rsid w:val="000B5F77"/>
    <w:rsid w:val="000B6607"/>
    <w:rsid w:val="000C0356"/>
    <w:rsid w:val="000C03E3"/>
    <w:rsid w:val="000C05BE"/>
    <w:rsid w:val="000C22CE"/>
    <w:rsid w:val="000C35BE"/>
    <w:rsid w:val="000C3706"/>
    <w:rsid w:val="000C3E19"/>
    <w:rsid w:val="000C5121"/>
    <w:rsid w:val="000C7AC8"/>
    <w:rsid w:val="000D26E7"/>
    <w:rsid w:val="000D2CE1"/>
    <w:rsid w:val="000D4B6E"/>
    <w:rsid w:val="000D6B77"/>
    <w:rsid w:val="000D7B55"/>
    <w:rsid w:val="000E1026"/>
    <w:rsid w:val="000E12A9"/>
    <w:rsid w:val="000E37D8"/>
    <w:rsid w:val="000E490E"/>
    <w:rsid w:val="000E791A"/>
    <w:rsid w:val="000E794A"/>
    <w:rsid w:val="000E7B1F"/>
    <w:rsid w:val="000E7E73"/>
    <w:rsid w:val="000F0A5B"/>
    <w:rsid w:val="000F1E4F"/>
    <w:rsid w:val="000F2EDC"/>
    <w:rsid w:val="000F33C3"/>
    <w:rsid w:val="000F7C08"/>
    <w:rsid w:val="001007BA"/>
    <w:rsid w:val="00100F2E"/>
    <w:rsid w:val="0010216E"/>
    <w:rsid w:val="001031DE"/>
    <w:rsid w:val="001032F0"/>
    <w:rsid w:val="00103CBC"/>
    <w:rsid w:val="00104554"/>
    <w:rsid w:val="00104CAE"/>
    <w:rsid w:val="00107357"/>
    <w:rsid w:val="00107759"/>
    <w:rsid w:val="00110C58"/>
    <w:rsid w:val="00111060"/>
    <w:rsid w:val="00111C55"/>
    <w:rsid w:val="00111E38"/>
    <w:rsid w:val="00112955"/>
    <w:rsid w:val="00112D27"/>
    <w:rsid w:val="001135BC"/>
    <w:rsid w:val="00116930"/>
    <w:rsid w:val="00121365"/>
    <w:rsid w:val="00122E50"/>
    <w:rsid w:val="001238AF"/>
    <w:rsid w:val="001246CA"/>
    <w:rsid w:val="00124A77"/>
    <w:rsid w:val="00124B44"/>
    <w:rsid w:val="00125991"/>
    <w:rsid w:val="00125C94"/>
    <w:rsid w:val="00126E86"/>
    <w:rsid w:val="001272EE"/>
    <w:rsid w:val="00127BC3"/>
    <w:rsid w:val="00130B50"/>
    <w:rsid w:val="001320B9"/>
    <w:rsid w:val="0013492F"/>
    <w:rsid w:val="00137542"/>
    <w:rsid w:val="00143684"/>
    <w:rsid w:val="001448F3"/>
    <w:rsid w:val="0014591D"/>
    <w:rsid w:val="00146508"/>
    <w:rsid w:val="00146A07"/>
    <w:rsid w:val="00147BB6"/>
    <w:rsid w:val="00147E81"/>
    <w:rsid w:val="001502CF"/>
    <w:rsid w:val="00151817"/>
    <w:rsid w:val="0015214C"/>
    <w:rsid w:val="0015225B"/>
    <w:rsid w:val="00152BCB"/>
    <w:rsid w:val="00153196"/>
    <w:rsid w:val="001559FB"/>
    <w:rsid w:val="0016003D"/>
    <w:rsid w:val="0016077E"/>
    <w:rsid w:val="001625B5"/>
    <w:rsid w:val="0016395E"/>
    <w:rsid w:val="00163CFF"/>
    <w:rsid w:val="0016465F"/>
    <w:rsid w:val="0016590B"/>
    <w:rsid w:val="0016658A"/>
    <w:rsid w:val="00166DEB"/>
    <w:rsid w:val="001679D2"/>
    <w:rsid w:val="00170356"/>
    <w:rsid w:val="00171002"/>
    <w:rsid w:val="00171C84"/>
    <w:rsid w:val="0017451F"/>
    <w:rsid w:val="00175E61"/>
    <w:rsid w:val="00175F6E"/>
    <w:rsid w:val="001765AA"/>
    <w:rsid w:val="00176B5A"/>
    <w:rsid w:val="001770B9"/>
    <w:rsid w:val="0018161B"/>
    <w:rsid w:val="00181FC1"/>
    <w:rsid w:val="00183C53"/>
    <w:rsid w:val="00184165"/>
    <w:rsid w:val="001847AB"/>
    <w:rsid w:val="001863B0"/>
    <w:rsid w:val="001908D8"/>
    <w:rsid w:val="00191DB6"/>
    <w:rsid w:val="00191E7A"/>
    <w:rsid w:val="00192A7F"/>
    <w:rsid w:val="00192E9E"/>
    <w:rsid w:val="0019347E"/>
    <w:rsid w:val="00193B07"/>
    <w:rsid w:val="0019510E"/>
    <w:rsid w:val="00195E66"/>
    <w:rsid w:val="00196A0F"/>
    <w:rsid w:val="00196DB1"/>
    <w:rsid w:val="001973B6"/>
    <w:rsid w:val="001A200D"/>
    <w:rsid w:val="001A76A0"/>
    <w:rsid w:val="001B0715"/>
    <w:rsid w:val="001B2A65"/>
    <w:rsid w:val="001B5895"/>
    <w:rsid w:val="001B6E3C"/>
    <w:rsid w:val="001C0244"/>
    <w:rsid w:val="001C0588"/>
    <w:rsid w:val="001C12A6"/>
    <w:rsid w:val="001C1966"/>
    <w:rsid w:val="001C2414"/>
    <w:rsid w:val="001C2462"/>
    <w:rsid w:val="001C6C16"/>
    <w:rsid w:val="001D10DD"/>
    <w:rsid w:val="001D237E"/>
    <w:rsid w:val="001D2D6F"/>
    <w:rsid w:val="001D7657"/>
    <w:rsid w:val="001D76D4"/>
    <w:rsid w:val="001E2C9F"/>
    <w:rsid w:val="001E47A8"/>
    <w:rsid w:val="001E4E6B"/>
    <w:rsid w:val="001E672D"/>
    <w:rsid w:val="001F09A0"/>
    <w:rsid w:val="001F11F5"/>
    <w:rsid w:val="001F314F"/>
    <w:rsid w:val="001F328C"/>
    <w:rsid w:val="001F4242"/>
    <w:rsid w:val="001F5384"/>
    <w:rsid w:val="001F6E39"/>
    <w:rsid w:val="001F7923"/>
    <w:rsid w:val="00200A99"/>
    <w:rsid w:val="00201076"/>
    <w:rsid w:val="002023F0"/>
    <w:rsid w:val="00204A89"/>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1634"/>
    <w:rsid w:val="002423F2"/>
    <w:rsid w:val="002430D7"/>
    <w:rsid w:val="00243632"/>
    <w:rsid w:val="00243E27"/>
    <w:rsid w:val="0024517A"/>
    <w:rsid w:val="00247603"/>
    <w:rsid w:val="00250805"/>
    <w:rsid w:val="00250B49"/>
    <w:rsid w:val="00250C11"/>
    <w:rsid w:val="00251A77"/>
    <w:rsid w:val="0025266B"/>
    <w:rsid w:val="002526D9"/>
    <w:rsid w:val="00252F92"/>
    <w:rsid w:val="0025396A"/>
    <w:rsid w:val="002540DE"/>
    <w:rsid w:val="00255B7B"/>
    <w:rsid w:val="002567BD"/>
    <w:rsid w:val="00256A61"/>
    <w:rsid w:val="00263046"/>
    <w:rsid w:val="00263444"/>
    <w:rsid w:val="0026451A"/>
    <w:rsid w:val="00264F91"/>
    <w:rsid w:val="00271C38"/>
    <w:rsid w:val="00273B4E"/>
    <w:rsid w:val="00281343"/>
    <w:rsid w:val="0028272C"/>
    <w:rsid w:val="002832EA"/>
    <w:rsid w:val="002838CB"/>
    <w:rsid w:val="00283C8F"/>
    <w:rsid w:val="00285A3E"/>
    <w:rsid w:val="00286DFD"/>
    <w:rsid w:val="00291A34"/>
    <w:rsid w:val="00292A1F"/>
    <w:rsid w:val="00294E71"/>
    <w:rsid w:val="00296169"/>
    <w:rsid w:val="00297351"/>
    <w:rsid w:val="0029765B"/>
    <w:rsid w:val="00297829"/>
    <w:rsid w:val="00297C60"/>
    <w:rsid w:val="002A1998"/>
    <w:rsid w:val="002A1B13"/>
    <w:rsid w:val="002A1C37"/>
    <w:rsid w:val="002A23A5"/>
    <w:rsid w:val="002B0435"/>
    <w:rsid w:val="002B0445"/>
    <w:rsid w:val="002B0C9E"/>
    <w:rsid w:val="002B13F6"/>
    <w:rsid w:val="002B2CD4"/>
    <w:rsid w:val="002B3512"/>
    <w:rsid w:val="002B4546"/>
    <w:rsid w:val="002B5309"/>
    <w:rsid w:val="002B5FF1"/>
    <w:rsid w:val="002B656C"/>
    <w:rsid w:val="002B6969"/>
    <w:rsid w:val="002C016C"/>
    <w:rsid w:val="002C0D56"/>
    <w:rsid w:val="002C3038"/>
    <w:rsid w:val="002C3D8F"/>
    <w:rsid w:val="002C6A0C"/>
    <w:rsid w:val="002C6B1B"/>
    <w:rsid w:val="002C724E"/>
    <w:rsid w:val="002D0833"/>
    <w:rsid w:val="002D16E8"/>
    <w:rsid w:val="002E569D"/>
    <w:rsid w:val="002E6E80"/>
    <w:rsid w:val="002E70DE"/>
    <w:rsid w:val="002F0D2A"/>
    <w:rsid w:val="002F160A"/>
    <w:rsid w:val="002F1CF2"/>
    <w:rsid w:val="002F36B1"/>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2FDB"/>
    <w:rsid w:val="00313155"/>
    <w:rsid w:val="003147BD"/>
    <w:rsid w:val="00316C54"/>
    <w:rsid w:val="0032353A"/>
    <w:rsid w:val="00323939"/>
    <w:rsid w:val="00324588"/>
    <w:rsid w:val="00325728"/>
    <w:rsid w:val="00326B86"/>
    <w:rsid w:val="00330268"/>
    <w:rsid w:val="00331A66"/>
    <w:rsid w:val="00331B2F"/>
    <w:rsid w:val="00334C23"/>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2A01"/>
    <w:rsid w:val="00372D67"/>
    <w:rsid w:val="00373A28"/>
    <w:rsid w:val="00373E38"/>
    <w:rsid w:val="00376287"/>
    <w:rsid w:val="00377164"/>
    <w:rsid w:val="00382A17"/>
    <w:rsid w:val="0038309B"/>
    <w:rsid w:val="00383BCB"/>
    <w:rsid w:val="00384882"/>
    <w:rsid w:val="003849F5"/>
    <w:rsid w:val="00387358"/>
    <w:rsid w:val="00387B63"/>
    <w:rsid w:val="00392E35"/>
    <w:rsid w:val="00392F4B"/>
    <w:rsid w:val="00395091"/>
    <w:rsid w:val="003A0680"/>
    <w:rsid w:val="003A2009"/>
    <w:rsid w:val="003A2540"/>
    <w:rsid w:val="003A3723"/>
    <w:rsid w:val="003A3848"/>
    <w:rsid w:val="003A4023"/>
    <w:rsid w:val="003A4F53"/>
    <w:rsid w:val="003A6141"/>
    <w:rsid w:val="003A72CD"/>
    <w:rsid w:val="003B0471"/>
    <w:rsid w:val="003B198E"/>
    <w:rsid w:val="003B4063"/>
    <w:rsid w:val="003B42A6"/>
    <w:rsid w:val="003B46FC"/>
    <w:rsid w:val="003C22BA"/>
    <w:rsid w:val="003C2407"/>
    <w:rsid w:val="003C2BD0"/>
    <w:rsid w:val="003C3744"/>
    <w:rsid w:val="003C3DF2"/>
    <w:rsid w:val="003C4913"/>
    <w:rsid w:val="003C4BFF"/>
    <w:rsid w:val="003C4ECC"/>
    <w:rsid w:val="003C60AD"/>
    <w:rsid w:val="003C69C4"/>
    <w:rsid w:val="003D02DE"/>
    <w:rsid w:val="003D20EB"/>
    <w:rsid w:val="003D6222"/>
    <w:rsid w:val="003D6FB8"/>
    <w:rsid w:val="003E1368"/>
    <w:rsid w:val="003E1A52"/>
    <w:rsid w:val="003E2217"/>
    <w:rsid w:val="003E4227"/>
    <w:rsid w:val="003E51F3"/>
    <w:rsid w:val="003E572A"/>
    <w:rsid w:val="003F073B"/>
    <w:rsid w:val="003F1151"/>
    <w:rsid w:val="003F16B6"/>
    <w:rsid w:val="003F24C4"/>
    <w:rsid w:val="003F2F23"/>
    <w:rsid w:val="003F3D76"/>
    <w:rsid w:val="003F413C"/>
    <w:rsid w:val="003F4609"/>
    <w:rsid w:val="003F6253"/>
    <w:rsid w:val="003F79B2"/>
    <w:rsid w:val="00401623"/>
    <w:rsid w:val="004017C3"/>
    <w:rsid w:val="00402663"/>
    <w:rsid w:val="0040306E"/>
    <w:rsid w:val="0040333F"/>
    <w:rsid w:val="0040342F"/>
    <w:rsid w:val="00404C4A"/>
    <w:rsid w:val="0040541A"/>
    <w:rsid w:val="004057C2"/>
    <w:rsid w:val="00406A37"/>
    <w:rsid w:val="004101CA"/>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3C3B"/>
    <w:rsid w:val="00425843"/>
    <w:rsid w:val="00425C30"/>
    <w:rsid w:val="0043026A"/>
    <w:rsid w:val="004311A5"/>
    <w:rsid w:val="004356B0"/>
    <w:rsid w:val="00435B13"/>
    <w:rsid w:val="00437102"/>
    <w:rsid w:val="00437796"/>
    <w:rsid w:val="00437939"/>
    <w:rsid w:val="00437C24"/>
    <w:rsid w:val="00437F7A"/>
    <w:rsid w:val="00441696"/>
    <w:rsid w:val="00442423"/>
    <w:rsid w:val="00443437"/>
    <w:rsid w:val="00444741"/>
    <w:rsid w:val="0044640C"/>
    <w:rsid w:val="004472FA"/>
    <w:rsid w:val="00447C24"/>
    <w:rsid w:val="00450900"/>
    <w:rsid w:val="00452C84"/>
    <w:rsid w:val="004551EC"/>
    <w:rsid w:val="00456BB9"/>
    <w:rsid w:val="004578F1"/>
    <w:rsid w:val="00460A25"/>
    <w:rsid w:val="00461656"/>
    <w:rsid w:val="00463313"/>
    <w:rsid w:val="00463944"/>
    <w:rsid w:val="00464599"/>
    <w:rsid w:val="00466713"/>
    <w:rsid w:val="00466F0A"/>
    <w:rsid w:val="00467161"/>
    <w:rsid w:val="004703D3"/>
    <w:rsid w:val="00472664"/>
    <w:rsid w:val="004734A1"/>
    <w:rsid w:val="00477371"/>
    <w:rsid w:val="00477570"/>
    <w:rsid w:val="0048022E"/>
    <w:rsid w:val="00480665"/>
    <w:rsid w:val="00480DDA"/>
    <w:rsid w:val="00480FA7"/>
    <w:rsid w:val="00481A9A"/>
    <w:rsid w:val="00482645"/>
    <w:rsid w:val="00482DAC"/>
    <w:rsid w:val="00483286"/>
    <w:rsid w:val="004839B1"/>
    <w:rsid w:val="0048551E"/>
    <w:rsid w:val="00485675"/>
    <w:rsid w:val="00485B5B"/>
    <w:rsid w:val="0048782A"/>
    <w:rsid w:val="004926E0"/>
    <w:rsid w:val="00493785"/>
    <w:rsid w:val="0049614E"/>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C3C68"/>
    <w:rsid w:val="004D0748"/>
    <w:rsid w:val="004D0EAC"/>
    <w:rsid w:val="004D64A5"/>
    <w:rsid w:val="004D65DA"/>
    <w:rsid w:val="004D7557"/>
    <w:rsid w:val="004D765A"/>
    <w:rsid w:val="004E1C2C"/>
    <w:rsid w:val="004E1C93"/>
    <w:rsid w:val="004E2588"/>
    <w:rsid w:val="004E390B"/>
    <w:rsid w:val="004E448F"/>
    <w:rsid w:val="004E608C"/>
    <w:rsid w:val="004E779C"/>
    <w:rsid w:val="004F0339"/>
    <w:rsid w:val="004F763C"/>
    <w:rsid w:val="004F7A31"/>
    <w:rsid w:val="004F7D5E"/>
    <w:rsid w:val="00500476"/>
    <w:rsid w:val="00504207"/>
    <w:rsid w:val="0050554A"/>
    <w:rsid w:val="00507394"/>
    <w:rsid w:val="00507451"/>
    <w:rsid w:val="00510D48"/>
    <w:rsid w:val="005119C9"/>
    <w:rsid w:val="00511A0E"/>
    <w:rsid w:val="005143CD"/>
    <w:rsid w:val="00514476"/>
    <w:rsid w:val="0051635A"/>
    <w:rsid w:val="0051678C"/>
    <w:rsid w:val="00517953"/>
    <w:rsid w:val="00520E29"/>
    <w:rsid w:val="0052262E"/>
    <w:rsid w:val="00522BF5"/>
    <w:rsid w:val="00522C1C"/>
    <w:rsid w:val="00523679"/>
    <w:rsid w:val="0053025C"/>
    <w:rsid w:val="00531000"/>
    <w:rsid w:val="00533F15"/>
    <w:rsid w:val="005354A4"/>
    <w:rsid w:val="00537018"/>
    <w:rsid w:val="00540A3F"/>
    <w:rsid w:val="00541B69"/>
    <w:rsid w:val="00541B97"/>
    <w:rsid w:val="00542DB5"/>
    <w:rsid w:val="00545F0F"/>
    <w:rsid w:val="00546198"/>
    <w:rsid w:val="00552143"/>
    <w:rsid w:val="00552355"/>
    <w:rsid w:val="005526FE"/>
    <w:rsid w:val="00552BE2"/>
    <w:rsid w:val="00552BF3"/>
    <w:rsid w:val="00552C82"/>
    <w:rsid w:val="005554FE"/>
    <w:rsid w:val="00556203"/>
    <w:rsid w:val="0055742D"/>
    <w:rsid w:val="00557D90"/>
    <w:rsid w:val="005629FF"/>
    <w:rsid w:val="00564725"/>
    <w:rsid w:val="00565862"/>
    <w:rsid w:val="00566142"/>
    <w:rsid w:val="005662B0"/>
    <w:rsid w:val="00572CF3"/>
    <w:rsid w:val="00576728"/>
    <w:rsid w:val="00580130"/>
    <w:rsid w:val="00585BC1"/>
    <w:rsid w:val="00585C5F"/>
    <w:rsid w:val="00587E68"/>
    <w:rsid w:val="00592237"/>
    <w:rsid w:val="005947A6"/>
    <w:rsid w:val="00595AEA"/>
    <w:rsid w:val="00596240"/>
    <w:rsid w:val="00596D34"/>
    <w:rsid w:val="005A2886"/>
    <w:rsid w:val="005A5A31"/>
    <w:rsid w:val="005A6067"/>
    <w:rsid w:val="005A7D4D"/>
    <w:rsid w:val="005B1DD8"/>
    <w:rsid w:val="005B2D13"/>
    <w:rsid w:val="005B3222"/>
    <w:rsid w:val="005B379E"/>
    <w:rsid w:val="005B4CA2"/>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E4524"/>
    <w:rsid w:val="005E576B"/>
    <w:rsid w:val="005E7AEF"/>
    <w:rsid w:val="005F0057"/>
    <w:rsid w:val="005F392C"/>
    <w:rsid w:val="005F48D7"/>
    <w:rsid w:val="005F5A2C"/>
    <w:rsid w:val="005F624D"/>
    <w:rsid w:val="005F6275"/>
    <w:rsid w:val="005F75FC"/>
    <w:rsid w:val="006006F8"/>
    <w:rsid w:val="00603569"/>
    <w:rsid w:val="006040E9"/>
    <w:rsid w:val="00604EC1"/>
    <w:rsid w:val="00610391"/>
    <w:rsid w:val="006105EE"/>
    <w:rsid w:val="00610DA9"/>
    <w:rsid w:val="00613CC6"/>
    <w:rsid w:val="00613E75"/>
    <w:rsid w:val="006164F1"/>
    <w:rsid w:val="00616D46"/>
    <w:rsid w:val="00616F1D"/>
    <w:rsid w:val="00620509"/>
    <w:rsid w:val="00620D7E"/>
    <w:rsid w:val="00621A53"/>
    <w:rsid w:val="00621E60"/>
    <w:rsid w:val="0062201F"/>
    <w:rsid w:val="00622CED"/>
    <w:rsid w:val="0062322C"/>
    <w:rsid w:val="0062527C"/>
    <w:rsid w:val="00626542"/>
    <w:rsid w:val="00626C15"/>
    <w:rsid w:val="00627105"/>
    <w:rsid w:val="006277A3"/>
    <w:rsid w:val="00631332"/>
    <w:rsid w:val="006332B6"/>
    <w:rsid w:val="006340FC"/>
    <w:rsid w:val="00637990"/>
    <w:rsid w:val="00637BFF"/>
    <w:rsid w:val="00637FE2"/>
    <w:rsid w:val="00641CAF"/>
    <w:rsid w:val="00646947"/>
    <w:rsid w:val="006475DC"/>
    <w:rsid w:val="00650D24"/>
    <w:rsid w:val="006519C1"/>
    <w:rsid w:val="0065630D"/>
    <w:rsid w:val="00657F59"/>
    <w:rsid w:val="0066030C"/>
    <w:rsid w:val="00662ACF"/>
    <w:rsid w:val="006634D8"/>
    <w:rsid w:val="00665444"/>
    <w:rsid w:val="00666762"/>
    <w:rsid w:val="00667840"/>
    <w:rsid w:val="00670C74"/>
    <w:rsid w:val="006712CE"/>
    <w:rsid w:val="006721F1"/>
    <w:rsid w:val="00672B76"/>
    <w:rsid w:val="00674154"/>
    <w:rsid w:val="006744F7"/>
    <w:rsid w:val="0067581D"/>
    <w:rsid w:val="006817D5"/>
    <w:rsid w:val="006818DB"/>
    <w:rsid w:val="0068228D"/>
    <w:rsid w:val="006831B6"/>
    <w:rsid w:val="00684A9B"/>
    <w:rsid w:val="00691A38"/>
    <w:rsid w:val="00692892"/>
    <w:rsid w:val="00692C36"/>
    <w:rsid w:val="006947DF"/>
    <w:rsid w:val="006951B5"/>
    <w:rsid w:val="0069524B"/>
    <w:rsid w:val="00696030"/>
    <w:rsid w:val="00697C03"/>
    <w:rsid w:val="006A00DA"/>
    <w:rsid w:val="006A1F85"/>
    <w:rsid w:val="006A210C"/>
    <w:rsid w:val="006A2B28"/>
    <w:rsid w:val="006A4D56"/>
    <w:rsid w:val="006A518F"/>
    <w:rsid w:val="006A59A2"/>
    <w:rsid w:val="006A5ECF"/>
    <w:rsid w:val="006A669E"/>
    <w:rsid w:val="006B079C"/>
    <w:rsid w:val="006B12E8"/>
    <w:rsid w:val="006B1B75"/>
    <w:rsid w:val="006B2014"/>
    <w:rsid w:val="006B2340"/>
    <w:rsid w:val="006B324C"/>
    <w:rsid w:val="006B449D"/>
    <w:rsid w:val="006B5088"/>
    <w:rsid w:val="006B5A78"/>
    <w:rsid w:val="006B5C0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4FEE"/>
    <w:rsid w:val="006E6356"/>
    <w:rsid w:val="006E67FB"/>
    <w:rsid w:val="006E6C8E"/>
    <w:rsid w:val="006F132D"/>
    <w:rsid w:val="006F3003"/>
    <w:rsid w:val="006F3A48"/>
    <w:rsid w:val="006F3DB1"/>
    <w:rsid w:val="006F4515"/>
    <w:rsid w:val="006F49B6"/>
    <w:rsid w:val="006F542E"/>
    <w:rsid w:val="006F5A99"/>
    <w:rsid w:val="007002AA"/>
    <w:rsid w:val="00700921"/>
    <w:rsid w:val="00700E1F"/>
    <w:rsid w:val="007011C9"/>
    <w:rsid w:val="00705D43"/>
    <w:rsid w:val="0070628E"/>
    <w:rsid w:val="00707A12"/>
    <w:rsid w:val="0071054C"/>
    <w:rsid w:val="0071116F"/>
    <w:rsid w:val="00711489"/>
    <w:rsid w:val="00711E10"/>
    <w:rsid w:val="00712F7B"/>
    <w:rsid w:val="00713DFB"/>
    <w:rsid w:val="00714916"/>
    <w:rsid w:val="00714D2D"/>
    <w:rsid w:val="00715EC6"/>
    <w:rsid w:val="00717CEF"/>
    <w:rsid w:val="0072021A"/>
    <w:rsid w:val="00722284"/>
    <w:rsid w:val="0072296C"/>
    <w:rsid w:val="00722E81"/>
    <w:rsid w:val="00723FB7"/>
    <w:rsid w:val="00730ACA"/>
    <w:rsid w:val="00730C03"/>
    <w:rsid w:val="00732152"/>
    <w:rsid w:val="00733E6E"/>
    <w:rsid w:val="007344A9"/>
    <w:rsid w:val="00734575"/>
    <w:rsid w:val="00735CFC"/>
    <w:rsid w:val="00735D71"/>
    <w:rsid w:val="00736148"/>
    <w:rsid w:val="00736B32"/>
    <w:rsid w:val="007401E7"/>
    <w:rsid w:val="00743156"/>
    <w:rsid w:val="00745E15"/>
    <w:rsid w:val="007475EE"/>
    <w:rsid w:val="007478D2"/>
    <w:rsid w:val="00751019"/>
    <w:rsid w:val="00755EE2"/>
    <w:rsid w:val="00757520"/>
    <w:rsid w:val="007577E7"/>
    <w:rsid w:val="007605A9"/>
    <w:rsid w:val="0076167D"/>
    <w:rsid w:val="0076289B"/>
    <w:rsid w:val="00763E0D"/>
    <w:rsid w:val="0076475D"/>
    <w:rsid w:val="007649AC"/>
    <w:rsid w:val="00766EBB"/>
    <w:rsid w:val="007722FA"/>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7508"/>
    <w:rsid w:val="007C1C1A"/>
    <w:rsid w:val="007C1EAE"/>
    <w:rsid w:val="007C2E80"/>
    <w:rsid w:val="007C3DF3"/>
    <w:rsid w:val="007C47D1"/>
    <w:rsid w:val="007C5873"/>
    <w:rsid w:val="007C5CBD"/>
    <w:rsid w:val="007C671F"/>
    <w:rsid w:val="007D0A59"/>
    <w:rsid w:val="007D0D89"/>
    <w:rsid w:val="007D52A8"/>
    <w:rsid w:val="007D52CD"/>
    <w:rsid w:val="007D5FAC"/>
    <w:rsid w:val="007D6479"/>
    <w:rsid w:val="007D7BC7"/>
    <w:rsid w:val="007E2EBE"/>
    <w:rsid w:val="007E2F82"/>
    <w:rsid w:val="007E3568"/>
    <w:rsid w:val="007E543F"/>
    <w:rsid w:val="007E552C"/>
    <w:rsid w:val="007F0464"/>
    <w:rsid w:val="007F141A"/>
    <w:rsid w:val="007F2D72"/>
    <w:rsid w:val="007F3D00"/>
    <w:rsid w:val="007F3D98"/>
    <w:rsid w:val="007F4654"/>
    <w:rsid w:val="007F794E"/>
    <w:rsid w:val="00801FBF"/>
    <w:rsid w:val="00803D3C"/>
    <w:rsid w:val="0080591C"/>
    <w:rsid w:val="0081037F"/>
    <w:rsid w:val="008109D2"/>
    <w:rsid w:val="008111F7"/>
    <w:rsid w:val="00813477"/>
    <w:rsid w:val="00814876"/>
    <w:rsid w:val="00814B12"/>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4A72"/>
    <w:rsid w:val="008465C2"/>
    <w:rsid w:val="00847371"/>
    <w:rsid w:val="00847915"/>
    <w:rsid w:val="008508A7"/>
    <w:rsid w:val="008509FE"/>
    <w:rsid w:val="0085211F"/>
    <w:rsid w:val="00853C48"/>
    <w:rsid w:val="00853DFF"/>
    <w:rsid w:val="00855372"/>
    <w:rsid w:val="0085573E"/>
    <w:rsid w:val="00861129"/>
    <w:rsid w:val="00865DB7"/>
    <w:rsid w:val="008661E8"/>
    <w:rsid w:val="0086668C"/>
    <w:rsid w:val="008709E1"/>
    <w:rsid w:val="00871AEF"/>
    <w:rsid w:val="00872F1F"/>
    <w:rsid w:val="008738A6"/>
    <w:rsid w:val="00873FFC"/>
    <w:rsid w:val="008744DC"/>
    <w:rsid w:val="008754B1"/>
    <w:rsid w:val="00877C5C"/>
    <w:rsid w:val="00881142"/>
    <w:rsid w:val="00881AB0"/>
    <w:rsid w:val="00881FB4"/>
    <w:rsid w:val="00884C1F"/>
    <w:rsid w:val="00884D9A"/>
    <w:rsid w:val="008900A0"/>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C0020"/>
    <w:rsid w:val="008C10D8"/>
    <w:rsid w:val="008C144B"/>
    <w:rsid w:val="008C4B4E"/>
    <w:rsid w:val="008C4EC6"/>
    <w:rsid w:val="008C5BDB"/>
    <w:rsid w:val="008C5BDF"/>
    <w:rsid w:val="008C67F8"/>
    <w:rsid w:val="008C77DF"/>
    <w:rsid w:val="008D12CF"/>
    <w:rsid w:val="008D1981"/>
    <w:rsid w:val="008D1F63"/>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3965"/>
    <w:rsid w:val="009243AC"/>
    <w:rsid w:val="0092721C"/>
    <w:rsid w:val="009302BC"/>
    <w:rsid w:val="009302E2"/>
    <w:rsid w:val="009305D2"/>
    <w:rsid w:val="00930F17"/>
    <w:rsid w:val="00931E36"/>
    <w:rsid w:val="00932637"/>
    <w:rsid w:val="00934021"/>
    <w:rsid w:val="00934830"/>
    <w:rsid w:val="00935252"/>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E03"/>
    <w:rsid w:val="00963E09"/>
    <w:rsid w:val="00966797"/>
    <w:rsid w:val="00967F78"/>
    <w:rsid w:val="00970C17"/>
    <w:rsid w:val="0097160A"/>
    <w:rsid w:val="00972A26"/>
    <w:rsid w:val="009772D5"/>
    <w:rsid w:val="00980230"/>
    <w:rsid w:val="0098055C"/>
    <w:rsid w:val="00980AE6"/>
    <w:rsid w:val="0098171A"/>
    <w:rsid w:val="00982C89"/>
    <w:rsid w:val="00987CEF"/>
    <w:rsid w:val="00990A91"/>
    <w:rsid w:val="00990BFB"/>
    <w:rsid w:val="00992262"/>
    <w:rsid w:val="00993A92"/>
    <w:rsid w:val="009948F7"/>
    <w:rsid w:val="0099682B"/>
    <w:rsid w:val="009A0CB9"/>
    <w:rsid w:val="009A4472"/>
    <w:rsid w:val="009A723F"/>
    <w:rsid w:val="009B4732"/>
    <w:rsid w:val="009B5355"/>
    <w:rsid w:val="009B5D2C"/>
    <w:rsid w:val="009B5E85"/>
    <w:rsid w:val="009B7C1E"/>
    <w:rsid w:val="009B7FB8"/>
    <w:rsid w:val="009C018C"/>
    <w:rsid w:val="009C4FC6"/>
    <w:rsid w:val="009C6CAB"/>
    <w:rsid w:val="009D0A67"/>
    <w:rsid w:val="009D0BDD"/>
    <w:rsid w:val="009D30D9"/>
    <w:rsid w:val="009D4CB2"/>
    <w:rsid w:val="009D4DA2"/>
    <w:rsid w:val="009D6922"/>
    <w:rsid w:val="009E1A9A"/>
    <w:rsid w:val="009E375D"/>
    <w:rsid w:val="009E45D0"/>
    <w:rsid w:val="009E6F30"/>
    <w:rsid w:val="009F25A3"/>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2EA"/>
    <w:rsid w:val="00A31753"/>
    <w:rsid w:val="00A31C4C"/>
    <w:rsid w:val="00A332A0"/>
    <w:rsid w:val="00A33CC4"/>
    <w:rsid w:val="00A346EC"/>
    <w:rsid w:val="00A346FD"/>
    <w:rsid w:val="00A3529C"/>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FBB"/>
    <w:rsid w:val="00A821D0"/>
    <w:rsid w:val="00A82AD6"/>
    <w:rsid w:val="00A82EAB"/>
    <w:rsid w:val="00A834B1"/>
    <w:rsid w:val="00A843E5"/>
    <w:rsid w:val="00A84F36"/>
    <w:rsid w:val="00A86639"/>
    <w:rsid w:val="00A8670C"/>
    <w:rsid w:val="00A867CB"/>
    <w:rsid w:val="00A87F97"/>
    <w:rsid w:val="00A91007"/>
    <w:rsid w:val="00A9196D"/>
    <w:rsid w:val="00A92E86"/>
    <w:rsid w:val="00A96138"/>
    <w:rsid w:val="00A962FD"/>
    <w:rsid w:val="00A96858"/>
    <w:rsid w:val="00A969FF"/>
    <w:rsid w:val="00AA0CDA"/>
    <w:rsid w:val="00AA1F6E"/>
    <w:rsid w:val="00AA370E"/>
    <w:rsid w:val="00AA37F8"/>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3AEE"/>
    <w:rsid w:val="00AD6A7E"/>
    <w:rsid w:val="00AE0219"/>
    <w:rsid w:val="00AE1233"/>
    <w:rsid w:val="00AE1E9B"/>
    <w:rsid w:val="00AE23FD"/>
    <w:rsid w:val="00AE3990"/>
    <w:rsid w:val="00AE6369"/>
    <w:rsid w:val="00AE63DE"/>
    <w:rsid w:val="00AF1F50"/>
    <w:rsid w:val="00AF26B3"/>
    <w:rsid w:val="00AF55EC"/>
    <w:rsid w:val="00AF65A2"/>
    <w:rsid w:val="00AF6936"/>
    <w:rsid w:val="00AF771D"/>
    <w:rsid w:val="00B00AB4"/>
    <w:rsid w:val="00B00CD9"/>
    <w:rsid w:val="00B014A0"/>
    <w:rsid w:val="00B0153F"/>
    <w:rsid w:val="00B03135"/>
    <w:rsid w:val="00B03B5C"/>
    <w:rsid w:val="00B04178"/>
    <w:rsid w:val="00B048CC"/>
    <w:rsid w:val="00B04A34"/>
    <w:rsid w:val="00B06FE2"/>
    <w:rsid w:val="00B07095"/>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434"/>
    <w:rsid w:val="00B25A20"/>
    <w:rsid w:val="00B25D71"/>
    <w:rsid w:val="00B26902"/>
    <w:rsid w:val="00B26C68"/>
    <w:rsid w:val="00B30171"/>
    <w:rsid w:val="00B302F5"/>
    <w:rsid w:val="00B30C99"/>
    <w:rsid w:val="00B33E5B"/>
    <w:rsid w:val="00B355AB"/>
    <w:rsid w:val="00B36F20"/>
    <w:rsid w:val="00B37719"/>
    <w:rsid w:val="00B40729"/>
    <w:rsid w:val="00B42B5E"/>
    <w:rsid w:val="00B43266"/>
    <w:rsid w:val="00B45827"/>
    <w:rsid w:val="00B461F9"/>
    <w:rsid w:val="00B474D0"/>
    <w:rsid w:val="00B52167"/>
    <w:rsid w:val="00B53218"/>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44CF"/>
    <w:rsid w:val="00B75363"/>
    <w:rsid w:val="00B766EE"/>
    <w:rsid w:val="00B8029F"/>
    <w:rsid w:val="00B8226C"/>
    <w:rsid w:val="00B851ED"/>
    <w:rsid w:val="00B856E6"/>
    <w:rsid w:val="00B86940"/>
    <w:rsid w:val="00B86DF8"/>
    <w:rsid w:val="00B8706D"/>
    <w:rsid w:val="00B91CDD"/>
    <w:rsid w:val="00B92B28"/>
    <w:rsid w:val="00B9722B"/>
    <w:rsid w:val="00B972CE"/>
    <w:rsid w:val="00BA0166"/>
    <w:rsid w:val="00BA1570"/>
    <w:rsid w:val="00BA2BDC"/>
    <w:rsid w:val="00BA3F55"/>
    <w:rsid w:val="00BA4270"/>
    <w:rsid w:val="00BA508D"/>
    <w:rsid w:val="00BB0F3A"/>
    <w:rsid w:val="00BB1D52"/>
    <w:rsid w:val="00BB1F7B"/>
    <w:rsid w:val="00BB2086"/>
    <w:rsid w:val="00BB5974"/>
    <w:rsid w:val="00BB652B"/>
    <w:rsid w:val="00BC15E1"/>
    <w:rsid w:val="00BC1B9A"/>
    <w:rsid w:val="00BC47DD"/>
    <w:rsid w:val="00BC538C"/>
    <w:rsid w:val="00BC67EE"/>
    <w:rsid w:val="00BD222E"/>
    <w:rsid w:val="00BD6961"/>
    <w:rsid w:val="00BE0A11"/>
    <w:rsid w:val="00BE0E84"/>
    <w:rsid w:val="00BE1ECE"/>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62D0"/>
    <w:rsid w:val="00C1294A"/>
    <w:rsid w:val="00C16B79"/>
    <w:rsid w:val="00C17D57"/>
    <w:rsid w:val="00C214AD"/>
    <w:rsid w:val="00C21BD8"/>
    <w:rsid w:val="00C2417F"/>
    <w:rsid w:val="00C24629"/>
    <w:rsid w:val="00C3003A"/>
    <w:rsid w:val="00C31819"/>
    <w:rsid w:val="00C31A61"/>
    <w:rsid w:val="00C32017"/>
    <w:rsid w:val="00C33BE7"/>
    <w:rsid w:val="00C33C8F"/>
    <w:rsid w:val="00C35694"/>
    <w:rsid w:val="00C404ED"/>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6D72"/>
    <w:rsid w:val="00C5794A"/>
    <w:rsid w:val="00C61197"/>
    <w:rsid w:val="00C62EF1"/>
    <w:rsid w:val="00C65F8F"/>
    <w:rsid w:val="00C666CE"/>
    <w:rsid w:val="00C6714F"/>
    <w:rsid w:val="00C674FD"/>
    <w:rsid w:val="00C675D7"/>
    <w:rsid w:val="00C7077B"/>
    <w:rsid w:val="00C729CD"/>
    <w:rsid w:val="00C73CBE"/>
    <w:rsid w:val="00C7631A"/>
    <w:rsid w:val="00C8251B"/>
    <w:rsid w:val="00C82AFE"/>
    <w:rsid w:val="00C8350E"/>
    <w:rsid w:val="00C86370"/>
    <w:rsid w:val="00C866C5"/>
    <w:rsid w:val="00C8703B"/>
    <w:rsid w:val="00C905CD"/>
    <w:rsid w:val="00C90997"/>
    <w:rsid w:val="00C92654"/>
    <w:rsid w:val="00C926CE"/>
    <w:rsid w:val="00C92D00"/>
    <w:rsid w:val="00C938A2"/>
    <w:rsid w:val="00C96DDA"/>
    <w:rsid w:val="00CA3091"/>
    <w:rsid w:val="00CA526E"/>
    <w:rsid w:val="00CA5861"/>
    <w:rsid w:val="00CA7C2C"/>
    <w:rsid w:val="00CA7DF1"/>
    <w:rsid w:val="00CB063E"/>
    <w:rsid w:val="00CB46CA"/>
    <w:rsid w:val="00CB4EC5"/>
    <w:rsid w:val="00CB52A4"/>
    <w:rsid w:val="00CB7BA1"/>
    <w:rsid w:val="00CC0C69"/>
    <w:rsid w:val="00CC31B6"/>
    <w:rsid w:val="00CC4AC7"/>
    <w:rsid w:val="00CC6087"/>
    <w:rsid w:val="00CC7630"/>
    <w:rsid w:val="00CC7C8D"/>
    <w:rsid w:val="00CD0071"/>
    <w:rsid w:val="00CD1EC5"/>
    <w:rsid w:val="00CD2FD4"/>
    <w:rsid w:val="00CD346D"/>
    <w:rsid w:val="00CD4000"/>
    <w:rsid w:val="00CD65F7"/>
    <w:rsid w:val="00CD688D"/>
    <w:rsid w:val="00CD6EF8"/>
    <w:rsid w:val="00CD7375"/>
    <w:rsid w:val="00CE2071"/>
    <w:rsid w:val="00CE3DDF"/>
    <w:rsid w:val="00CE5E68"/>
    <w:rsid w:val="00CE656F"/>
    <w:rsid w:val="00CE68FC"/>
    <w:rsid w:val="00CE7222"/>
    <w:rsid w:val="00CF109F"/>
    <w:rsid w:val="00CF1C41"/>
    <w:rsid w:val="00CF447A"/>
    <w:rsid w:val="00CF4BE7"/>
    <w:rsid w:val="00CF5A1E"/>
    <w:rsid w:val="00CF6285"/>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275A0"/>
    <w:rsid w:val="00D34FD3"/>
    <w:rsid w:val="00D35E01"/>
    <w:rsid w:val="00D36556"/>
    <w:rsid w:val="00D377DE"/>
    <w:rsid w:val="00D417FD"/>
    <w:rsid w:val="00D41D0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761"/>
    <w:rsid w:val="00D63C15"/>
    <w:rsid w:val="00D64928"/>
    <w:rsid w:val="00D70444"/>
    <w:rsid w:val="00D70DB5"/>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74D3"/>
    <w:rsid w:val="00D975E7"/>
    <w:rsid w:val="00D97757"/>
    <w:rsid w:val="00DA0916"/>
    <w:rsid w:val="00DA2723"/>
    <w:rsid w:val="00DA5080"/>
    <w:rsid w:val="00DA6452"/>
    <w:rsid w:val="00DA695E"/>
    <w:rsid w:val="00DA6ADA"/>
    <w:rsid w:val="00DA6C53"/>
    <w:rsid w:val="00DA7DC5"/>
    <w:rsid w:val="00DB02AD"/>
    <w:rsid w:val="00DB071D"/>
    <w:rsid w:val="00DB2081"/>
    <w:rsid w:val="00DB3635"/>
    <w:rsid w:val="00DB4AD1"/>
    <w:rsid w:val="00DC0B85"/>
    <w:rsid w:val="00DC18B4"/>
    <w:rsid w:val="00DC23C5"/>
    <w:rsid w:val="00DC2D2C"/>
    <w:rsid w:val="00DC6751"/>
    <w:rsid w:val="00DC7051"/>
    <w:rsid w:val="00DD0DB2"/>
    <w:rsid w:val="00DD1196"/>
    <w:rsid w:val="00DD1D64"/>
    <w:rsid w:val="00DD6B1F"/>
    <w:rsid w:val="00DD759C"/>
    <w:rsid w:val="00DD799E"/>
    <w:rsid w:val="00DE099D"/>
    <w:rsid w:val="00DE0AE4"/>
    <w:rsid w:val="00DE0BB8"/>
    <w:rsid w:val="00DE3399"/>
    <w:rsid w:val="00DE41DB"/>
    <w:rsid w:val="00DF27E2"/>
    <w:rsid w:val="00DF2896"/>
    <w:rsid w:val="00DF637A"/>
    <w:rsid w:val="00DF74C6"/>
    <w:rsid w:val="00E00B59"/>
    <w:rsid w:val="00E029A1"/>
    <w:rsid w:val="00E02D97"/>
    <w:rsid w:val="00E0577E"/>
    <w:rsid w:val="00E07816"/>
    <w:rsid w:val="00E117CD"/>
    <w:rsid w:val="00E11D84"/>
    <w:rsid w:val="00E1286F"/>
    <w:rsid w:val="00E12AFA"/>
    <w:rsid w:val="00E12B6B"/>
    <w:rsid w:val="00E13523"/>
    <w:rsid w:val="00E14A6F"/>
    <w:rsid w:val="00E15E5F"/>
    <w:rsid w:val="00E167EC"/>
    <w:rsid w:val="00E2565F"/>
    <w:rsid w:val="00E3390E"/>
    <w:rsid w:val="00E34A48"/>
    <w:rsid w:val="00E3574E"/>
    <w:rsid w:val="00E363D5"/>
    <w:rsid w:val="00E36957"/>
    <w:rsid w:val="00E373F8"/>
    <w:rsid w:val="00E37982"/>
    <w:rsid w:val="00E379D9"/>
    <w:rsid w:val="00E41376"/>
    <w:rsid w:val="00E42FC6"/>
    <w:rsid w:val="00E43F1F"/>
    <w:rsid w:val="00E4494C"/>
    <w:rsid w:val="00E45B25"/>
    <w:rsid w:val="00E502BA"/>
    <w:rsid w:val="00E511AC"/>
    <w:rsid w:val="00E5360E"/>
    <w:rsid w:val="00E60013"/>
    <w:rsid w:val="00E617B0"/>
    <w:rsid w:val="00E6205C"/>
    <w:rsid w:val="00E6252B"/>
    <w:rsid w:val="00E64653"/>
    <w:rsid w:val="00E65BBF"/>
    <w:rsid w:val="00E66729"/>
    <w:rsid w:val="00E67A36"/>
    <w:rsid w:val="00E71C71"/>
    <w:rsid w:val="00E746D4"/>
    <w:rsid w:val="00E749A3"/>
    <w:rsid w:val="00E749A5"/>
    <w:rsid w:val="00E74D1E"/>
    <w:rsid w:val="00E75779"/>
    <w:rsid w:val="00E7641F"/>
    <w:rsid w:val="00E811D2"/>
    <w:rsid w:val="00E867B8"/>
    <w:rsid w:val="00E87DB5"/>
    <w:rsid w:val="00E922E2"/>
    <w:rsid w:val="00E94C27"/>
    <w:rsid w:val="00E95454"/>
    <w:rsid w:val="00E9548A"/>
    <w:rsid w:val="00EA185B"/>
    <w:rsid w:val="00EA318F"/>
    <w:rsid w:val="00EA384C"/>
    <w:rsid w:val="00EA3A97"/>
    <w:rsid w:val="00EA4049"/>
    <w:rsid w:val="00EA6C34"/>
    <w:rsid w:val="00EA78A8"/>
    <w:rsid w:val="00EA7D16"/>
    <w:rsid w:val="00EB0E3E"/>
    <w:rsid w:val="00EB1064"/>
    <w:rsid w:val="00EB12A4"/>
    <w:rsid w:val="00EB1315"/>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22DD"/>
    <w:rsid w:val="00EF62FC"/>
    <w:rsid w:val="00EF7252"/>
    <w:rsid w:val="00F00EF4"/>
    <w:rsid w:val="00F021F4"/>
    <w:rsid w:val="00F02FB9"/>
    <w:rsid w:val="00F0301E"/>
    <w:rsid w:val="00F037D9"/>
    <w:rsid w:val="00F06DB3"/>
    <w:rsid w:val="00F07799"/>
    <w:rsid w:val="00F1100E"/>
    <w:rsid w:val="00F115D6"/>
    <w:rsid w:val="00F146EC"/>
    <w:rsid w:val="00F14A31"/>
    <w:rsid w:val="00F14F56"/>
    <w:rsid w:val="00F1617E"/>
    <w:rsid w:val="00F16303"/>
    <w:rsid w:val="00F16D9D"/>
    <w:rsid w:val="00F176B6"/>
    <w:rsid w:val="00F20002"/>
    <w:rsid w:val="00F232A6"/>
    <w:rsid w:val="00F251AF"/>
    <w:rsid w:val="00F25526"/>
    <w:rsid w:val="00F26B20"/>
    <w:rsid w:val="00F30DB5"/>
    <w:rsid w:val="00F3271C"/>
    <w:rsid w:val="00F32826"/>
    <w:rsid w:val="00F337DD"/>
    <w:rsid w:val="00F33E31"/>
    <w:rsid w:val="00F43740"/>
    <w:rsid w:val="00F43D0D"/>
    <w:rsid w:val="00F43EAE"/>
    <w:rsid w:val="00F45AC0"/>
    <w:rsid w:val="00F476C6"/>
    <w:rsid w:val="00F47BFB"/>
    <w:rsid w:val="00F501FE"/>
    <w:rsid w:val="00F50E8F"/>
    <w:rsid w:val="00F53BE1"/>
    <w:rsid w:val="00F56293"/>
    <w:rsid w:val="00F57EC5"/>
    <w:rsid w:val="00F60FAB"/>
    <w:rsid w:val="00F611D4"/>
    <w:rsid w:val="00F61782"/>
    <w:rsid w:val="00F63F55"/>
    <w:rsid w:val="00F6535B"/>
    <w:rsid w:val="00F66669"/>
    <w:rsid w:val="00F66CAA"/>
    <w:rsid w:val="00F70717"/>
    <w:rsid w:val="00F71552"/>
    <w:rsid w:val="00F7340B"/>
    <w:rsid w:val="00F745D4"/>
    <w:rsid w:val="00F74814"/>
    <w:rsid w:val="00F74AFD"/>
    <w:rsid w:val="00F76B94"/>
    <w:rsid w:val="00F80C33"/>
    <w:rsid w:val="00F81941"/>
    <w:rsid w:val="00F82152"/>
    <w:rsid w:val="00F8226F"/>
    <w:rsid w:val="00F905AB"/>
    <w:rsid w:val="00F969CF"/>
    <w:rsid w:val="00FA0486"/>
    <w:rsid w:val="00FA1CF2"/>
    <w:rsid w:val="00FA27FD"/>
    <w:rsid w:val="00FA3E55"/>
    <w:rsid w:val="00FA5295"/>
    <w:rsid w:val="00FA5FDC"/>
    <w:rsid w:val="00FA660A"/>
    <w:rsid w:val="00FA6CDD"/>
    <w:rsid w:val="00FB09F9"/>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E1C74"/>
    <w:rsid w:val="00FE2591"/>
    <w:rsid w:val="00FE307B"/>
    <w:rsid w:val="00FE353A"/>
    <w:rsid w:val="00FE4EBA"/>
    <w:rsid w:val="00FE53A8"/>
    <w:rsid w:val="00FE55B9"/>
    <w:rsid w:val="00FE5B68"/>
    <w:rsid w:val="00FE5C60"/>
    <w:rsid w:val="00FF0C63"/>
    <w:rsid w:val="00FF0EC6"/>
    <w:rsid w:val="00FF1DAB"/>
    <w:rsid w:val="00FF394A"/>
    <w:rsid w:val="00FF3DF8"/>
    <w:rsid w:val="081366B8"/>
    <w:rsid w:val="11E5455D"/>
    <w:rsid w:val="28CD6325"/>
    <w:rsid w:val="2C1C6904"/>
    <w:rsid w:val="2CE81BAF"/>
    <w:rsid w:val="38F33167"/>
    <w:rsid w:val="3C963D43"/>
    <w:rsid w:val="466772B3"/>
    <w:rsid w:val="49DB56B1"/>
    <w:rsid w:val="506A1849"/>
    <w:rsid w:val="55432304"/>
    <w:rsid w:val="5EEB66AC"/>
    <w:rsid w:val="61577893"/>
    <w:rsid w:val="6BC1702A"/>
    <w:rsid w:val="6FAB5603"/>
    <w:rsid w:val="70641189"/>
    <w:rsid w:val="727A42A0"/>
    <w:rsid w:val="75BE6EB5"/>
    <w:rsid w:val="7EEF6C2A"/>
    <w:rsid w:val="7F074C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qFormat="1"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60" w:after="60" w:line="360" w:lineRule="auto"/>
      <w:jc w:val="center"/>
      <w:outlineLvl w:val="1"/>
    </w:pPr>
    <w:rPr>
      <w:rFonts w:ascii="宋体" w:hAnsi="宋体"/>
      <w:b/>
      <w:bCs/>
      <w:sz w:val="28"/>
      <w:szCs w:val="32"/>
      <w:lang w:val="zh-CN"/>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5">
    <w:name w:val="Normal Indent"/>
    <w:basedOn w:val="1"/>
    <w:unhideWhenUsed/>
    <w:qFormat/>
    <w:locked/>
    <w:uiPriority w:val="99"/>
    <w:pPr>
      <w:ind w:firstLine="420" w:firstLineChars="200"/>
    </w:pPr>
  </w:style>
  <w:style w:type="paragraph" w:styleId="6">
    <w:name w:val="annotation text"/>
    <w:basedOn w:val="1"/>
    <w:link w:val="24"/>
    <w:qFormat/>
    <w:uiPriority w:val="99"/>
    <w:pPr>
      <w:jc w:val="left"/>
    </w:pPr>
    <w:rPr>
      <w:sz w:val="24"/>
      <w:szCs w:val="20"/>
    </w:rPr>
  </w:style>
  <w:style w:type="paragraph" w:styleId="7">
    <w:name w:val="Body Text"/>
    <w:basedOn w:val="1"/>
    <w:link w:val="43"/>
    <w:unhideWhenUsed/>
    <w:qFormat/>
    <w:locked/>
    <w:uiPriority w:val="99"/>
    <w:pPr>
      <w:spacing w:after="120"/>
    </w:pPr>
  </w:style>
  <w:style w:type="paragraph" w:styleId="8">
    <w:name w:val="Body Text Indent"/>
    <w:basedOn w:val="1"/>
    <w:link w:val="25"/>
    <w:qFormat/>
    <w:uiPriority w:val="99"/>
    <w:pPr>
      <w:ind w:firstLine="575" w:firstLineChars="274"/>
    </w:pPr>
    <w:rPr>
      <w:rFonts w:ascii="等线" w:eastAsia="等线"/>
      <w:sz w:val="22"/>
      <w:szCs w:val="20"/>
    </w:r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6"/>
    <w:qFormat/>
    <w:uiPriority w:val="0"/>
    <w:rPr>
      <w:rFonts w:ascii="宋体" w:hAnsi="Courier New"/>
      <w:szCs w:val="20"/>
    </w:rPr>
  </w:style>
  <w:style w:type="paragraph" w:styleId="11">
    <w:name w:val="Date"/>
    <w:basedOn w:val="1"/>
    <w:next w:val="1"/>
    <w:link w:val="27"/>
    <w:qFormat/>
    <w:uiPriority w:val="99"/>
    <w:pPr>
      <w:ind w:left="100" w:leftChars="2500"/>
    </w:pPr>
    <w:rPr>
      <w:sz w:val="24"/>
      <w:szCs w:val="20"/>
    </w:rPr>
  </w:style>
  <w:style w:type="paragraph" w:styleId="12">
    <w:name w:val="Balloon Text"/>
    <w:basedOn w:val="1"/>
    <w:link w:val="28"/>
    <w:semiHidden/>
    <w:qFormat/>
    <w:uiPriority w:val="99"/>
    <w:rPr>
      <w:kern w:val="0"/>
      <w:sz w:val="2"/>
      <w:szCs w:val="20"/>
    </w:rPr>
  </w:style>
  <w:style w:type="paragraph" w:styleId="13">
    <w:name w:val="footer"/>
    <w:basedOn w:val="1"/>
    <w:link w:val="29"/>
    <w:qFormat/>
    <w:uiPriority w:val="99"/>
    <w:pPr>
      <w:tabs>
        <w:tab w:val="center" w:pos="4153"/>
        <w:tab w:val="right" w:pos="8306"/>
      </w:tabs>
      <w:snapToGrid w:val="0"/>
      <w:jc w:val="left"/>
    </w:pPr>
    <w:rPr>
      <w:kern w:val="0"/>
      <w:sz w:val="18"/>
      <w:szCs w:val="18"/>
    </w:rPr>
  </w:style>
  <w:style w:type="paragraph" w:styleId="14">
    <w:name w:val="header"/>
    <w:basedOn w:val="1"/>
    <w:link w:val="30"/>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6"/>
    <w:next w:val="6"/>
    <w:link w:val="31"/>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semiHidden/>
    <w:unhideWhenUsed/>
    <w:qFormat/>
    <w:locked/>
    <w:uiPriority w:val="99"/>
    <w:rPr>
      <w:color w:val="800080" w:themeColor="followedHyperlink"/>
      <w:u w:val="single"/>
    </w:rPr>
  </w:style>
  <w:style w:type="character" w:styleId="21">
    <w:name w:val="Hyperlink"/>
    <w:qFormat/>
    <w:uiPriority w:val="99"/>
    <w:rPr>
      <w:rFonts w:cs="Times New Roman"/>
      <w:color w:val="0563C1"/>
      <w:u w:val="single"/>
    </w:rPr>
  </w:style>
  <w:style w:type="character" w:styleId="22">
    <w:name w:val="annotation reference"/>
    <w:qFormat/>
    <w:uiPriority w:val="99"/>
    <w:rPr>
      <w:rFonts w:cs="Times New Roman"/>
      <w:sz w:val="21"/>
    </w:rPr>
  </w:style>
  <w:style w:type="character" w:customStyle="1" w:styleId="23">
    <w:name w:val="标题 1 字符"/>
    <w:link w:val="3"/>
    <w:qFormat/>
    <w:locked/>
    <w:uiPriority w:val="99"/>
    <w:rPr>
      <w:rFonts w:cs="Times New Roman"/>
      <w:b/>
      <w:kern w:val="44"/>
      <w:sz w:val="44"/>
    </w:rPr>
  </w:style>
  <w:style w:type="character" w:customStyle="1" w:styleId="24">
    <w:name w:val="批注文字 字符"/>
    <w:link w:val="6"/>
    <w:qFormat/>
    <w:locked/>
    <w:uiPriority w:val="99"/>
    <w:rPr>
      <w:rFonts w:cs="Times New Roman"/>
      <w:kern w:val="2"/>
      <w:sz w:val="24"/>
    </w:rPr>
  </w:style>
  <w:style w:type="character" w:customStyle="1" w:styleId="25">
    <w:name w:val="正文文本缩进 字符"/>
    <w:link w:val="8"/>
    <w:qFormat/>
    <w:locked/>
    <w:uiPriority w:val="99"/>
    <w:rPr>
      <w:rFonts w:ascii="等线" w:eastAsia="等线" w:cs="Times New Roman"/>
      <w:kern w:val="2"/>
      <w:sz w:val="22"/>
    </w:rPr>
  </w:style>
  <w:style w:type="character" w:customStyle="1" w:styleId="26">
    <w:name w:val="纯文本 字符"/>
    <w:link w:val="10"/>
    <w:qFormat/>
    <w:locked/>
    <w:uiPriority w:val="0"/>
    <w:rPr>
      <w:rFonts w:ascii="宋体" w:hAnsi="Courier New" w:cs="Times New Roman"/>
      <w:kern w:val="2"/>
      <w:sz w:val="21"/>
    </w:rPr>
  </w:style>
  <w:style w:type="character" w:customStyle="1" w:styleId="27">
    <w:name w:val="日期 字符"/>
    <w:link w:val="11"/>
    <w:qFormat/>
    <w:locked/>
    <w:uiPriority w:val="99"/>
    <w:rPr>
      <w:rFonts w:cs="Times New Roman"/>
      <w:kern w:val="2"/>
      <w:sz w:val="24"/>
    </w:rPr>
  </w:style>
  <w:style w:type="character" w:customStyle="1" w:styleId="28">
    <w:name w:val="批注框文本 字符"/>
    <w:link w:val="12"/>
    <w:semiHidden/>
    <w:qFormat/>
    <w:locked/>
    <w:uiPriority w:val="99"/>
    <w:rPr>
      <w:rFonts w:cs="Times New Roman"/>
      <w:sz w:val="2"/>
    </w:rPr>
  </w:style>
  <w:style w:type="character" w:customStyle="1" w:styleId="29">
    <w:name w:val="页脚 字符"/>
    <w:link w:val="13"/>
    <w:semiHidden/>
    <w:qFormat/>
    <w:locked/>
    <w:uiPriority w:val="99"/>
    <w:rPr>
      <w:rFonts w:cs="Times New Roman"/>
      <w:sz w:val="18"/>
      <w:szCs w:val="18"/>
    </w:rPr>
  </w:style>
  <w:style w:type="character" w:customStyle="1" w:styleId="30">
    <w:name w:val="页眉 字符"/>
    <w:link w:val="14"/>
    <w:qFormat/>
    <w:locked/>
    <w:uiPriority w:val="99"/>
    <w:rPr>
      <w:rFonts w:cs="Times New Roman"/>
      <w:kern w:val="2"/>
      <w:sz w:val="18"/>
    </w:rPr>
  </w:style>
  <w:style w:type="character" w:customStyle="1" w:styleId="31">
    <w:name w:val="批注主题 字符"/>
    <w:link w:val="16"/>
    <w:qFormat/>
    <w:locked/>
    <w:uiPriority w:val="99"/>
    <w:rPr>
      <w:rFonts w:cs="Times New Roman"/>
      <w:b/>
      <w:kern w:val="2"/>
      <w:sz w:val="24"/>
    </w:rPr>
  </w:style>
  <w:style w:type="paragraph" w:customStyle="1" w:styleId="32">
    <w:name w:val="Char"/>
    <w:basedOn w:val="1"/>
    <w:qFormat/>
    <w:uiPriority w:val="99"/>
    <w:pPr>
      <w:tabs>
        <w:tab w:val="left" w:pos="360"/>
      </w:tabs>
    </w:pPr>
    <w:rPr>
      <w:sz w:val="24"/>
    </w:rPr>
  </w:style>
  <w:style w:type="character" w:customStyle="1" w:styleId="33">
    <w:name w:val="列出段落 字符"/>
    <w:link w:val="34"/>
    <w:qFormat/>
    <w:locked/>
    <w:uiPriority w:val="0"/>
  </w:style>
  <w:style w:type="paragraph" w:styleId="34">
    <w:name w:val="List Paragraph"/>
    <w:basedOn w:val="1"/>
    <w:link w:val="33"/>
    <w:qFormat/>
    <w:uiPriority w:val="0"/>
    <w:pPr>
      <w:widowControl/>
      <w:ind w:firstLine="420" w:firstLineChars="200"/>
      <w:jc w:val="left"/>
    </w:pPr>
    <w:rPr>
      <w:kern w:val="0"/>
      <w:sz w:val="20"/>
      <w:szCs w:val="20"/>
    </w:rPr>
  </w:style>
  <w:style w:type="table" w:customStyle="1" w:styleId="35">
    <w:name w:val="网格型1"/>
    <w:qFormat/>
    <w:uiPriority w:val="9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Placeholder Text"/>
    <w:semiHidden/>
    <w:qFormat/>
    <w:uiPriority w:val="99"/>
    <w:rPr>
      <w:rFonts w:cs="Times New Roman"/>
      <w:color w:val="808080"/>
    </w:rPr>
  </w:style>
  <w:style w:type="paragraph" w:customStyle="1" w:styleId="37">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8">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9">
    <w:name w:val="网格型11"/>
    <w:qFormat/>
    <w:uiPriority w:val="9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0">
    <w:name w:val="列出段落2"/>
    <w:basedOn w:val="1"/>
    <w:qFormat/>
    <w:uiPriority w:val="99"/>
    <w:pPr>
      <w:ind w:firstLine="420" w:firstLineChars="200"/>
    </w:pPr>
    <w:rPr>
      <w:rFonts w:ascii="Calibri" w:hAnsi="Calibri"/>
      <w:szCs w:val="22"/>
    </w:rPr>
  </w:style>
  <w:style w:type="character" w:customStyle="1" w:styleId="41">
    <w:name w:val="标题 2 Char Char Char"/>
    <w:qFormat/>
    <w:uiPriority w:val="99"/>
    <w:rPr>
      <w:rFonts w:ascii="Arial" w:hAnsi="Arial" w:eastAsia="黑体"/>
      <w:b/>
      <w:kern w:val="2"/>
      <w:sz w:val="32"/>
      <w:lang w:val="en-US" w:eastAsia="zh-CN"/>
    </w:rPr>
  </w:style>
  <w:style w:type="paragraph" w:customStyle="1" w:styleId="42">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3">
    <w:name w:val="正文文本 字符"/>
    <w:link w:val="7"/>
    <w:qFormat/>
    <w:uiPriority w:val="99"/>
    <w:rPr>
      <w:kern w:val="2"/>
      <w:sz w:val="21"/>
      <w:szCs w:val="24"/>
    </w:rPr>
  </w:style>
  <w:style w:type="paragraph" w:customStyle="1" w:styleId="44">
    <w:name w:val="正文1"/>
    <w:basedOn w:val="1"/>
    <w:qFormat/>
    <w:uiPriority w:val="0"/>
    <w:pPr>
      <w:widowControl/>
      <w:spacing w:after="200" w:line="300" w:lineRule="atLeast"/>
      <w:jc w:val="left"/>
    </w:pPr>
    <w:rPr>
      <w:rFonts w:ascii="Calibri" w:hAnsi="Calibri" w:cs="宋体"/>
      <w:kern w:val="0"/>
      <w:sz w:val="22"/>
      <w:szCs w:val="22"/>
    </w:rPr>
  </w:style>
  <w:style w:type="character" w:customStyle="1" w:styleId="45">
    <w:name w:val="font212"/>
    <w:basedOn w:val="19"/>
    <w:qFormat/>
    <w:uiPriority w:val="0"/>
    <w:rPr>
      <w:rFonts w:hint="eastAsia" w:ascii="宋体" w:hAnsi="宋体" w:eastAsia="宋体" w:cs="宋体"/>
      <w:color w:val="000000"/>
      <w:sz w:val="18"/>
      <w:szCs w:val="18"/>
      <w:u w:val="none"/>
    </w:rPr>
  </w:style>
  <w:style w:type="character" w:customStyle="1" w:styleId="46">
    <w:name w:val="font231"/>
    <w:basedOn w:val="19"/>
    <w:qFormat/>
    <w:uiPriority w:val="0"/>
    <w:rPr>
      <w:rFonts w:hint="eastAsia" w:ascii="宋体" w:hAnsi="宋体" w:eastAsia="宋体" w:cs="宋体"/>
      <w:b/>
      <w:color w:val="FF0000"/>
      <w:sz w:val="18"/>
      <w:szCs w:val="18"/>
      <w:u w:val="none"/>
    </w:rPr>
  </w:style>
  <w:style w:type="paragraph" w:customStyle="1" w:styleId="47">
    <w:name w:val="表格样式"/>
    <w:basedOn w:val="1"/>
    <w:qFormat/>
    <w:uiPriority w:val="0"/>
    <w:pPr>
      <w:spacing w:beforeLines="30" w:afterLines="30"/>
      <w:jc w:val="left"/>
    </w:pPr>
    <w:rPr>
      <w:szCs w:val="21"/>
      <w:lang w:val="zh-CN"/>
    </w:rPr>
  </w:style>
  <w:style w:type="paragraph" w:customStyle="1" w:styleId="48">
    <w:name w:val="正文_0"/>
    <w:basedOn w:val="1"/>
    <w:qFormat/>
    <w:uiPriority w:val="0"/>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AD2A62-C397-4954-826B-044B995040B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2162</Words>
  <Characters>12329</Characters>
  <Lines>102</Lines>
  <Paragraphs>28</Paragraphs>
  <TotalTime>7</TotalTime>
  <ScaleCrop>false</ScaleCrop>
  <LinksUpToDate>false</LinksUpToDate>
  <CharactersWithSpaces>14463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2020-06-26T07:35:00Z</dcterms:created>
  <dc:creator>微软用户</dc:creator>
  <cp:lastModifiedBy>nxdlu</cp:lastModifiedBy>
  <cp:lastPrinted>2019-05-30T06:49:00Z</cp:lastPrinted>
  <dcterms:modified xsi:type="dcterms:W3CDTF">2020-07-15T14:03:35Z</dcterms:modified>
  <dc:title>淮海工学院A8-10号楼学生宿舍家具招标书</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