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2"/>
      <w:bookmarkStart w:id="1" w:name="OLE_LINK1"/>
      <w:r>
        <w:rPr>
          <w:b/>
          <w:sz w:val="44"/>
          <w:szCs w:val="44"/>
        </w:rPr>
        <w:t>南京信息工程大</w:t>
      </w:r>
      <w:r>
        <w:rPr>
          <w:rFonts w:hint="eastAsia"/>
          <w:b/>
          <w:sz w:val="44"/>
          <w:szCs w:val="44"/>
        </w:rPr>
        <w:t>学</w:t>
      </w:r>
      <w:bookmarkEnd w:id="0"/>
      <w:bookmarkEnd w:id="1"/>
      <w:r>
        <w:rPr>
          <w:rFonts w:hint="eastAsia"/>
          <w:b/>
          <w:sz w:val="44"/>
          <w:szCs w:val="44"/>
        </w:rPr>
        <w:t>“智慧就业”管理与应用系统</w:t>
      </w:r>
    </w:p>
    <w:p>
      <w:pPr>
        <w:jc w:val="center"/>
        <w:rPr>
          <w:b/>
          <w:sz w:val="44"/>
          <w:szCs w:val="44"/>
        </w:rPr>
      </w:pPr>
      <w:r>
        <w:rPr>
          <w:rFonts w:hint="eastAsia"/>
          <w:b/>
          <w:sz w:val="44"/>
          <w:szCs w:val="44"/>
        </w:rPr>
        <w:t>采购项目招标文件</w:t>
      </w:r>
    </w:p>
    <w:p>
      <w:pPr>
        <w:pStyle w:val="9"/>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（招标编号：ZHL2020032）</w:t>
      </w:r>
    </w:p>
    <w:p>
      <w:pPr>
        <w:adjustRightInd w:val="0"/>
        <w:snapToGrid w:val="0"/>
        <w:spacing w:line="360" w:lineRule="auto"/>
        <w:jc w:val="center"/>
        <w:rPr>
          <w:rFonts w:ascii="宋体" w:cs="仿宋"/>
          <w:sz w:val="28"/>
          <w:szCs w:val="28"/>
          <w:highlight w:val="yellow"/>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20年07月15日21：</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w:t>
      </w:r>
      <w:r>
        <w:rPr>
          <w:kern w:val="0"/>
          <w:sz w:val="28"/>
          <w:szCs w:val="28"/>
        </w:rPr>
        <w:t>学校</w:t>
      </w:r>
      <w:r>
        <w:rPr>
          <w:rFonts w:hint="eastAsia"/>
          <w:kern w:val="0"/>
          <w:sz w:val="28"/>
          <w:szCs w:val="28"/>
        </w:rPr>
        <w:t>就业</w:t>
      </w:r>
      <w:r>
        <w:rPr>
          <w:rFonts w:ascii="宋体" w:hAnsi="宋体"/>
          <w:sz w:val="28"/>
          <w:szCs w:val="28"/>
        </w:rPr>
        <w:t>工作需要，受</w:t>
      </w:r>
      <w:r>
        <w:rPr>
          <w:rFonts w:hint="eastAsia"/>
          <w:sz w:val="28"/>
          <w:szCs w:val="28"/>
        </w:rPr>
        <w:t>学生工作处</w:t>
      </w:r>
      <w:r>
        <w:rPr>
          <w:rFonts w:ascii="宋体" w:hAnsi="宋体"/>
          <w:sz w:val="28"/>
          <w:szCs w:val="28"/>
        </w:rPr>
        <w:t>委托，就</w:t>
      </w:r>
      <w:r>
        <w:rPr>
          <w:rFonts w:hint="eastAsia" w:ascii="宋体" w:hAnsi="宋体"/>
          <w:sz w:val="28"/>
          <w:szCs w:val="28"/>
        </w:rPr>
        <w:t>“智慧</w:t>
      </w:r>
      <w:r>
        <w:rPr>
          <w:rFonts w:hint="eastAsia"/>
          <w:sz w:val="28"/>
          <w:szCs w:val="28"/>
        </w:rPr>
        <w:t>就业</w:t>
      </w:r>
      <w:r>
        <w:rPr>
          <w:rFonts w:hint="eastAsia" w:ascii="宋体" w:hAnsi="宋体"/>
          <w:sz w:val="28"/>
          <w:szCs w:val="28"/>
        </w:rPr>
        <w:t>”</w:t>
      </w:r>
      <w:r>
        <w:rPr>
          <w:rFonts w:hint="eastAsia"/>
          <w:sz w:val="28"/>
          <w:szCs w:val="28"/>
        </w:rPr>
        <w:t>管理与应用系统采购</w:t>
      </w:r>
      <w:r>
        <w:rPr>
          <w:kern w:val="0"/>
          <w:sz w:val="28"/>
          <w:szCs w:val="28"/>
        </w:rPr>
        <w:t>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4"/>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4"/>
        <w:spacing w:line="360" w:lineRule="auto"/>
        <w:ind w:firstLine="560"/>
        <w:rPr>
          <w:rFonts w:ascii="宋体" w:hAnsi="宋体"/>
          <w:kern w:val="2"/>
          <w:sz w:val="28"/>
          <w:szCs w:val="28"/>
        </w:rPr>
      </w:pPr>
      <w:r>
        <w:rPr>
          <w:rFonts w:ascii="宋体" w:hAnsi="宋体"/>
          <w:kern w:val="2"/>
          <w:sz w:val="28"/>
          <w:szCs w:val="28"/>
        </w:rPr>
        <w:t>1. 项目名称：南京信息工程大学</w:t>
      </w:r>
      <w:r>
        <w:rPr>
          <w:rFonts w:hint="eastAsia" w:ascii="宋体" w:hAnsi="宋体"/>
          <w:sz w:val="28"/>
          <w:szCs w:val="28"/>
        </w:rPr>
        <w:t>“智慧</w:t>
      </w:r>
      <w:r>
        <w:rPr>
          <w:rFonts w:hint="eastAsia"/>
          <w:sz w:val="28"/>
          <w:szCs w:val="28"/>
        </w:rPr>
        <w:t>就业</w:t>
      </w:r>
      <w:r>
        <w:rPr>
          <w:rFonts w:hint="eastAsia" w:ascii="宋体" w:hAnsi="宋体"/>
          <w:sz w:val="28"/>
          <w:szCs w:val="28"/>
        </w:rPr>
        <w:t>”</w:t>
      </w:r>
      <w:r>
        <w:rPr>
          <w:rFonts w:hint="eastAsia"/>
          <w:sz w:val="28"/>
          <w:szCs w:val="28"/>
        </w:rPr>
        <w:t>管理与应用系统采购</w:t>
      </w:r>
      <w:r>
        <w:rPr>
          <w:sz w:val="28"/>
          <w:szCs w:val="28"/>
        </w:rPr>
        <w:t>项目</w:t>
      </w:r>
      <w:r>
        <w:rPr>
          <w:rFonts w:ascii="宋体" w:hAnsi="宋体"/>
          <w:kern w:val="2"/>
          <w:sz w:val="28"/>
          <w:szCs w:val="28"/>
        </w:rPr>
        <w:t>。</w:t>
      </w:r>
    </w:p>
    <w:p>
      <w:pPr>
        <w:spacing w:line="300" w:lineRule="auto"/>
        <w:ind w:firstLine="560" w:firstLineChars="200"/>
        <w:rPr>
          <w:rFonts w:ascii="宋体" w:hAnsi="宋体"/>
          <w:sz w:val="28"/>
          <w:szCs w:val="28"/>
        </w:rPr>
      </w:pPr>
      <w:r>
        <w:rPr>
          <w:rFonts w:ascii="宋体" w:hAnsi="宋体"/>
          <w:sz w:val="28"/>
          <w:szCs w:val="28"/>
        </w:rPr>
        <w:t xml:space="preserve">2. </w:t>
      </w:r>
      <w:r>
        <w:rPr>
          <w:rFonts w:hint="eastAsia" w:ascii="宋体" w:hAnsi="宋体" w:cs="仿宋"/>
          <w:sz w:val="28"/>
          <w:szCs w:val="28"/>
        </w:rPr>
        <w:t>项目说明：</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rPr>
        <w:t>https://bulletin.nuist.edu.cn/779/lis</w:t>
      </w:r>
      <w:r>
        <w:rPr>
          <w:rStyle w:val="21"/>
          <w:color w:val="auto"/>
          <w:sz w:val="24"/>
        </w:rPr>
        <w:t>t.htm</w:t>
      </w:r>
      <w:r>
        <w:rPr>
          <w:rStyle w:val="21"/>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rPr>
        <w:t>zbc.nuist.edu.cn</w:t>
      </w:r>
      <w:r>
        <w:rPr>
          <w:rFonts w:ascii="宋体" w:hAnsi="宋体"/>
          <w:b/>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w:t>
      </w:r>
      <w:r>
        <w:rPr>
          <w:rFonts w:hint="eastAsia" w:ascii="宋体" w:hAnsi="宋体"/>
          <w:sz w:val="28"/>
          <w:szCs w:val="28"/>
          <w:lang w:val="en-US" w:eastAsia="zh-CN"/>
        </w:rPr>
        <w:t>招标办</w:t>
      </w:r>
      <w:r>
        <w:rPr>
          <w:rFonts w:hint="eastAsia" w:ascii="宋体" w:hAnsi="宋体"/>
          <w:sz w:val="28"/>
          <w:szCs w:val="28"/>
        </w:rPr>
        <w:t>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份纸质的正式招标文件，由财务处负责人和招标办工作人员同时签字并加盖财务处骑缝章后，分别交招标办、项目归口管理部门（或采购人）、审计处各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Arial"/>
          <w:i/>
          <w:iCs/>
          <w:sz w:val="28"/>
          <w:szCs w:val="28"/>
          <w:u w:val="single"/>
        </w:rPr>
        <w:t>1.具有独立承担民事责任的能力</w:t>
      </w:r>
      <w:r>
        <w:rPr>
          <w:rFonts w:hint="eastAsia" w:ascii="宋体" w:hAnsi="宋体"/>
          <w:i/>
          <w:iCs/>
          <w:sz w:val="28"/>
          <w:szCs w:val="28"/>
          <w:u w:val="single"/>
        </w:rPr>
        <w:t>：须为独立法人企业，需提供企业法人营业执照；</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2.具有良好的商业信誉和健全的财务会计制度</w:t>
      </w:r>
      <w:r>
        <w:rPr>
          <w:rFonts w:hint="eastAsia" w:ascii="宋体" w:hAnsi="宋体"/>
          <w:i/>
          <w:iCs/>
          <w:sz w:val="28"/>
          <w:szCs w:val="28"/>
          <w:u w:val="single"/>
        </w:rPr>
        <w:t>：需提供参加本次投标活动前近六个月内（2020年01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4.有依法缴纳税收和社会保障资金的良好记录</w:t>
      </w:r>
      <w:r>
        <w:rPr>
          <w:rFonts w:hint="eastAsia" w:ascii="宋体" w:hAnsi="宋体"/>
          <w:i/>
          <w:iCs/>
          <w:sz w:val="28"/>
          <w:szCs w:val="28"/>
          <w:u w:val="single"/>
        </w:rPr>
        <w:t>：提供参加本次投标活动前近六个月内（2020年01月至今）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iCs/>
          <w:sz w:val="28"/>
          <w:szCs w:val="28"/>
          <w:u w:val="single"/>
        </w:rPr>
      </w:pPr>
      <w:r>
        <w:rPr>
          <w:rFonts w:hint="eastAsia" w:ascii="宋体" w:hAnsi="宋体" w:cs="宋体"/>
          <w:i/>
          <w:iCs/>
          <w:kern w:val="0"/>
          <w:sz w:val="28"/>
          <w:szCs w:val="28"/>
          <w:u w:val="single"/>
        </w:rPr>
        <w:t>5.参加政府采购活动前三年内，在经营活动中没有违法记录</w:t>
      </w:r>
      <w:r>
        <w:rPr>
          <w:rFonts w:hint="eastAsia" w:ascii="宋体" w:hAnsi="宋体"/>
          <w:i/>
          <w:iCs/>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6.法律、行政法规规定的其他条件：无。</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（二）投标人不得存在下列情形之一</w:t>
      </w:r>
      <w:r>
        <w:rPr>
          <w:rFonts w:hint="eastAsia" w:ascii="宋体" w:hAnsi="宋体"/>
          <w:i/>
          <w:iCs/>
          <w:sz w:val="28"/>
          <w:szCs w:val="28"/>
          <w:u w:val="single"/>
        </w:rPr>
        <w:t>（</w:t>
      </w:r>
      <w:r>
        <w:rPr>
          <w:rFonts w:hint="eastAsia" w:ascii="宋体" w:hAnsi="宋体"/>
          <w:b/>
          <w:i/>
          <w:iCs/>
          <w:sz w:val="28"/>
          <w:szCs w:val="28"/>
          <w:u w:val="single"/>
        </w:rPr>
        <w:t>提供加盖投标人公章的承诺书）</w:t>
      </w:r>
      <w:r>
        <w:rPr>
          <w:rFonts w:hint="eastAsia" w:ascii="宋体" w:hAnsi="宋体" w:cs="宋体"/>
          <w:i/>
          <w:iCs/>
          <w:kern w:val="0"/>
          <w:sz w:val="28"/>
          <w:szCs w:val="28"/>
          <w:u w:val="single"/>
        </w:rPr>
        <w:t>：</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（1）为招标人不具有独立法人资格的附属机构（单位）；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（2）与招标人存在利害关系可能影响招标公正性的；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（5）投标人近3年内有行贿犯罪行为且被记录，或者法定代表人有行贿犯罪记录且自记录之日起未超过 5年的。</w:t>
      </w:r>
    </w:p>
    <w:p>
      <w:pPr>
        <w:snapToGrid w:val="0"/>
        <w:spacing w:line="360" w:lineRule="auto"/>
        <w:ind w:firstLine="560" w:firstLineChars="200"/>
        <w:rPr>
          <w:rFonts w:ascii="宋体" w:hAnsi="宋体" w:cs="宋体"/>
          <w:i/>
          <w:iCs/>
          <w:kern w:val="0"/>
          <w:sz w:val="28"/>
          <w:szCs w:val="28"/>
          <w:u w:val="single"/>
        </w:rPr>
      </w:pPr>
      <w:r>
        <w:rPr>
          <w:rFonts w:hint="eastAsia" w:ascii="宋体" w:hAnsi="宋体" w:cs="宋体"/>
          <w:i/>
          <w:iCs/>
          <w:kern w:val="0"/>
          <w:sz w:val="28"/>
          <w:szCs w:val="28"/>
          <w:u w:val="single"/>
        </w:rPr>
        <w:t>（三）</w:t>
      </w:r>
      <w:r>
        <w:rPr>
          <w:rFonts w:hint="eastAsia" w:ascii="宋体" w:hAnsi="宋体" w:cs="宋体"/>
          <w:bCs/>
          <w:i/>
          <w:iCs/>
          <w:kern w:val="0"/>
          <w:sz w:val="28"/>
          <w:szCs w:val="28"/>
          <w:u w:val="single"/>
        </w:rPr>
        <w:t>拒绝下述供应商参加本次采购活动：</w:t>
      </w:r>
    </w:p>
    <w:p>
      <w:pPr>
        <w:shd w:val="clear" w:color="auto" w:fill="FFFFFF"/>
        <w:autoSpaceDE w:val="0"/>
        <w:adjustRightInd w:val="0"/>
        <w:snapToGrid w:val="0"/>
        <w:spacing w:line="360" w:lineRule="auto"/>
        <w:ind w:firstLine="560" w:firstLineChars="200"/>
        <w:jc w:val="left"/>
        <w:rPr>
          <w:rFonts w:ascii="宋体" w:hAnsi="宋体" w:cs="宋体"/>
          <w:i/>
          <w:iCs/>
          <w:kern w:val="0"/>
          <w:sz w:val="28"/>
          <w:szCs w:val="28"/>
          <w:u w:val="single"/>
        </w:rPr>
      </w:pPr>
      <w:r>
        <w:rPr>
          <w:rFonts w:hint="eastAsia" w:ascii="宋体" w:hAnsi="宋体" w:cs="宋体"/>
          <w:i/>
          <w:iCs/>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u w:val="single"/>
        </w:rPr>
        <w:t>（提供本项目报名截止日后的以上两个网站截图并加盖单位公章）</w:t>
      </w:r>
      <w:r>
        <w:rPr>
          <w:rFonts w:hint="eastAsia" w:ascii="宋体" w:hAnsi="宋体" w:cs="宋体"/>
          <w:i/>
          <w:iCs/>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供方于合同生效后30天内完成设备运输（含上、下力）、安装调试等，所有费用由供方承担，安装调试完毕后需方用户负责试用并签收。</w:t>
      </w:r>
    </w:p>
    <w:p>
      <w:pPr>
        <w:pStyle w:val="42"/>
        <w:adjustRightInd w:val="0"/>
        <w:snapToGrid w:val="0"/>
        <w:spacing w:before="0" w:beforeAutospacing="0" w:after="0" w:afterAutospacing="0" w:line="360" w:lineRule="auto"/>
        <w:ind w:firstLine="560" w:firstLineChars="200"/>
        <w:rPr>
          <w:rFonts w:ascii="黑体" w:hAnsi="黑体" w:eastAsia="黑体"/>
          <w:sz w:val="28"/>
          <w:szCs w:val="28"/>
        </w:rPr>
      </w:pPr>
      <w:r>
        <w:rPr>
          <w:rFonts w:hint="eastAsia"/>
          <w:color w:val="auto"/>
          <w:kern w:val="2"/>
          <w:sz w:val="28"/>
          <w:szCs w:val="28"/>
        </w:rPr>
        <w:t>六、本项目预算价为19.50万元，本项目只接受人民币报价。</w:t>
      </w:r>
      <w:bookmarkStart w:id="4" w:name="_Hlk9866140"/>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三、对投标文件的要求</w:t>
      </w:r>
    </w:p>
    <w:p>
      <w:pPr>
        <w:spacing w:line="360" w:lineRule="auto"/>
        <w:ind w:firstLine="548" w:firstLineChars="196"/>
        <w:rPr>
          <w:rFonts w:ascii="宋体" w:hAnsi="宋体" w:cs="宋体"/>
          <w:sz w:val="28"/>
          <w:szCs w:val="28"/>
        </w:rPr>
      </w:pPr>
      <w:r>
        <w:rPr>
          <w:rFonts w:ascii="宋体" w:hAnsi="宋体" w:cs="宋体"/>
          <w:sz w:val="28"/>
          <w:szCs w:val="28"/>
        </w:rPr>
        <w:t>1.</w:t>
      </w:r>
      <w:r>
        <w:rPr>
          <w:rFonts w:hint="eastAsia" w:ascii="宋体" w:hAnsi="宋体" w:cs="宋体"/>
          <w:sz w:val="28"/>
          <w:szCs w:val="28"/>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 xml:space="preserve"> 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投标人必须投本标书所有标段的设备，不允许分标段投标；标书中服务器标段必须满足所有参数要求，其余标段标</w:t>
      </w:r>
      <w:r>
        <w:rPr>
          <w:rFonts w:hint="eastAsia" w:ascii="宋体" w:hAnsi="宋体" w:cs="Arial"/>
          <w:kern w:val="0"/>
          <w:sz w:val="18"/>
          <w:szCs w:val="18"/>
        </w:rPr>
        <w:t>★</w:t>
      </w:r>
      <w:r>
        <w:rPr>
          <w:rFonts w:hint="eastAsia"/>
          <w:sz w:val="28"/>
          <w:szCs w:val="28"/>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“ZHL2020032资料费”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本着“质量第一、价格合理、服务优异、保障有力”的原则，由采购人、项目归口管理部门和财务处从报价得分、技术得分、服务、业绩、信誉得分五个方面提出评标办法（见附件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）中标公示结束无异议后5个工作日内，中标单位须及时缴纳中标价10%的履约保证金，并前来我校领取《中标通知书》（一式二份）。服务完成，验收合格后返还50%履约保证金，另50%履约保证金转为质量保证金。</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20日内预付合同金额的30%，全部货物交货并验收合格后，凭验收凭证和货物验收合格等文件20内支付至合同金额的100%，质保期满后，经有关单位确认无质量问题后，一次性无息付清所有保证金。具体内容以最终签署的合同约定为准。</w:t>
      </w:r>
    </w:p>
    <w:p>
      <w:pPr>
        <w:spacing w:line="360" w:lineRule="auto"/>
        <w:ind w:firstLine="548" w:firstLineChars="196"/>
        <w:rPr>
          <w:rFonts w:ascii="宋体" w:hAnsi="宋体" w:cs="宋体"/>
          <w:sz w:val="28"/>
          <w:szCs w:val="28"/>
        </w:rPr>
      </w:pPr>
      <w:r>
        <w:rPr>
          <w:rFonts w:hint="eastAsia" w:ascii="宋体" w:hAnsi="宋体" w:cs="宋体"/>
          <w:sz w:val="28"/>
          <w:szCs w:val="28"/>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）我校不接收现金或支付宝等方式交费。各投标人务必通过单位银行基本账户提前将资料费汇至我校以下账号：户名：南京信息工程大学；账号：</w:t>
      </w:r>
      <w:r>
        <w:rPr>
          <w:rFonts w:ascii="宋体" w:hAnsi="宋体" w:cs="宋体"/>
          <w:sz w:val="28"/>
          <w:szCs w:val="28"/>
        </w:rPr>
        <w:t>10115401040000228</w:t>
      </w:r>
      <w:r>
        <w:rPr>
          <w:rFonts w:hint="eastAsia" w:ascii="宋体" w:hAnsi="宋体" w:cs="宋体"/>
          <w:sz w:val="28"/>
          <w:szCs w:val="28"/>
        </w:rPr>
        <w:t>；开户银行：中国农业银行南京盘城支行。请各投标人务必在转账留言栏备注填写</w:t>
      </w:r>
      <w:r>
        <w:rPr>
          <w:rFonts w:hint="eastAsia" w:ascii="宋体" w:hAnsi="宋体" w:cs="宋体"/>
          <w:b/>
          <w:sz w:val="28"/>
          <w:szCs w:val="28"/>
        </w:rPr>
        <w:t>“ZHL2020032资料费”</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履约保证金（或投标保证金）：中标价1</w:t>
      </w:r>
      <w:r>
        <w:rPr>
          <w:rFonts w:ascii="宋体" w:hAnsi="宋体" w:cs="宋体"/>
          <w:sz w:val="28"/>
          <w:szCs w:val="28"/>
        </w:rPr>
        <w:t>0</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7.</w:t>
      </w:r>
      <w:r>
        <w:rPr>
          <w:rFonts w:hint="eastAsia" w:ascii="宋体" w:hAnsi="宋体" w:cs="宋体"/>
          <w:sz w:val="28"/>
          <w:szCs w:val="28"/>
        </w:rPr>
        <w:t>质保：参照附件4服务要求</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2020</w:t>
      </w:r>
      <w:r>
        <w:rPr>
          <w:rFonts w:hint="eastAsia" w:ascii="宋体" w:hAnsi="宋体"/>
          <w:b/>
          <w:sz w:val="28"/>
          <w:szCs w:val="28"/>
          <w:u w:val="single"/>
        </w:rPr>
        <w:t>年07月21日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"mailto:30前将问题一律以word格式或txt格式发至89523765@qq.com" </w:instrText>
      </w:r>
      <w:r>
        <w:fldChar w:fldCharType="separate"/>
      </w:r>
      <w:r>
        <w:rPr>
          <w:rFonts w:ascii="宋体"/>
          <w:b/>
          <w:sz w:val="28"/>
          <w:szCs w:val="28"/>
          <w:u w:val="single"/>
        </w:rPr>
        <w:t>0</w:t>
      </w:r>
      <w:r>
        <w:rPr>
          <w:rFonts w:hint="eastAsia" w:ascii="宋体" w:hAnsi="宋体"/>
          <w:sz w:val="28"/>
          <w:szCs w:val="28"/>
        </w:rPr>
        <w:t>前将问题以</w:t>
      </w:r>
      <w:r>
        <w:rPr>
          <w:rFonts w:ascii="宋体" w:hAnsi="宋体"/>
          <w:sz w:val="28"/>
          <w:szCs w:val="28"/>
        </w:rPr>
        <w:t>word</w:t>
      </w:r>
      <w:r>
        <w:rPr>
          <w:rFonts w:hint="eastAsia" w:ascii="宋体" w:hAnsi="宋体"/>
          <w:sz w:val="28"/>
          <w:szCs w:val="28"/>
        </w:rPr>
        <w:t>格式或</w:t>
      </w:r>
      <w:r>
        <w:rPr>
          <w:rFonts w:ascii="宋体" w:hAnsi="宋体"/>
          <w:sz w:val="28"/>
          <w:szCs w:val="28"/>
        </w:rPr>
        <w:t>txt</w:t>
      </w:r>
      <w:r>
        <w:rPr>
          <w:rFonts w:hint="eastAsia" w:ascii="宋体" w:hAnsi="宋体"/>
          <w:sz w:val="28"/>
          <w:szCs w:val="28"/>
        </w:rPr>
        <w:t>格式发至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（质疑函请勿以</w:t>
      </w:r>
      <w:r>
        <w:rPr>
          <w:rFonts w:ascii="宋体" w:hAnsi="宋体"/>
          <w:sz w:val="28"/>
          <w:szCs w:val="28"/>
        </w:rPr>
        <w:t>JPG</w:t>
      </w:r>
      <w:r>
        <w:rPr>
          <w:rFonts w:hint="eastAsia" w:ascii="宋体" w:hAnsi="宋体"/>
          <w:sz w:val="28"/>
          <w:szCs w:val="28"/>
        </w:rPr>
        <w:t>或</w:t>
      </w:r>
      <w:r>
        <w:rPr>
          <w:rFonts w:ascii="宋体" w:hAnsi="宋体"/>
          <w:sz w:val="28"/>
          <w:szCs w:val="28"/>
        </w:rPr>
        <w:t>PDF</w:t>
      </w:r>
      <w:r>
        <w:rPr>
          <w:rFonts w:hint="eastAsia" w:ascii="宋体" w:hAnsi="宋体"/>
          <w:sz w:val="28"/>
          <w:szCs w:val="28"/>
        </w:rPr>
        <w:t>格式，对</w:t>
      </w:r>
      <w:r>
        <w:rPr>
          <w:rFonts w:ascii="宋体" w:hAnsi="宋体"/>
          <w:sz w:val="28"/>
          <w:szCs w:val="28"/>
        </w:rPr>
        <w:t>JPG</w:t>
      </w:r>
      <w:r>
        <w:rPr>
          <w:rFonts w:hint="eastAsia" w:ascii="宋体" w:hAnsi="宋体"/>
          <w:sz w:val="28"/>
          <w:szCs w:val="28"/>
        </w:rPr>
        <w:t>和</w:t>
      </w:r>
      <w:r>
        <w:rPr>
          <w:rFonts w:ascii="宋体" w:hAnsi="宋体"/>
          <w:sz w:val="28"/>
          <w:szCs w:val="28"/>
        </w:rPr>
        <w:t>PDF</w:t>
      </w:r>
      <w:r>
        <w:rPr>
          <w:rFonts w:hint="eastAsia" w:ascii="宋体" w:hAnsi="宋体"/>
          <w:sz w:val="28"/>
          <w:szCs w:val="28"/>
        </w:rPr>
        <w:t>格式的附件一律删除，不予采纳，敬请谅解）。</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（1）投标送达方式：</w:t>
      </w:r>
      <w:r>
        <w:rPr>
          <w:rFonts w:hint="eastAsia" w:ascii="宋体" w:hAnsi="宋体"/>
          <w:b/>
          <w:sz w:val="28"/>
          <w:szCs w:val="28"/>
        </w:rPr>
        <w:t>只接受以邮寄方式送达，并请务必用顺丰快递</w:t>
      </w:r>
      <w:r>
        <w:rPr>
          <w:rFonts w:hint="eastAsia" w:ascii="宋体" w:hAnsi="宋体"/>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rPr>
      </w:pPr>
      <w:r>
        <w:rPr>
          <w:rFonts w:hint="eastAsia" w:ascii="宋体" w:hAnsi="宋体"/>
          <w:sz w:val="28"/>
          <w:szCs w:val="28"/>
        </w:rPr>
        <w:t>（2）投标截止时间：2020年08月04日09：00。</w:t>
      </w:r>
      <w:bookmarkStart w:id="7" w:name="_Hlk32349437"/>
    </w:p>
    <w:bookmarkEnd w:id="7"/>
    <w:p>
      <w:pPr>
        <w:widowControl/>
        <w:adjustRightInd w:val="0"/>
        <w:snapToGrid w:val="0"/>
        <w:spacing w:line="360" w:lineRule="auto"/>
        <w:ind w:firstLine="560" w:firstLineChars="200"/>
        <w:rPr>
          <w:rFonts w:ascii="宋体" w:hAnsi="宋体"/>
          <w:sz w:val="28"/>
          <w:szCs w:val="28"/>
        </w:rPr>
      </w:pPr>
      <w:r>
        <w:rPr>
          <w:rFonts w:hint="eastAsia" w:ascii="宋体" w:hAnsi="宋体"/>
          <w:sz w:val="28"/>
          <w:szCs w:val="28"/>
        </w:rPr>
        <w:t>（3）邮寄送达地点：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招标办。联系人：马老师、罗老师；联系电话：025-58731441。</w:t>
      </w:r>
    </w:p>
    <w:p>
      <w:pPr>
        <w:snapToGrid w:val="0"/>
        <w:spacing w:line="360" w:lineRule="auto"/>
        <w:ind w:firstLine="560" w:firstLineChars="200"/>
        <w:rPr>
          <w:rFonts w:ascii="宋体" w:hAnsi="宋体"/>
          <w:sz w:val="28"/>
          <w:szCs w:val="28"/>
        </w:rPr>
      </w:pPr>
      <w:r>
        <w:rPr>
          <w:rFonts w:hint="eastAsia" w:ascii="宋体" w:hAnsi="宋体"/>
          <w:sz w:val="28"/>
          <w:szCs w:val="28"/>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rPr>
        <w:t>（1）开标、唱标：2020年08月04日09：00；(不安排公开开标、唱标，由招标办工作人员在我校纪检监察部门监督见证下进行，开标、唱标工作全程视频监控并录像)。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）招标办（招投标管理业务单位）：联系电话：</w:t>
      </w:r>
      <w:r>
        <w:rPr>
          <w:rFonts w:ascii="宋体" w:hAnsi="宋体"/>
          <w:sz w:val="28"/>
          <w:szCs w:val="28"/>
        </w:rPr>
        <w:t>025-58731441</w:t>
      </w:r>
      <w:r>
        <w:rPr>
          <w:rFonts w:hint="eastAsia" w:ascii="宋体" w:hAnsi="宋体"/>
          <w:sz w:val="28"/>
          <w:szCs w:val="28"/>
        </w:rPr>
        <w:t>，联系人：马老师、罗老师；</w:t>
      </w:r>
    </w:p>
    <w:p>
      <w:pPr>
        <w:snapToGrid w:val="0"/>
        <w:spacing w:line="360" w:lineRule="auto"/>
        <w:ind w:firstLine="425" w:firstLineChars="152"/>
        <w:rPr>
          <w:rFonts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用户单位联系电话：13809040191，联系人：田老师。</w:t>
      </w:r>
    </w:p>
    <w:p>
      <w:pPr>
        <w:pStyle w:val="9"/>
        <w:ind w:left="0" w:leftChars="0" w:right="0" w:rightChars="0"/>
        <w:rPr>
          <w:rFonts w:ascii="宋体" w:hAnsi="宋体"/>
          <w:sz w:val="28"/>
          <w:szCs w:val="28"/>
        </w:rPr>
      </w:pPr>
    </w:p>
    <w:p>
      <w:pPr>
        <w:tabs>
          <w:tab w:val="left" w:pos="1260"/>
        </w:tabs>
        <w:spacing w:line="360" w:lineRule="auto"/>
        <w:ind w:left="1959" w:leftChars="933" w:firstLine="2530" w:firstLineChars="900"/>
        <w:rPr>
          <w:rFonts w:ascii="宋体"/>
          <w:b/>
          <w:sz w:val="28"/>
          <w:szCs w:val="28"/>
        </w:rPr>
      </w:pPr>
      <w:bookmarkStart w:id="8" w:name="_Hlk9866962"/>
      <w:r>
        <w:rPr>
          <w:rFonts w:hint="eastAsia" w:ascii="宋体" w:hAnsi="宋体"/>
          <w:b/>
          <w:sz w:val="28"/>
          <w:szCs w:val="28"/>
        </w:rPr>
        <w:t>南京信息工程大学招标办</w:t>
      </w:r>
    </w:p>
    <w:p>
      <w:pPr>
        <w:pStyle w:val="12"/>
        <w:spacing w:line="360" w:lineRule="auto"/>
        <w:ind w:left="99" w:leftChars="47" w:firstLine="4919" w:firstLineChars="1750"/>
        <w:rPr>
          <w:rStyle w:val="41"/>
          <w:rFonts w:ascii="宋体" w:hAnsi="Times New Roman" w:eastAsia="宋体"/>
          <w:sz w:val="28"/>
          <w:szCs w:val="28"/>
        </w:rPr>
      </w:pPr>
      <w:r>
        <w:rPr>
          <w:rStyle w:val="41"/>
          <w:rFonts w:ascii="宋体" w:hAnsi="宋体" w:eastAsia="宋体"/>
          <w:sz w:val="28"/>
          <w:szCs w:val="28"/>
        </w:rPr>
        <w:t>20</w:t>
      </w:r>
      <w:r>
        <w:rPr>
          <w:rStyle w:val="41"/>
          <w:rFonts w:hint="eastAsia" w:ascii="宋体" w:hAnsi="宋体" w:eastAsia="宋体"/>
          <w:sz w:val="28"/>
          <w:szCs w:val="28"/>
        </w:rPr>
        <w:t>20年</w:t>
      </w:r>
      <w:r>
        <w:rPr>
          <w:rStyle w:val="41"/>
          <w:rFonts w:hint="eastAsia" w:ascii="宋体" w:hAnsi="宋体"/>
          <w:sz w:val="28"/>
          <w:szCs w:val="28"/>
        </w:rPr>
        <w:t>07</w:t>
      </w:r>
      <w:r>
        <w:rPr>
          <w:rStyle w:val="41"/>
          <w:rFonts w:hint="eastAsia" w:ascii="宋体" w:hAnsi="宋体" w:eastAsia="宋体"/>
          <w:sz w:val="28"/>
          <w:szCs w:val="28"/>
        </w:rPr>
        <w:t>月</w:t>
      </w:r>
      <w:r>
        <w:rPr>
          <w:rStyle w:val="41"/>
          <w:rFonts w:hint="eastAsia" w:ascii="宋体" w:hAnsi="宋体"/>
          <w:sz w:val="28"/>
          <w:szCs w:val="28"/>
        </w:rPr>
        <w:t>15</w:t>
      </w:r>
      <w:r>
        <w:rPr>
          <w:rStyle w:val="41"/>
          <w:rFonts w:hint="eastAsia" w:ascii="宋体" w:hAnsi="宋体" w:eastAsia="宋体"/>
          <w:sz w:val="28"/>
          <w:szCs w:val="28"/>
        </w:rPr>
        <w:t>日</w:t>
      </w:r>
    </w:p>
    <w:bookmarkEnd w:id="8"/>
    <w:p>
      <w:pPr>
        <w:pStyle w:val="11"/>
        <w:adjustRightInd w:val="0"/>
        <w:snapToGrid w:val="0"/>
        <w:spacing w:before="120" w:after="120" w:line="360" w:lineRule="auto"/>
        <w:rPr>
          <w:rStyle w:val="41"/>
          <w:rFonts w:ascii="宋体" w:hAnsi="宋体" w:eastAsia="宋体"/>
          <w:b w:val="0"/>
          <w:sz w:val="28"/>
          <w:szCs w:val="28"/>
        </w:rPr>
      </w:pPr>
      <w:r>
        <w:rPr>
          <w:rStyle w:val="41"/>
          <w:rFonts w:ascii="宋体" w:hAnsi="Times New Roman" w:eastAsia="宋体"/>
          <w:b w:val="0"/>
          <w:sz w:val="28"/>
          <w:szCs w:val="28"/>
        </w:rPr>
        <w:br w:type="page"/>
      </w:r>
      <w:bookmarkStart w:id="9" w:name="_Toc462564147"/>
      <w:r>
        <w:rPr>
          <w:rFonts w:ascii="Times New Roman" w:hAnsi="Times New Roman"/>
          <w:b/>
          <w:bCs/>
          <w:sz w:val="24"/>
          <w:szCs w:val="24"/>
        </w:rPr>
        <w:t>附件1：</w:t>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一、建设目标</w:t>
      </w:r>
    </w:p>
    <w:p>
      <w:pPr>
        <w:adjustRightInd w:val="0"/>
        <w:snapToGrid w:val="0"/>
        <w:spacing w:line="360" w:lineRule="auto"/>
        <w:ind w:firstLine="482" w:firstLineChars="200"/>
        <w:rPr>
          <w:rFonts w:ascii="宋体" w:hAnsi="宋体"/>
          <w:b/>
          <w:bCs/>
          <w:sz w:val="24"/>
        </w:rPr>
      </w:pPr>
      <w:r>
        <w:rPr>
          <w:rFonts w:hint="eastAsia" w:ascii="宋体" w:hAnsi="宋体"/>
          <w:b/>
          <w:bCs/>
          <w:sz w:val="24"/>
        </w:rPr>
        <w:t>（一）</w:t>
      </w:r>
      <w:r>
        <w:rPr>
          <w:rFonts w:ascii="宋体" w:hAnsi="宋体"/>
          <w:b/>
          <w:bCs/>
          <w:sz w:val="24"/>
        </w:rPr>
        <w:t>业务目标</w:t>
      </w:r>
    </w:p>
    <w:p>
      <w:pPr>
        <w:adjustRightInd w:val="0"/>
        <w:snapToGrid w:val="0"/>
        <w:spacing w:line="360" w:lineRule="auto"/>
        <w:ind w:firstLine="480" w:firstLineChars="200"/>
        <w:rPr>
          <w:rFonts w:ascii="宋体" w:hAnsi="宋体"/>
          <w:sz w:val="24"/>
        </w:rPr>
      </w:pPr>
      <w:r>
        <w:rPr>
          <w:rFonts w:hint="eastAsia" w:ascii="宋体" w:hAnsi="宋体"/>
          <w:sz w:val="24"/>
        </w:rPr>
        <w:t>依托“智慧就业”平台，实现微信网站一体化平台，自动获取并整合各类一手就业信息；通过人工智能的手段，将我校毕业生和就业信息实现精准匹配和精准推送；进行校园招聘单位、学生就业情况分析；提供科学有效的线上指导课程，供学生学习在线学习；通过信息化的先进手段提升学校在就业业务方面的管理效率和服务水平，为包括校内管理人员、学生群体及各类其他人员提供统一的业务办理、流程审批、信息查询等综合性就业服务。</w:t>
      </w:r>
    </w:p>
    <w:p>
      <w:pPr>
        <w:adjustRightInd w:val="0"/>
        <w:snapToGrid w:val="0"/>
        <w:spacing w:line="360" w:lineRule="auto"/>
        <w:ind w:firstLine="482" w:firstLineChars="200"/>
        <w:rPr>
          <w:rFonts w:ascii="宋体" w:hAnsi="宋体"/>
          <w:b/>
          <w:bCs/>
          <w:sz w:val="24"/>
        </w:rPr>
      </w:pPr>
      <w:r>
        <w:rPr>
          <w:rFonts w:hint="eastAsia" w:ascii="宋体" w:hAnsi="宋体"/>
          <w:b/>
          <w:bCs/>
          <w:sz w:val="24"/>
        </w:rPr>
        <w:t>（二）</w:t>
      </w:r>
      <w:r>
        <w:rPr>
          <w:rFonts w:ascii="宋体" w:hAnsi="宋体"/>
          <w:b/>
          <w:bCs/>
          <w:sz w:val="24"/>
        </w:rPr>
        <w:t>技术目标</w:t>
      </w:r>
    </w:p>
    <w:p>
      <w:pPr>
        <w:adjustRightInd w:val="0"/>
        <w:snapToGrid w:val="0"/>
        <w:spacing w:line="360" w:lineRule="auto"/>
        <w:ind w:firstLine="480" w:firstLineChars="200"/>
        <w:rPr>
          <w:rFonts w:ascii="宋体" w:hAnsi="宋体"/>
          <w:sz w:val="24"/>
        </w:rPr>
      </w:pPr>
      <w:r>
        <w:rPr>
          <w:rFonts w:hint="eastAsia" w:ascii="宋体" w:hAnsi="宋体"/>
          <w:sz w:val="24"/>
        </w:rPr>
        <w:t>系统的技术目标：</w:t>
      </w:r>
    </w:p>
    <w:p>
      <w:pPr>
        <w:adjustRightInd w:val="0"/>
        <w:snapToGrid w:val="0"/>
        <w:spacing w:line="360" w:lineRule="auto"/>
        <w:ind w:firstLine="480" w:firstLineChars="200"/>
        <w:rPr>
          <w:rFonts w:ascii="宋体" w:hAnsi="宋体"/>
          <w:sz w:val="24"/>
        </w:rPr>
      </w:pPr>
      <w:r>
        <w:rPr>
          <w:rFonts w:ascii="宋体" w:hAnsi="宋体"/>
          <w:sz w:val="24"/>
        </w:rPr>
        <w:t>1.充分发挥计算机网络化管理的优势，支持各项</w:t>
      </w:r>
      <w:r>
        <w:rPr>
          <w:rFonts w:hint="eastAsia" w:ascii="宋体" w:hAnsi="宋体"/>
          <w:sz w:val="24"/>
        </w:rPr>
        <w:t>就业工作</w:t>
      </w:r>
      <w:r>
        <w:rPr>
          <w:rFonts w:ascii="宋体" w:hAnsi="宋体"/>
          <w:sz w:val="24"/>
        </w:rPr>
        <w:t>的数字化，促进学</w:t>
      </w:r>
      <w:r>
        <w:rPr>
          <w:rFonts w:hint="eastAsia" w:ascii="宋体" w:hAnsi="宋体"/>
          <w:sz w:val="24"/>
        </w:rPr>
        <w:t>工</w:t>
      </w:r>
      <w:r>
        <w:rPr>
          <w:rFonts w:ascii="宋体" w:hAnsi="宋体"/>
          <w:sz w:val="24"/>
        </w:rPr>
        <w:t>处、</w:t>
      </w:r>
      <w:r>
        <w:rPr>
          <w:rFonts w:hint="eastAsia" w:ascii="宋体" w:hAnsi="宋体"/>
          <w:sz w:val="24"/>
        </w:rPr>
        <w:t>研究生工作部等有关</w:t>
      </w:r>
      <w:r>
        <w:rPr>
          <w:rFonts w:ascii="宋体" w:hAnsi="宋体"/>
          <w:sz w:val="24"/>
        </w:rPr>
        <w:t>职能部门和院系学生管理人员的协同办公，提高学生管理工作效率；</w:t>
      </w:r>
    </w:p>
    <w:p>
      <w:pPr>
        <w:adjustRightInd w:val="0"/>
        <w:snapToGrid w:val="0"/>
        <w:spacing w:line="360" w:lineRule="auto"/>
        <w:ind w:firstLine="480" w:firstLineChars="200"/>
        <w:rPr>
          <w:rFonts w:ascii="宋体" w:hAnsi="宋体"/>
          <w:sz w:val="24"/>
        </w:rPr>
      </w:pPr>
      <w:r>
        <w:rPr>
          <w:rFonts w:ascii="宋体" w:hAnsi="宋体"/>
          <w:sz w:val="24"/>
        </w:rPr>
        <w:t>2.为学生、各部门管理人员提供人性化、全方位、多层次的服务；</w:t>
      </w:r>
    </w:p>
    <w:p>
      <w:pPr>
        <w:adjustRightInd w:val="0"/>
        <w:snapToGrid w:val="0"/>
        <w:spacing w:line="360" w:lineRule="auto"/>
        <w:ind w:firstLine="480" w:firstLineChars="200"/>
        <w:rPr>
          <w:rFonts w:ascii="宋体" w:hAnsi="宋体"/>
          <w:sz w:val="24"/>
        </w:rPr>
      </w:pPr>
      <w:r>
        <w:rPr>
          <w:rFonts w:ascii="宋体" w:hAnsi="宋体"/>
          <w:sz w:val="24"/>
        </w:rPr>
        <w:t>3.提供完善的查询统计、报表制作功能，辅助领导决策；</w:t>
      </w:r>
    </w:p>
    <w:p>
      <w:pPr>
        <w:adjustRightInd w:val="0"/>
        <w:snapToGrid w:val="0"/>
        <w:spacing w:line="360" w:lineRule="auto"/>
        <w:ind w:firstLine="480" w:firstLineChars="200"/>
        <w:rPr>
          <w:rFonts w:ascii="宋体" w:hAnsi="宋体"/>
          <w:sz w:val="24"/>
        </w:rPr>
      </w:pPr>
      <w:r>
        <w:rPr>
          <w:rFonts w:ascii="宋体" w:hAnsi="宋体"/>
          <w:sz w:val="24"/>
        </w:rPr>
        <w:t>4.整合并规范学生管理业务，实现全校学生管理模式规范；</w:t>
      </w:r>
    </w:p>
    <w:p>
      <w:pPr>
        <w:adjustRightInd w:val="0"/>
        <w:snapToGrid w:val="0"/>
        <w:spacing w:line="360" w:lineRule="auto"/>
        <w:ind w:firstLine="480" w:firstLineChars="200"/>
        <w:rPr>
          <w:rFonts w:ascii="宋体" w:hAnsi="宋体"/>
          <w:sz w:val="24"/>
        </w:rPr>
      </w:pPr>
      <w:r>
        <w:rPr>
          <w:rFonts w:ascii="宋体" w:hAnsi="宋体"/>
          <w:sz w:val="24"/>
        </w:rPr>
        <w:t>5.提供丰富、全面的在线帮助，为师生用户应用系统提供便利；</w:t>
      </w:r>
    </w:p>
    <w:p>
      <w:pPr>
        <w:adjustRightInd w:val="0"/>
        <w:snapToGrid w:val="0"/>
        <w:spacing w:line="360" w:lineRule="auto"/>
        <w:ind w:firstLine="480" w:firstLineChars="200"/>
        <w:rPr>
          <w:rFonts w:ascii="宋体" w:hAnsi="宋体"/>
          <w:sz w:val="24"/>
        </w:rPr>
      </w:pPr>
      <w:r>
        <w:rPr>
          <w:rFonts w:ascii="宋体" w:hAnsi="宋体"/>
          <w:sz w:val="24"/>
        </w:rPr>
        <w:t>6.与数字化校园无缝集成，并提供灵活的数据接口，实现与学校原有各业务系统间的数据流转。</w:t>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二、总体技术要求</w:t>
      </w:r>
    </w:p>
    <w:p>
      <w:pPr>
        <w:adjustRightInd w:val="0"/>
        <w:snapToGrid w:val="0"/>
        <w:spacing w:line="360" w:lineRule="auto"/>
        <w:ind w:firstLine="480" w:firstLineChars="200"/>
        <w:rPr>
          <w:rFonts w:ascii="宋体" w:hAnsi="宋体"/>
          <w:sz w:val="24"/>
        </w:rPr>
      </w:pPr>
      <w:r>
        <w:rPr>
          <w:rFonts w:hint="eastAsia" w:ascii="宋体" w:hAnsi="宋体"/>
          <w:sz w:val="24"/>
        </w:rPr>
        <w:t>本次应用软件应基于</w:t>
      </w:r>
      <w:r>
        <w:rPr>
          <w:rFonts w:ascii="宋体" w:hAnsi="宋体"/>
          <w:sz w:val="24"/>
        </w:rPr>
        <w:t>J2EE平台，采用B/S结构，主体代码采用</w:t>
      </w:r>
      <w:r>
        <w:rPr>
          <w:rFonts w:hint="eastAsia" w:ascii="宋体" w:hAnsi="宋体"/>
          <w:sz w:val="24"/>
        </w:rPr>
        <w:t>PHP</w:t>
      </w:r>
      <w:r>
        <w:rPr>
          <w:rFonts w:ascii="宋体" w:hAnsi="宋体"/>
          <w:sz w:val="24"/>
        </w:rPr>
        <w:t>编程语言技术开发，可运行于Unix\Linux\Windows等高安全性操作系统。开发技术应采用J2EE标准，组件化技术及在数据交换上对XML的支持，使系统功能最优化，同时将整体系统内部在技术上的互相依赖性减至最低。</w:t>
      </w:r>
    </w:p>
    <w:p>
      <w:pPr>
        <w:adjustRightInd w:val="0"/>
        <w:snapToGrid w:val="0"/>
        <w:spacing w:line="360" w:lineRule="auto"/>
        <w:ind w:firstLine="480" w:firstLineChars="200"/>
        <w:rPr>
          <w:rFonts w:ascii="宋体" w:hAnsi="宋体"/>
          <w:sz w:val="24"/>
        </w:rPr>
      </w:pPr>
      <w:r>
        <w:rPr>
          <w:rFonts w:hint="eastAsia" w:ascii="宋体" w:hAnsi="宋体"/>
          <w:sz w:val="24"/>
        </w:rPr>
        <w:t>具体要求如下：</w:t>
      </w:r>
    </w:p>
    <w:p>
      <w:pPr>
        <w:adjustRightInd w:val="0"/>
        <w:snapToGrid w:val="0"/>
        <w:spacing w:line="360" w:lineRule="auto"/>
        <w:ind w:firstLine="480" w:firstLineChars="200"/>
        <w:rPr>
          <w:rFonts w:ascii="宋体" w:hAnsi="宋体"/>
          <w:sz w:val="24"/>
        </w:rPr>
      </w:pPr>
      <w:r>
        <w:rPr>
          <w:rFonts w:ascii="宋体" w:hAnsi="宋体"/>
          <w:sz w:val="24"/>
        </w:rPr>
        <w:t>1.平台及应用系统软件必须遵循J2EE的技术路线，采用Java编程语言和服务器端Java技术进行开发，业务应用系统应基于oracle或其他主流数据库系统。</w:t>
      </w:r>
    </w:p>
    <w:p>
      <w:pPr>
        <w:adjustRightInd w:val="0"/>
        <w:snapToGrid w:val="0"/>
        <w:spacing w:line="360" w:lineRule="auto"/>
        <w:ind w:firstLine="480" w:firstLineChars="200"/>
        <w:rPr>
          <w:rFonts w:ascii="宋体" w:hAnsi="宋体"/>
          <w:sz w:val="24"/>
        </w:rPr>
      </w:pPr>
      <w:r>
        <w:rPr>
          <w:rFonts w:ascii="宋体" w:hAnsi="宋体"/>
          <w:sz w:val="24"/>
        </w:rPr>
        <w:t>2.采用面向对象的组件技术，着重于开发构成应用程序“业务对象”的可重复使用的组件，利用这些组件顺利地建立分布式应用程序。并通过业务组件库实现行业知识的积累。组件采用面向对象的思想构建，组件之间可以继承，组件之间从物理和逻辑上都是隔离的。</w:t>
      </w:r>
    </w:p>
    <w:p>
      <w:pPr>
        <w:adjustRightInd w:val="0"/>
        <w:snapToGrid w:val="0"/>
        <w:spacing w:line="360" w:lineRule="auto"/>
        <w:ind w:firstLine="480" w:firstLineChars="200"/>
        <w:rPr>
          <w:rFonts w:ascii="宋体" w:hAnsi="宋体"/>
          <w:sz w:val="24"/>
        </w:rPr>
      </w:pPr>
      <w:r>
        <w:rPr>
          <w:rFonts w:ascii="宋体" w:hAnsi="宋体"/>
          <w:sz w:val="24"/>
        </w:rPr>
        <w:t>3.应用程序开发与运行结构要基于统一的技术开发平台的三层架构，即Web服务器、应用支撑服务器和数据库服务器。</w:t>
      </w:r>
    </w:p>
    <w:p>
      <w:pPr>
        <w:adjustRightInd w:val="0"/>
        <w:snapToGrid w:val="0"/>
        <w:spacing w:line="360" w:lineRule="auto"/>
        <w:ind w:firstLine="480" w:firstLineChars="200"/>
        <w:rPr>
          <w:rFonts w:ascii="宋体" w:hAnsi="宋体"/>
          <w:sz w:val="24"/>
        </w:rPr>
      </w:pPr>
      <w:r>
        <w:rPr>
          <w:rFonts w:ascii="宋体" w:hAnsi="宋体"/>
          <w:sz w:val="24"/>
        </w:rPr>
        <w:t>4.能完成跨业务部门的业务流程和相对应的细颗粒度的分级授权体系。</w:t>
      </w:r>
    </w:p>
    <w:p>
      <w:pPr>
        <w:adjustRightInd w:val="0"/>
        <w:snapToGrid w:val="0"/>
        <w:spacing w:line="360" w:lineRule="auto"/>
        <w:ind w:firstLine="480" w:firstLineChars="200"/>
        <w:rPr>
          <w:rFonts w:ascii="宋体" w:hAnsi="宋体"/>
          <w:b/>
          <w:bCs/>
          <w:sz w:val="24"/>
        </w:rPr>
      </w:pPr>
      <w:r>
        <w:rPr>
          <w:rFonts w:ascii="宋体" w:hAnsi="宋体"/>
          <w:sz w:val="24"/>
        </w:rPr>
        <w:t>5.各应用系统要充分利用现有先进技术手段，采用相同的体系结构和运行平台，基于多层架构和组件技术进行构建，整体架构基于Spring的MVC结构，分为显示层、控制层、服务层、持久化层。组件的执行是以模型进行驱动，每层都有相应的模型配置，引擎解析这些模型，自动实现各层的功能，做到系统结构层次清晰。所有应用逻辑、流程、数据等</w:t>
      </w:r>
      <w:r>
        <w:rPr>
          <w:rFonts w:hint="eastAsia" w:ascii="宋体" w:hAnsi="宋体"/>
          <w:sz w:val="24"/>
        </w:rPr>
        <w:t>都应当能够根据实际业务要求的颗粒度进行封装。</w:t>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三、安全性要求</w:t>
      </w:r>
    </w:p>
    <w:p>
      <w:pPr>
        <w:adjustRightInd w:val="0"/>
        <w:snapToGrid w:val="0"/>
        <w:spacing w:line="360" w:lineRule="auto"/>
        <w:ind w:firstLine="480" w:firstLineChars="200"/>
        <w:rPr>
          <w:rFonts w:ascii="宋体" w:hAnsi="宋体"/>
          <w:sz w:val="24"/>
        </w:rPr>
      </w:pPr>
      <w:r>
        <w:rPr>
          <w:rFonts w:ascii="宋体" w:hAnsi="宋体"/>
          <w:sz w:val="24"/>
        </w:rPr>
        <w:t>1.认证授权：保证用户的合法性和用户使用信息资源的权力，避免内部敏感信息泄漏和服务所提供的信息资源被非法访问，造成严重的安全事件。</w:t>
      </w:r>
    </w:p>
    <w:p>
      <w:pPr>
        <w:adjustRightInd w:val="0"/>
        <w:snapToGrid w:val="0"/>
        <w:spacing w:line="360" w:lineRule="auto"/>
        <w:ind w:firstLine="480" w:firstLineChars="200"/>
        <w:rPr>
          <w:rFonts w:ascii="宋体" w:hAnsi="宋体"/>
          <w:sz w:val="24"/>
        </w:rPr>
      </w:pPr>
      <w:r>
        <w:rPr>
          <w:rFonts w:ascii="宋体" w:hAnsi="宋体"/>
          <w:sz w:val="24"/>
        </w:rPr>
        <w:t>2.信息保密：充分利用密码技术，对于需要保密的信息，采用密码技术进行加解密处理，防止信息的非授权泄漏，确保涉密信息在产生、存储、传递和处理过程中的保密。</w:t>
      </w:r>
    </w:p>
    <w:p>
      <w:pPr>
        <w:adjustRightInd w:val="0"/>
        <w:snapToGrid w:val="0"/>
        <w:spacing w:line="360" w:lineRule="auto"/>
        <w:ind w:firstLine="480" w:firstLineChars="200"/>
        <w:rPr>
          <w:rFonts w:ascii="宋体" w:hAnsi="宋体"/>
          <w:sz w:val="24"/>
        </w:rPr>
      </w:pPr>
      <w:r>
        <w:rPr>
          <w:rFonts w:ascii="宋体" w:hAnsi="宋体"/>
          <w:sz w:val="24"/>
        </w:rPr>
        <w:t>3.数据完整性：建立数据完整性检验机制，保证收发双方数据的一致性，防止信息被非授权修改。</w:t>
      </w:r>
    </w:p>
    <w:p>
      <w:pPr>
        <w:adjustRightInd w:val="0"/>
        <w:snapToGrid w:val="0"/>
        <w:spacing w:line="360" w:lineRule="auto"/>
        <w:ind w:firstLine="480" w:firstLineChars="200"/>
        <w:rPr>
          <w:rFonts w:ascii="宋体" w:hAnsi="宋体"/>
          <w:sz w:val="24"/>
        </w:rPr>
      </w:pPr>
      <w:r>
        <w:rPr>
          <w:rFonts w:ascii="宋体" w:hAnsi="宋体"/>
          <w:sz w:val="24"/>
        </w:rPr>
        <w:t>4.审计：记录应用日志，对事件进行分析，并能提供预警信息。</w:t>
      </w:r>
    </w:p>
    <w:p>
      <w:pPr>
        <w:adjustRightInd w:val="0"/>
        <w:snapToGrid w:val="0"/>
        <w:spacing w:line="360" w:lineRule="auto"/>
        <w:ind w:firstLine="480" w:firstLineChars="200"/>
        <w:rPr>
          <w:rFonts w:ascii="宋体" w:hAnsi="宋体"/>
          <w:sz w:val="24"/>
        </w:rPr>
      </w:pPr>
      <w:r>
        <w:rPr>
          <w:rFonts w:ascii="宋体" w:hAnsi="宋体"/>
          <w:sz w:val="24"/>
        </w:rPr>
        <w:t>5.数据备份：利用数据库的备份功能将建设的平台和系统数据备份到指定的服务器或存储系统上。</w:t>
      </w:r>
    </w:p>
    <w:p>
      <w:pPr>
        <w:adjustRightInd w:val="0"/>
        <w:snapToGrid w:val="0"/>
        <w:spacing w:line="360" w:lineRule="auto"/>
        <w:ind w:firstLine="480" w:firstLineChars="200"/>
        <w:rPr>
          <w:rFonts w:ascii="宋体" w:hAnsi="宋体"/>
          <w:sz w:val="24"/>
        </w:rPr>
      </w:pPr>
      <w:r>
        <w:rPr>
          <w:rFonts w:ascii="宋体" w:hAnsi="宋体"/>
          <w:sz w:val="24"/>
        </w:rPr>
        <w:t>6.要求投标方需从物理安全、网络安全、系统安全、应用软件安全、数据备份安全等几个方面提出配套的安全体系完善方案，以便防范安全风险。</w:t>
      </w:r>
    </w:p>
    <w:p>
      <w:pPr>
        <w:adjustRightInd w:val="0"/>
        <w:snapToGrid w:val="0"/>
        <w:spacing w:line="360" w:lineRule="auto"/>
        <w:ind w:firstLine="560" w:firstLineChars="200"/>
        <w:rPr>
          <w:rFonts w:ascii="黑体" w:hAnsi="黑体" w:eastAsia="黑体"/>
          <w:sz w:val="28"/>
          <w:szCs w:val="28"/>
        </w:rPr>
      </w:pPr>
      <w:r>
        <w:rPr>
          <w:rFonts w:hint="eastAsia" w:ascii="黑体" w:hAnsi="黑体" w:eastAsia="黑体"/>
          <w:sz w:val="28"/>
          <w:szCs w:val="28"/>
        </w:rPr>
        <w:t>四、建设内容</w:t>
      </w:r>
    </w:p>
    <w:p>
      <w:pPr>
        <w:pStyle w:val="34"/>
        <w:numPr>
          <w:ilvl w:val="255"/>
          <w:numId w:val="0"/>
        </w:numPr>
        <w:adjustRightInd w:val="0"/>
        <w:snapToGrid w:val="0"/>
        <w:spacing w:line="360" w:lineRule="auto"/>
        <w:ind w:firstLine="482" w:firstLineChars="200"/>
        <w:rPr>
          <w:rFonts w:ascii="宋体" w:hAnsi="宋体" w:cs="宋体"/>
          <w:b/>
          <w:sz w:val="24"/>
        </w:rPr>
      </w:pPr>
      <w:r>
        <w:rPr>
          <w:rFonts w:hint="eastAsia" w:ascii="宋体" w:hAnsi="宋体" w:cs="宋体"/>
          <w:b/>
          <w:sz w:val="24"/>
          <w:szCs w:val="24"/>
        </w:rPr>
        <w:t>1.整合各类就业信息</w:t>
      </w:r>
    </w:p>
    <w:p>
      <w:pPr>
        <w:pStyle w:val="34"/>
        <w:numPr>
          <w:ilvl w:val="255"/>
          <w:numId w:val="0"/>
        </w:numPr>
        <w:adjustRightInd w:val="0"/>
        <w:snapToGrid w:val="0"/>
        <w:spacing w:line="360" w:lineRule="auto"/>
        <w:ind w:firstLine="480" w:firstLineChars="200"/>
        <w:rPr>
          <w:rFonts w:ascii="宋体" w:hAnsi="宋体" w:cs="宋体"/>
          <w:sz w:val="24"/>
        </w:rPr>
      </w:pPr>
      <w:r>
        <w:rPr>
          <w:rFonts w:hint="eastAsia" w:ascii="宋体" w:hAnsi="宋体" w:cs="宋体"/>
          <w:sz w:val="24"/>
          <w:szCs w:val="24"/>
        </w:rPr>
        <w:t>根据学生的就业去向，设置不同的就业信息模块（各模块网站展示，学校管理员可以灵活设置，如栏目名称的编辑、栏目网站首页的展示位置设置、学生手机微信端模块展示设置等），</w:t>
      </w:r>
      <w:r>
        <w:rPr>
          <w:rFonts w:hint="eastAsia" w:ascii="宋体" w:hAnsi="宋体" w:cs="宋体"/>
          <w:sz w:val="24"/>
        </w:rPr>
        <w:t>如下：</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（1）升学模块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收集各高校（主要为国家“双一流”建设高校及中国科学院系统各研究所）当年研究生招生简章信息、复试信息、调剂信息等。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（2）出国（出境）模块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收集、发布国外（境外）名校（国际权威排名前200名的高校）当年留学申请、语言考试等相关信息。</w:t>
      </w:r>
    </w:p>
    <w:p>
      <w:pPr>
        <w:spacing w:line="360" w:lineRule="auto"/>
        <w:ind w:firstLine="480" w:firstLineChars="200"/>
        <w:rPr>
          <w:rFonts w:ascii="宋体" w:hAnsi="宋体" w:cs="宋体"/>
          <w:kern w:val="0"/>
          <w:sz w:val="24"/>
        </w:rPr>
      </w:pPr>
      <w:r>
        <w:rPr>
          <w:rFonts w:hint="eastAsia" w:ascii="宋体" w:hAnsi="宋体" w:cs="宋体"/>
          <w:kern w:val="0"/>
          <w:sz w:val="24"/>
        </w:rPr>
        <w:t>（3）名企就业模块</w:t>
      </w:r>
    </w:p>
    <w:p>
      <w:pPr>
        <w:spacing w:line="360" w:lineRule="auto"/>
        <w:ind w:firstLine="480" w:firstLineChars="200"/>
        <w:rPr>
          <w:rFonts w:ascii="宋体" w:hAnsi="宋体" w:cs="宋体"/>
          <w:sz w:val="24"/>
        </w:rPr>
      </w:pPr>
      <w:r>
        <w:rPr>
          <w:rFonts w:hint="eastAsia" w:ascii="宋体" w:hAnsi="宋体" w:cs="宋体"/>
          <w:sz w:val="24"/>
        </w:rPr>
        <w:t>收集世界500强企业、中国500强企业、江苏100强企业的最新招聘公告信息，并分行业类别发布。</w:t>
      </w:r>
    </w:p>
    <w:p>
      <w:pPr>
        <w:spacing w:line="360" w:lineRule="auto"/>
        <w:ind w:firstLine="480" w:firstLineChars="200"/>
        <w:rPr>
          <w:rFonts w:ascii="宋体" w:hAnsi="宋体" w:cs="宋体"/>
          <w:sz w:val="24"/>
        </w:rPr>
      </w:pPr>
      <w:r>
        <w:rPr>
          <w:rFonts w:hint="eastAsia" w:ascii="宋体" w:hAnsi="宋体" w:cs="宋体"/>
          <w:sz w:val="24"/>
        </w:rPr>
        <w:t>（4）公务员/事业单位招考模块</w:t>
      </w:r>
    </w:p>
    <w:p>
      <w:pPr>
        <w:spacing w:line="360" w:lineRule="auto"/>
        <w:ind w:firstLine="480" w:firstLineChars="200"/>
        <w:rPr>
          <w:rFonts w:ascii="宋体" w:hAnsi="宋体" w:cs="宋体"/>
          <w:sz w:val="24"/>
        </w:rPr>
      </w:pPr>
      <w:r>
        <w:rPr>
          <w:rFonts w:hint="eastAsia" w:ascii="宋体" w:hAnsi="宋体" w:cs="宋体"/>
          <w:sz w:val="24"/>
        </w:rPr>
        <w:t>收集中央国家机关及各省（区、市）发布的当年公务员招考公告信息、面试信息，银行、科研院所、中小学等各地、各类事业单位发布的当年招考公告信息、面试信息等，并分类发布。</w:t>
      </w:r>
    </w:p>
    <w:p>
      <w:pPr>
        <w:spacing w:line="360" w:lineRule="auto"/>
        <w:ind w:firstLine="480" w:firstLineChars="200"/>
        <w:rPr>
          <w:rFonts w:ascii="宋体" w:hAnsi="宋体" w:cs="宋体"/>
          <w:sz w:val="24"/>
        </w:rPr>
      </w:pPr>
      <w:r>
        <w:rPr>
          <w:rFonts w:hint="eastAsia" w:ascii="宋体" w:hAnsi="宋体" w:cs="宋体"/>
          <w:sz w:val="24"/>
        </w:rPr>
        <w:t>（5）基层就业模块</w:t>
      </w:r>
    </w:p>
    <w:p>
      <w:pPr>
        <w:spacing w:line="360" w:lineRule="auto"/>
        <w:ind w:firstLine="480" w:firstLineChars="200"/>
        <w:rPr>
          <w:rFonts w:ascii="宋体" w:hAnsi="宋体" w:cs="宋体"/>
          <w:sz w:val="24"/>
        </w:rPr>
      </w:pPr>
      <w:r>
        <w:rPr>
          <w:rFonts w:hint="eastAsia" w:ascii="宋体" w:hAnsi="宋体" w:cs="宋体"/>
          <w:sz w:val="24"/>
        </w:rPr>
        <w:t>收集各地最新发布的选调生（名校优生）、“西部计划”“苏北计划”、大学生村官、“三支一扶”、特岗教师等国家基层就业项目的招考信息。</w:t>
      </w:r>
    </w:p>
    <w:p>
      <w:pPr>
        <w:spacing w:line="360" w:lineRule="auto"/>
        <w:ind w:firstLine="480" w:firstLineChars="200"/>
        <w:rPr>
          <w:rFonts w:ascii="宋体" w:hAnsi="宋体" w:cs="宋体"/>
          <w:sz w:val="24"/>
        </w:rPr>
      </w:pPr>
      <w:r>
        <w:rPr>
          <w:rFonts w:hint="eastAsia" w:ascii="宋体" w:hAnsi="宋体" w:cs="宋体"/>
          <w:sz w:val="24"/>
        </w:rPr>
        <w:t>（6）大学生入伍模块</w:t>
      </w:r>
    </w:p>
    <w:p>
      <w:pPr>
        <w:spacing w:line="360" w:lineRule="auto"/>
        <w:ind w:firstLine="480" w:firstLineChars="200"/>
        <w:rPr>
          <w:rFonts w:ascii="宋体" w:hAnsi="宋体" w:cs="宋体"/>
          <w:sz w:val="24"/>
        </w:rPr>
      </w:pPr>
      <w:r>
        <w:rPr>
          <w:rFonts w:hint="eastAsia" w:ascii="宋体" w:hAnsi="宋体" w:cs="宋体"/>
          <w:sz w:val="24"/>
        </w:rPr>
        <w:t>收集发布当年大学生应征入伍、大学生士官、部队文职人员招考等公告信息。</w:t>
      </w:r>
    </w:p>
    <w:p>
      <w:pPr>
        <w:pStyle w:val="2"/>
        <w:spacing w:line="360" w:lineRule="auto"/>
        <w:ind w:firstLine="482"/>
        <w:rPr>
          <w:rFonts w:ascii="宋体" w:hAnsi="宋体" w:cs="宋体"/>
          <w:sz w:val="24"/>
        </w:rPr>
      </w:pPr>
      <w:r>
        <w:rPr>
          <w:rFonts w:hint="eastAsia" w:ascii="宋体" w:hAnsi="宋体" w:cs="宋体"/>
          <w:b/>
          <w:bCs/>
          <w:sz w:val="24"/>
        </w:rPr>
        <w:t>特别说明：</w:t>
      </w:r>
      <w:r>
        <w:rPr>
          <w:rFonts w:hint="eastAsia" w:ascii="宋体" w:hAnsi="宋体" w:cs="宋体"/>
          <w:sz w:val="24"/>
        </w:rPr>
        <w:t>中标单位负责获取、整理、更新、维护各类就业信息，获取的各类就业信息来源必须是各单位官方网站，不可从各种招聘平台转载“二手信息”；所获取的信息在正式发布前，要进行版面、格式优化，确保所呈现出来的信息页面整齐、美观；各官方网站就业信息更新后2天内要更新到本系统，并在2天内处理完相关信息并发布；在一个服务期内（5年），指派专人维护，确保信息及时、有效获取、发布。</w:t>
      </w:r>
    </w:p>
    <w:p>
      <w:pPr>
        <w:spacing w:line="360" w:lineRule="auto"/>
        <w:ind w:firstLine="482" w:firstLineChars="200"/>
        <w:rPr>
          <w:rFonts w:ascii="宋体" w:hAnsi="宋体" w:cs="宋体"/>
          <w:b/>
          <w:sz w:val="24"/>
        </w:rPr>
      </w:pPr>
      <w:r>
        <w:rPr>
          <w:rFonts w:hint="eastAsia" w:ascii="宋体" w:hAnsi="宋体" w:cs="宋体"/>
          <w:b/>
          <w:sz w:val="24"/>
        </w:rPr>
        <w:t>2.就业信息智能推送</w:t>
      </w:r>
    </w:p>
    <w:p>
      <w:pPr>
        <w:spacing w:line="360" w:lineRule="auto"/>
        <w:ind w:firstLine="480" w:firstLineChars="200"/>
        <w:rPr>
          <w:rFonts w:ascii="宋体" w:hAnsi="宋体" w:cs="宋体"/>
          <w:sz w:val="24"/>
        </w:rPr>
      </w:pPr>
      <w:r>
        <w:rPr>
          <w:rFonts w:hint="eastAsia" w:ascii="宋体" w:hAnsi="宋体" w:cs="宋体"/>
          <w:sz w:val="24"/>
        </w:rPr>
        <w:t>（1）学生就业测评系统</w:t>
      </w:r>
    </w:p>
    <w:p>
      <w:pPr>
        <w:spacing w:line="360" w:lineRule="auto"/>
        <w:ind w:firstLine="480" w:firstLineChars="200"/>
        <w:rPr>
          <w:rFonts w:ascii="宋体" w:hAnsi="宋体" w:cs="宋体"/>
          <w:sz w:val="24"/>
        </w:rPr>
      </w:pPr>
      <w:r>
        <w:rPr>
          <w:rFonts w:hint="eastAsia" w:ascii="宋体" w:hAnsi="宋体" w:cs="宋体"/>
          <w:sz w:val="24"/>
        </w:rPr>
        <w:t>建设学生职业兴趣、就业能力、就业胜任力等综合测评系统，选用权威的测评软件，学生登陆测评后，生成就业测评报告，对学生的求职就业提供参考。</w:t>
      </w:r>
    </w:p>
    <w:p>
      <w:pPr>
        <w:spacing w:line="360" w:lineRule="auto"/>
        <w:ind w:firstLine="480" w:firstLineChars="200"/>
        <w:rPr>
          <w:rFonts w:ascii="宋体" w:hAnsi="宋体" w:cs="宋体"/>
          <w:sz w:val="24"/>
        </w:rPr>
      </w:pPr>
      <w:r>
        <w:rPr>
          <w:rFonts w:hint="eastAsia" w:ascii="宋体" w:hAnsi="宋体" w:cs="宋体"/>
          <w:sz w:val="24"/>
        </w:rPr>
        <w:t>（2）学生求职简历生成系统</w:t>
      </w:r>
    </w:p>
    <w:p>
      <w:pPr>
        <w:spacing w:line="360" w:lineRule="auto"/>
        <w:ind w:firstLine="480" w:firstLineChars="200"/>
        <w:rPr>
          <w:rFonts w:ascii="宋体" w:hAnsi="宋体" w:cs="宋体"/>
          <w:sz w:val="24"/>
        </w:rPr>
      </w:pPr>
      <w:r>
        <w:rPr>
          <w:rFonts w:hint="eastAsia" w:ascii="宋体" w:hAnsi="宋体" w:cs="宋体"/>
          <w:sz w:val="24"/>
        </w:rPr>
        <w:t>学生根据测评结果，结合个人学习、实践等方面的实际，明确求职意向，填写、制作个人求职简历。</w:t>
      </w:r>
    </w:p>
    <w:p>
      <w:pPr>
        <w:spacing w:line="360" w:lineRule="auto"/>
        <w:ind w:firstLine="480" w:firstLineChars="200"/>
        <w:rPr>
          <w:rFonts w:ascii="宋体" w:hAnsi="宋体" w:cs="宋体"/>
          <w:sz w:val="24"/>
        </w:rPr>
      </w:pPr>
      <w:r>
        <w:rPr>
          <w:rFonts w:hint="eastAsia" w:ascii="宋体" w:hAnsi="宋体" w:cs="宋体"/>
          <w:sz w:val="24"/>
        </w:rPr>
        <w:t>（3）就业信息精准推送系统</w:t>
      </w:r>
    </w:p>
    <w:p>
      <w:pPr>
        <w:spacing w:line="360" w:lineRule="auto"/>
        <w:ind w:firstLine="480" w:firstLineChars="200"/>
        <w:rPr>
          <w:rFonts w:ascii="宋体" w:hAnsi="宋体" w:cs="宋体"/>
          <w:sz w:val="24"/>
        </w:rPr>
      </w:pPr>
      <w:r>
        <w:rPr>
          <w:rFonts w:hint="eastAsia" w:ascii="宋体" w:hAnsi="宋体" w:cs="宋体"/>
          <w:sz w:val="24"/>
        </w:rPr>
        <w:t>建设就业信息精准推送系统，综合“智慧就业”系统内的各类单位招聘、招考需求信息及学生的求职意向信息，根据学生的就业需求、推荐条件，实现就业信息与就业需求精准匹配、定期（每天或每周）智能推送（包括微信推送、邮件推送、短信推送等形式）。</w:t>
      </w:r>
    </w:p>
    <w:p>
      <w:pPr>
        <w:spacing w:line="360" w:lineRule="auto"/>
        <w:ind w:firstLine="482" w:firstLineChars="200"/>
        <w:rPr>
          <w:rFonts w:ascii="宋体" w:hAnsi="宋体" w:cs="宋体"/>
          <w:b/>
          <w:sz w:val="24"/>
        </w:rPr>
      </w:pPr>
      <w:r>
        <w:rPr>
          <w:rFonts w:hint="eastAsia" w:ascii="宋体" w:hAnsi="宋体" w:cs="宋体"/>
          <w:b/>
          <w:sz w:val="24"/>
        </w:rPr>
        <w:t>3.建设就业微主页（微就业网）</w:t>
      </w:r>
    </w:p>
    <w:p>
      <w:pPr>
        <w:spacing w:line="360" w:lineRule="auto"/>
        <w:ind w:firstLine="480" w:firstLineChars="200"/>
        <w:rPr>
          <w:rFonts w:ascii="宋体" w:hAnsi="宋体" w:cs="宋体"/>
          <w:sz w:val="24"/>
        </w:rPr>
      </w:pPr>
      <w:r>
        <w:rPr>
          <w:rFonts w:hint="eastAsia" w:ascii="宋体" w:hAnsi="宋体" w:cs="宋体"/>
          <w:sz w:val="24"/>
        </w:rPr>
        <w:t>和学校现有的“南京信息工程大学企业号”对接，实现“智慧就业”平台与“微就业”智能衔接，实现“微就业”与就业官网信息同步。</w:t>
      </w:r>
    </w:p>
    <w:p>
      <w:pPr>
        <w:spacing w:line="360" w:lineRule="auto"/>
        <w:ind w:firstLine="480" w:firstLineChars="200"/>
        <w:rPr>
          <w:rFonts w:ascii="宋体" w:hAnsi="宋体" w:cs="宋体"/>
          <w:sz w:val="24"/>
        </w:rPr>
      </w:pPr>
      <w:r>
        <w:rPr>
          <w:rFonts w:hint="eastAsia" w:ascii="宋体" w:hAnsi="宋体" w:cs="宋体"/>
          <w:sz w:val="24"/>
        </w:rPr>
        <w:t>学生绑定南京信息工程大学企业号后，可以进行招聘信息的查看和简历的投递，可以进行就业测评和结果查询等，测评的结果用于匹配适合的岗位。</w:t>
      </w:r>
      <w:bookmarkStart w:id="10" w:name="_Toc22337"/>
    </w:p>
    <w:p>
      <w:pPr>
        <w:spacing w:line="360" w:lineRule="auto"/>
        <w:ind w:firstLine="482" w:firstLineChars="200"/>
        <w:rPr>
          <w:rFonts w:ascii="宋体" w:hAnsi="宋体" w:cs="宋体"/>
          <w:b/>
          <w:sz w:val="24"/>
        </w:rPr>
      </w:pPr>
      <w:r>
        <w:rPr>
          <w:rFonts w:hint="eastAsia" w:ascii="宋体" w:hAnsi="宋体" w:cs="宋体"/>
          <w:b/>
          <w:sz w:val="24"/>
        </w:rPr>
        <w:t>4.建设掌上就业事务办理大厅</w:t>
      </w:r>
      <w:bookmarkEnd w:id="10"/>
    </w:p>
    <w:p>
      <w:pPr>
        <w:spacing w:line="360" w:lineRule="auto"/>
        <w:ind w:firstLine="480" w:firstLineChars="200"/>
        <w:rPr>
          <w:rFonts w:ascii="宋体" w:hAnsi="宋体" w:cs="宋体"/>
          <w:sz w:val="24"/>
        </w:rPr>
      </w:pPr>
      <w:r>
        <w:rPr>
          <w:rFonts w:hint="eastAsia" w:ascii="宋体" w:hAnsi="宋体" w:cs="宋体"/>
          <w:sz w:val="24"/>
        </w:rPr>
        <w:t>通过办事大厅，师生可以通过手机在线完成各种就业事务，包括但不限于以下事项内容：</w:t>
      </w:r>
    </w:p>
    <w:tbl>
      <w:tblPr>
        <w:tblStyle w:val="19"/>
        <w:tblpPr w:leftFromText="180" w:rightFromText="180" w:vertAnchor="text" w:horzAnchor="page" w:tblpX="1387" w:tblpY="92"/>
        <w:tblOverlap w:val="never"/>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52" w:type="dxa"/>
          </w:tcPr>
          <w:p>
            <w:pPr>
              <w:spacing w:line="360" w:lineRule="auto"/>
              <w:ind w:firstLine="482" w:firstLineChars="200"/>
              <w:jc w:val="center"/>
              <w:rPr>
                <w:rFonts w:ascii="宋体" w:hAnsi="宋体" w:cs="宋体"/>
                <w:b/>
                <w:sz w:val="24"/>
              </w:rPr>
            </w:pPr>
            <w:r>
              <w:rPr>
                <w:rFonts w:hint="eastAsia" w:ascii="宋体" w:hAnsi="宋体" w:cs="宋体"/>
                <w:b/>
                <w:sz w:val="24"/>
              </w:rPr>
              <w:t>事项名称</w:t>
            </w:r>
          </w:p>
        </w:tc>
        <w:tc>
          <w:tcPr>
            <w:tcW w:w="7082" w:type="dxa"/>
          </w:tcPr>
          <w:p>
            <w:pPr>
              <w:spacing w:line="360" w:lineRule="auto"/>
              <w:ind w:firstLine="482" w:firstLineChars="200"/>
              <w:jc w:val="center"/>
              <w:rPr>
                <w:rFonts w:ascii="宋体" w:hAnsi="宋体" w:cs="宋体"/>
                <w:b/>
                <w:sz w:val="24"/>
              </w:rPr>
            </w:pPr>
            <w:r>
              <w:rPr>
                <w:rFonts w:hint="eastAsia" w:ascii="宋体" w:hAnsi="宋体" w:cs="宋体"/>
                <w:b/>
                <w:sz w:val="24"/>
              </w:rPr>
              <w:t>事项简介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552" w:type="dxa"/>
          </w:tcPr>
          <w:p>
            <w:pPr>
              <w:spacing w:line="360" w:lineRule="auto"/>
              <w:ind w:firstLine="480" w:firstLineChars="200"/>
              <w:rPr>
                <w:rFonts w:ascii="宋体" w:hAnsi="宋体" w:cs="宋体"/>
                <w:sz w:val="24"/>
              </w:rPr>
            </w:pPr>
            <w:r>
              <w:rPr>
                <w:rFonts w:hint="eastAsia" w:ascii="宋体" w:hAnsi="宋体" w:cs="宋体"/>
                <w:sz w:val="24"/>
              </w:rPr>
              <w:t>生源信息核对</w:t>
            </w:r>
          </w:p>
        </w:tc>
        <w:tc>
          <w:tcPr>
            <w:tcW w:w="7082" w:type="dxa"/>
          </w:tcPr>
          <w:p>
            <w:pPr>
              <w:spacing w:line="360" w:lineRule="auto"/>
              <w:rPr>
                <w:rFonts w:ascii="宋体" w:hAnsi="宋体" w:cs="宋体"/>
                <w:sz w:val="24"/>
              </w:rPr>
            </w:pPr>
            <w:r>
              <w:rPr>
                <w:rFonts w:hint="eastAsia" w:ascii="宋体" w:hAnsi="宋体" w:cs="宋体"/>
                <w:sz w:val="24"/>
              </w:rPr>
              <w:t>学生在线核对完善生源信息，管理员在线审核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360" w:lineRule="auto"/>
              <w:ind w:firstLine="480" w:firstLineChars="200"/>
              <w:rPr>
                <w:rFonts w:ascii="宋体" w:hAnsi="宋体" w:cs="宋体"/>
                <w:sz w:val="24"/>
              </w:rPr>
            </w:pPr>
            <w:r>
              <w:rPr>
                <w:rFonts w:hint="eastAsia" w:ascii="宋体" w:hAnsi="宋体" w:cs="宋体"/>
                <w:sz w:val="24"/>
              </w:rPr>
              <w:t>办理解约</w:t>
            </w:r>
          </w:p>
        </w:tc>
        <w:tc>
          <w:tcPr>
            <w:tcW w:w="7082" w:type="dxa"/>
          </w:tcPr>
          <w:p>
            <w:pPr>
              <w:spacing w:line="360" w:lineRule="auto"/>
              <w:rPr>
                <w:rFonts w:ascii="宋体" w:hAnsi="宋体" w:cs="宋体"/>
                <w:sz w:val="24"/>
              </w:rPr>
            </w:pPr>
            <w:r>
              <w:rPr>
                <w:rFonts w:hint="eastAsia" w:ascii="宋体" w:hAnsi="宋体" w:cs="宋体"/>
                <w:sz w:val="24"/>
              </w:rPr>
              <w:t>学生按要求提交解约申请，审核通过后，到学院领取新协议书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360" w:lineRule="auto"/>
              <w:ind w:firstLine="480" w:firstLineChars="200"/>
              <w:rPr>
                <w:rFonts w:ascii="宋体" w:hAnsi="宋体" w:cs="宋体"/>
                <w:sz w:val="24"/>
              </w:rPr>
            </w:pPr>
            <w:r>
              <w:rPr>
                <w:rFonts w:hint="eastAsia" w:ascii="宋体" w:hAnsi="宋体" w:cs="宋体"/>
                <w:sz w:val="24"/>
              </w:rPr>
              <w:t>协议书遗失补办</w:t>
            </w:r>
          </w:p>
        </w:tc>
        <w:tc>
          <w:tcPr>
            <w:tcW w:w="7082" w:type="dxa"/>
          </w:tcPr>
          <w:p>
            <w:pPr>
              <w:spacing w:line="360" w:lineRule="auto"/>
              <w:rPr>
                <w:rFonts w:ascii="宋体" w:hAnsi="宋体" w:cs="宋体"/>
                <w:sz w:val="24"/>
              </w:rPr>
            </w:pPr>
            <w:r>
              <w:rPr>
                <w:rFonts w:hint="eastAsia" w:ascii="宋体" w:hAnsi="宋体" w:cs="宋体"/>
                <w:sz w:val="24"/>
              </w:rPr>
              <w:t>在线填写协议书遗失补办申请，审核通过后，到学院领取新协议书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360" w:lineRule="auto"/>
              <w:ind w:firstLine="480" w:firstLineChars="200"/>
              <w:rPr>
                <w:rFonts w:ascii="宋体" w:hAnsi="宋体" w:cs="宋体"/>
                <w:sz w:val="24"/>
              </w:rPr>
            </w:pPr>
            <w:r>
              <w:rPr>
                <w:rFonts w:hint="eastAsia" w:ascii="宋体" w:hAnsi="宋体" w:cs="宋体"/>
                <w:sz w:val="24"/>
              </w:rPr>
              <w:t>推荐表遗失补办</w:t>
            </w:r>
          </w:p>
        </w:tc>
        <w:tc>
          <w:tcPr>
            <w:tcW w:w="7082" w:type="dxa"/>
          </w:tcPr>
          <w:p>
            <w:pPr>
              <w:spacing w:line="360" w:lineRule="auto"/>
              <w:rPr>
                <w:rFonts w:ascii="宋体" w:hAnsi="宋体" w:cs="宋体"/>
                <w:sz w:val="24"/>
              </w:rPr>
            </w:pPr>
            <w:r>
              <w:rPr>
                <w:rFonts w:hint="eastAsia" w:ascii="宋体" w:hAnsi="宋体" w:cs="宋体"/>
                <w:sz w:val="24"/>
              </w:rPr>
              <w:t>在线填写推荐表遗失补办申请，审核通过后，到学院领取新推荐表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2" w:type="dxa"/>
          </w:tcPr>
          <w:p>
            <w:pPr>
              <w:spacing w:line="360" w:lineRule="auto"/>
              <w:ind w:firstLine="480" w:firstLineChars="200"/>
              <w:rPr>
                <w:rFonts w:ascii="宋体" w:hAnsi="宋体" w:cs="宋体"/>
                <w:sz w:val="24"/>
              </w:rPr>
            </w:pPr>
            <w:r>
              <w:rPr>
                <w:rFonts w:hint="eastAsia" w:ascii="宋体" w:hAnsi="宋体" w:cs="宋体"/>
                <w:sz w:val="24"/>
              </w:rPr>
              <w:t>报到证查询</w:t>
            </w:r>
          </w:p>
        </w:tc>
        <w:tc>
          <w:tcPr>
            <w:tcW w:w="7082" w:type="dxa"/>
          </w:tcPr>
          <w:p>
            <w:pPr>
              <w:spacing w:line="360" w:lineRule="auto"/>
              <w:rPr>
                <w:rFonts w:ascii="宋体" w:hAnsi="宋体" w:cs="宋体"/>
                <w:sz w:val="24"/>
              </w:rPr>
            </w:pPr>
            <w:r>
              <w:rPr>
                <w:rFonts w:hint="eastAsia" w:ascii="宋体" w:hAnsi="宋体" w:cs="宋体"/>
                <w:sz w:val="24"/>
              </w:rPr>
              <w:t>在线查询报到证信息</w:t>
            </w:r>
          </w:p>
        </w:tc>
      </w:tr>
    </w:tbl>
    <w:p>
      <w:pPr>
        <w:spacing w:line="360" w:lineRule="auto"/>
        <w:ind w:firstLine="482" w:firstLineChars="200"/>
        <w:rPr>
          <w:rFonts w:ascii="宋体" w:hAnsi="宋体" w:cs="宋体"/>
          <w:b/>
          <w:sz w:val="24"/>
        </w:rPr>
      </w:pPr>
      <w:bookmarkStart w:id="11" w:name="_Toc3045"/>
      <w:r>
        <w:rPr>
          <w:rFonts w:hint="eastAsia" w:ascii="宋体" w:hAnsi="宋体" w:cs="宋体"/>
          <w:b/>
          <w:sz w:val="24"/>
        </w:rPr>
        <w:t>5.就业分析系统</w:t>
      </w:r>
      <w:bookmarkEnd w:id="11"/>
    </w:p>
    <w:p>
      <w:pPr>
        <w:spacing w:line="360" w:lineRule="auto"/>
        <w:ind w:firstLine="480" w:firstLineChars="200"/>
        <w:rPr>
          <w:rFonts w:ascii="宋体" w:hAnsi="宋体" w:cs="宋体"/>
          <w:sz w:val="24"/>
        </w:rPr>
      </w:pPr>
      <w:r>
        <w:rPr>
          <w:rFonts w:hint="eastAsia" w:ascii="宋体" w:hAnsi="宋体" w:cs="宋体"/>
          <w:sz w:val="24"/>
        </w:rPr>
        <w:t>（1）校园招聘单位分析：分类统计分析校园招聘会、校园招聘会、网络招聘会、网络宣讲会参会单位的性质、类别、地区分布、行业分布以及提供的岗位情况、薪资待遇情况、收取简历情况、录用学生情况等数据，生成年度校园招聘绩效报告。</w:t>
      </w:r>
    </w:p>
    <w:p>
      <w:pPr>
        <w:spacing w:line="360" w:lineRule="auto"/>
        <w:ind w:firstLine="480" w:firstLineChars="200"/>
        <w:rPr>
          <w:rFonts w:ascii="宋体" w:hAnsi="宋体" w:cs="宋体"/>
          <w:sz w:val="24"/>
        </w:rPr>
      </w:pPr>
      <w:r>
        <w:rPr>
          <w:rFonts w:hint="eastAsia" w:ascii="宋体" w:hAnsi="宋体" w:cs="宋体"/>
          <w:sz w:val="24"/>
        </w:rPr>
        <w:t>（2）学生就业情况分析：统计当年毕业生参加各类招聘会情况、投递简历情况，各学院毕业生就业单位性质、薪资、行业分布、地区分布，录用到知名企业的学生情况等，生成年度学生就业情况报告。</w:t>
      </w:r>
    </w:p>
    <w:p>
      <w:pPr>
        <w:spacing w:line="360" w:lineRule="auto"/>
        <w:ind w:firstLine="482" w:firstLineChars="200"/>
        <w:rPr>
          <w:rFonts w:ascii="宋体" w:hAnsi="宋体" w:cs="宋体"/>
          <w:b/>
          <w:sz w:val="24"/>
        </w:rPr>
      </w:pPr>
      <w:r>
        <w:rPr>
          <w:rFonts w:hint="eastAsia" w:ascii="宋体" w:hAnsi="宋体" w:cs="宋体"/>
          <w:b/>
          <w:sz w:val="24"/>
        </w:rPr>
        <w:t>6.线上</w:t>
      </w:r>
      <w:bookmarkStart w:id="12" w:name="_Toc4384"/>
      <w:r>
        <w:rPr>
          <w:rFonts w:hint="eastAsia" w:ascii="宋体" w:hAnsi="宋体" w:cs="宋体"/>
          <w:b/>
          <w:sz w:val="24"/>
        </w:rPr>
        <w:t>就业指导</w:t>
      </w:r>
      <w:bookmarkEnd w:id="12"/>
      <w:r>
        <w:rPr>
          <w:rFonts w:hint="eastAsia" w:ascii="宋体" w:hAnsi="宋体" w:cs="宋体"/>
          <w:b/>
          <w:sz w:val="24"/>
        </w:rPr>
        <w:t>课程</w:t>
      </w:r>
    </w:p>
    <w:p>
      <w:pPr>
        <w:spacing w:line="360" w:lineRule="auto"/>
        <w:ind w:firstLine="480" w:firstLineChars="200"/>
      </w:pPr>
      <w:r>
        <w:rPr>
          <w:rFonts w:hint="eastAsia" w:ascii="宋体" w:hAnsi="宋体" w:cs="宋体"/>
          <w:sz w:val="24"/>
        </w:rPr>
        <w:t>提供五门以上权威的线上就业指导系列课程（需定期更新），供学生在线学习。</w:t>
      </w:r>
    </w:p>
    <w:p>
      <w:pPr>
        <w:adjustRightInd w:val="0"/>
        <w:snapToGrid w:val="0"/>
        <w:spacing w:line="360" w:lineRule="auto"/>
        <w:ind w:left="560"/>
        <w:rPr>
          <w:rFonts w:ascii="黑体" w:hAnsi="黑体" w:eastAsia="黑体"/>
          <w:sz w:val="28"/>
          <w:szCs w:val="28"/>
        </w:rPr>
      </w:pPr>
      <w:r>
        <w:rPr>
          <w:rFonts w:hint="eastAsia" w:ascii="黑体" w:hAnsi="黑体" w:eastAsia="黑体"/>
          <w:sz w:val="28"/>
          <w:szCs w:val="28"/>
        </w:rPr>
        <w:t>五、其他要求</w:t>
      </w:r>
    </w:p>
    <w:p>
      <w:pPr>
        <w:spacing w:line="360" w:lineRule="auto"/>
        <w:ind w:firstLine="482" w:firstLineChars="200"/>
        <w:rPr>
          <w:rFonts w:ascii="宋体" w:hAnsi="宋体" w:cs="宋体"/>
          <w:b/>
          <w:sz w:val="24"/>
        </w:rPr>
      </w:pPr>
      <w:r>
        <w:rPr>
          <w:rFonts w:hint="eastAsia" w:ascii="宋体" w:hAnsi="宋体" w:cs="宋体"/>
          <w:b/>
          <w:sz w:val="24"/>
        </w:rPr>
        <w:t>（一）</w:t>
      </w:r>
      <w:r>
        <w:rPr>
          <w:rFonts w:ascii="宋体" w:hAnsi="宋体" w:cs="宋体"/>
          <w:b/>
          <w:sz w:val="24"/>
        </w:rPr>
        <w:t>实施方案及知识产权承诺</w:t>
      </w:r>
    </w:p>
    <w:p>
      <w:pPr>
        <w:spacing w:line="360" w:lineRule="auto"/>
        <w:ind w:firstLine="480" w:firstLineChars="200"/>
        <w:rPr>
          <w:rFonts w:ascii="宋体" w:hAnsi="宋体" w:cs="宋体"/>
          <w:sz w:val="24"/>
        </w:rPr>
      </w:pPr>
      <w:r>
        <w:rPr>
          <w:rFonts w:hint="eastAsia" w:ascii="宋体" w:hAnsi="宋体" w:cs="宋体"/>
          <w:sz w:val="24"/>
        </w:rPr>
        <w:t>投标人承诺向学校提供的系统部署实施方案，符合学校实际情况，并能通过相关管理部门的评估，完全符合现场实施要求。</w:t>
      </w:r>
      <w:r>
        <w:rPr>
          <w:rFonts w:ascii="宋体" w:hAnsi="宋体" w:cs="宋体"/>
          <w:sz w:val="24"/>
        </w:rPr>
        <w:t>投标人对其提供软件产品和服务的合法性负责，保证其对提供的软件产品拥有合法的使用权，保证采购人人在使用时无需再行获得第三方的许可，无需向第三方支付任何报酬或费用。如因投标人提供的软件产品或服务的知识产权引起与第三方的纠纷，由投标人负责处理，并承担全部法律责任。</w:t>
      </w:r>
    </w:p>
    <w:p>
      <w:pPr>
        <w:spacing w:line="360" w:lineRule="auto"/>
        <w:ind w:firstLine="482" w:firstLineChars="200"/>
        <w:rPr>
          <w:rFonts w:ascii="宋体" w:hAnsi="宋体" w:cs="宋体"/>
          <w:b/>
          <w:sz w:val="24"/>
        </w:rPr>
      </w:pPr>
      <w:r>
        <w:rPr>
          <w:rFonts w:hint="eastAsia" w:ascii="宋体" w:hAnsi="宋体" w:cs="宋体"/>
          <w:b/>
          <w:sz w:val="24"/>
        </w:rPr>
        <w:t>（二）</w:t>
      </w:r>
      <w:r>
        <w:rPr>
          <w:rFonts w:ascii="宋体" w:hAnsi="宋体" w:cs="宋体"/>
          <w:b/>
          <w:sz w:val="24"/>
        </w:rPr>
        <w:t>等保及安全</w:t>
      </w:r>
    </w:p>
    <w:p>
      <w:pPr>
        <w:spacing w:line="360" w:lineRule="auto"/>
        <w:ind w:firstLine="480" w:firstLineChars="200"/>
        <w:rPr>
          <w:rFonts w:ascii="宋体" w:hAnsi="宋体" w:cs="宋体"/>
          <w:sz w:val="24"/>
        </w:rPr>
      </w:pPr>
      <w:r>
        <w:rPr>
          <w:rFonts w:hint="eastAsia" w:ascii="宋体" w:hAnsi="宋体" w:cs="宋体"/>
          <w:sz w:val="24"/>
        </w:rPr>
        <w:t>应用（系统）正式上线前，须按定级后的等保要求，经安全检测，符合要求后方可上线运行。根据技术发展或业务需要，及时提供相关安全升级服务。</w:t>
      </w:r>
    </w:p>
    <w:p>
      <w:pPr>
        <w:spacing w:line="360" w:lineRule="auto"/>
        <w:ind w:firstLine="482" w:firstLineChars="200"/>
        <w:rPr>
          <w:rFonts w:ascii="宋体" w:hAnsi="宋体" w:cs="宋体"/>
          <w:b/>
          <w:sz w:val="24"/>
        </w:rPr>
      </w:pPr>
      <w:r>
        <w:rPr>
          <w:rFonts w:hint="eastAsia" w:ascii="宋体" w:hAnsi="宋体" w:cs="宋体"/>
          <w:b/>
          <w:sz w:val="24"/>
        </w:rPr>
        <w:t>（三）</w:t>
      </w:r>
      <w:r>
        <w:rPr>
          <w:rFonts w:ascii="宋体" w:hAnsi="宋体" w:cs="宋体"/>
          <w:b/>
          <w:sz w:val="24"/>
        </w:rPr>
        <w:t>人员配置及管理要求以及实施要求</w:t>
      </w:r>
    </w:p>
    <w:p>
      <w:pPr>
        <w:spacing w:line="360" w:lineRule="auto"/>
        <w:ind w:firstLine="480" w:firstLineChars="200"/>
        <w:rPr>
          <w:rFonts w:ascii="宋体" w:hAnsi="宋体" w:cs="宋体"/>
          <w:sz w:val="24"/>
        </w:rPr>
      </w:pPr>
      <w:r>
        <w:rPr>
          <w:rFonts w:ascii="宋体" w:hAnsi="宋体" w:cs="宋体"/>
          <w:sz w:val="24"/>
        </w:rPr>
        <w:t>1.投标人应按照项目规模合理配置相当数量的专业技术人员组成项目团队，项目团队人员应专业配套齐全并提供人员专业资质资格证书，包括但不限于高级项目证书、项目经理证书等（资格证书复印件须盖章）。项目团队组成人员必须为投标人单位正常聘用的员工，严禁使用挂靠人员，并提供详细明确的人员信息（包括服务人员身份证复印件等）。投标人在本项目中原则上须配置1名经验丰富的项目负责人与用户保持密切沟通和协调项目事宜。</w:t>
      </w:r>
    </w:p>
    <w:p>
      <w:pPr>
        <w:spacing w:line="360" w:lineRule="auto"/>
        <w:ind w:firstLine="480" w:firstLineChars="200"/>
        <w:rPr>
          <w:rFonts w:ascii="宋体" w:hAnsi="宋体" w:cs="宋体"/>
          <w:sz w:val="24"/>
        </w:rPr>
      </w:pPr>
      <w:r>
        <w:rPr>
          <w:rFonts w:ascii="宋体" w:hAnsi="宋体" w:cs="宋体"/>
          <w:sz w:val="24"/>
        </w:rPr>
        <w:t>2.拟投入本项目的技术人员须提供在投标人单位连续缴纳近三个月社会保险的证明，并提供完善的身份信息，一旦中标不得随意更换技术人员。</w:t>
      </w:r>
    </w:p>
    <w:p>
      <w:pPr>
        <w:spacing w:line="360" w:lineRule="auto"/>
        <w:ind w:firstLine="480" w:firstLineChars="200"/>
        <w:rPr>
          <w:rFonts w:ascii="宋体" w:hAnsi="宋体" w:cs="宋体"/>
          <w:sz w:val="24"/>
        </w:rPr>
      </w:pPr>
      <w:r>
        <w:rPr>
          <w:rFonts w:ascii="宋体" w:hAnsi="宋体" w:cs="宋体"/>
          <w:sz w:val="24"/>
        </w:rPr>
        <w:t>3.本项目负责人须提供在投标人单位连续缴纳近三个月的社会保险的缴费证明，并提供完善的身份信息，一旦中标不得更换。</w:t>
      </w:r>
    </w:p>
    <w:p>
      <w:pPr>
        <w:spacing w:line="360" w:lineRule="auto"/>
        <w:ind w:firstLine="480" w:firstLineChars="200"/>
        <w:rPr>
          <w:rFonts w:ascii="宋体" w:hAnsi="宋体" w:cs="宋体"/>
          <w:sz w:val="24"/>
        </w:rPr>
      </w:pPr>
      <w:r>
        <w:rPr>
          <w:rFonts w:hint="eastAsia" w:ascii="宋体" w:hAnsi="宋体" w:cs="宋体"/>
          <w:sz w:val="24"/>
        </w:rPr>
        <w:t>实施过程管控要求：</w:t>
      </w:r>
    </w:p>
    <w:p>
      <w:pPr>
        <w:spacing w:line="360" w:lineRule="auto"/>
        <w:ind w:firstLine="480" w:firstLineChars="200"/>
        <w:rPr>
          <w:rFonts w:ascii="宋体" w:hAnsi="宋体" w:cs="宋体"/>
          <w:sz w:val="24"/>
        </w:rPr>
      </w:pPr>
      <w:r>
        <w:rPr>
          <w:rFonts w:hint="eastAsia" w:ascii="宋体" w:hAnsi="宋体" w:cs="宋体"/>
          <w:sz w:val="24"/>
        </w:rPr>
        <w:t>基于本项目为学校信息化建设的重点支撑，投标方的项目实施计划及过程进度管控能力是项目成败的关键，因此需要投标方提供或开发针对项目的详细进度计划管理工具软件或系统，对详细进度计划涉及的功能模块、任务、时间节点、人员进行精细化管理，且支持开放给采购人使用，方便双方项目团队成员以工程项目为基础，对项目实施计划及项目计划任务执行情况进行跟踪及反馈，对项目实施过程中出现的问题及其处理过程进行完整记录，并可对于项目交付物统一管理，项目汇报规范，交付过程项目团队响应和解决及计划完成有效监控，使项目交付过程面向校方全程开放。工程过程管控过程需要提供：</w:t>
      </w:r>
    </w:p>
    <w:p>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w:t>
      </w:r>
      <w:r>
        <w:rPr>
          <w:rFonts w:ascii="宋体" w:hAnsi="宋体" w:cs="宋体"/>
          <w:sz w:val="24"/>
        </w:rPr>
        <w:t>以学校领导为视角的项目综合看板，可查看本学校内所有项目的当前状态、热门应用的TOP5排名情况、校内所有项目问题及投诉的实时处理进展、以及每一项目的建设周期、干系人、进度任务、问题、投诉、配置库等信息；</w:t>
      </w:r>
    </w:p>
    <w:p>
      <w:pPr>
        <w:spacing w:line="360" w:lineRule="auto"/>
        <w:ind w:firstLine="480" w:firstLineChars="200"/>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以业务老师为视角的项目信息管理，可查看个人负责和参与的所有项目，以及每一项目的建设周期、干系人、进度任务、问题、投诉、配置库等信息；</w:t>
      </w:r>
    </w:p>
    <w:p>
      <w:pPr>
        <w:spacing w:line="360" w:lineRule="auto"/>
        <w:ind w:firstLine="480" w:firstLineChars="200"/>
        <w:rPr>
          <w:rFonts w:ascii="宋体" w:hAnsi="宋体" w:cs="宋体"/>
          <w:sz w:val="24"/>
        </w:rPr>
      </w:pPr>
      <w:r>
        <w:rPr>
          <w:rFonts w:ascii="宋体" w:hAnsi="宋体" w:cs="宋体"/>
          <w:sz w:val="24"/>
        </w:rPr>
        <w:t>3</w:t>
      </w:r>
      <w:r>
        <w:rPr>
          <w:rFonts w:hint="eastAsia" w:ascii="宋体" w:hAnsi="宋体" w:cs="宋体"/>
          <w:sz w:val="24"/>
        </w:rPr>
        <w:t>.</w:t>
      </w:r>
      <w:r>
        <w:rPr>
          <w:rFonts w:ascii="宋体" w:hAnsi="宋体" w:cs="宋体"/>
          <w:sz w:val="24"/>
        </w:rPr>
        <w:t>支持对对实施进度及实施任务执行情况追踪，可以新建任务、添加任务执行过程、完成任务已经任务完成确认等，可集中管理该项目下所有产品的实施进度任务，包含里程碑任务、工程任务、客户任务以及个人任务等；</w:t>
      </w:r>
    </w:p>
    <w:p>
      <w:pPr>
        <w:spacing w:line="360" w:lineRule="auto"/>
        <w:ind w:firstLine="480" w:firstLineChars="200"/>
        <w:rPr>
          <w:rFonts w:ascii="宋体" w:hAnsi="宋体" w:cs="宋体"/>
          <w:sz w:val="24"/>
        </w:rPr>
      </w:pPr>
      <w:r>
        <w:rPr>
          <w:rFonts w:ascii="宋体" w:hAnsi="宋体" w:cs="宋体"/>
          <w:sz w:val="24"/>
        </w:rPr>
        <w:t>4</w:t>
      </w:r>
      <w:r>
        <w:rPr>
          <w:rFonts w:hint="eastAsia" w:ascii="宋体" w:hAnsi="宋体" w:cs="宋体"/>
          <w:sz w:val="24"/>
        </w:rPr>
        <w:t>.</w:t>
      </w:r>
      <w:r>
        <w:rPr>
          <w:rFonts w:ascii="宋体" w:hAnsi="宋体" w:cs="宋体"/>
          <w:sz w:val="24"/>
        </w:rPr>
        <w:t>应支持记录项目实施中的日报、周报、月报等工作过程，在实施人员填写完成后，用户可以直接查看，还可对工作记录进行批注，提高信息透明度；</w:t>
      </w:r>
    </w:p>
    <w:p>
      <w:pPr>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w:t>
      </w:r>
      <w:r>
        <w:rPr>
          <w:rFonts w:ascii="宋体" w:hAnsi="宋体" w:cs="宋体"/>
          <w:sz w:val="24"/>
        </w:rPr>
        <w:t>对于项目中出现的重大问题，用户可以直接通过平台进行投诉，提交投诉后，投标方公司的专业运营团队进行跟踪处理，受理投诉内容，并及时反馈解决进度及解决方案，直至校方满意并主动关闭投诉为止；</w:t>
      </w:r>
    </w:p>
    <w:p>
      <w:pPr>
        <w:spacing w:line="360" w:lineRule="auto"/>
        <w:ind w:firstLine="480" w:firstLineChars="200"/>
        <w:rPr>
          <w:rFonts w:ascii="宋体" w:hAnsi="宋体" w:cs="宋体"/>
          <w:sz w:val="24"/>
        </w:rPr>
      </w:pPr>
      <w:r>
        <w:rPr>
          <w:rFonts w:ascii="宋体" w:hAnsi="宋体" w:cs="宋体"/>
          <w:sz w:val="24"/>
        </w:rPr>
        <w:t>6</w:t>
      </w:r>
      <w:r>
        <w:rPr>
          <w:rFonts w:hint="eastAsia" w:ascii="宋体" w:hAnsi="宋体" w:cs="宋体"/>
          <w:sz w:val="24"/>
        </w:rPr>
        <w:t>.</w:t>
      </w:r>
      <w:r>
        <w:rPr>
          <w:rFonts w:ascii="宋体" w:hAnsi="宋体" w:cs="宋体"/>
          <w:sz w:val="24"/>
        </w:rPr>
        <w:t>以业务人员为视角的项目过程管控工具，可查看个人负责和参与的所有项目，以及每一项目的建设周期、干系人、进度任务、问题、投诉、配置库等信息。</w:t>
      </w:r>
    </w:p>
    <w:p>
      <w:pPr>
        <w:pStyle w:val="2"/>
      </w:pPr>
    </w:p>
    <w:p>
      <w:pPr>
        <w:pStyle w:val="2"/>
      </w:pPr>
    </w:p>
    <w:p>
      <w:pPr>
        <w:pStyle w:val="2"/>
      </w:pPr>
    </w:p>
    <w:p>
      <w:pPr>
        <w:pStyle w:val="2"/>
      </w:pPr>
    </w:p>
    <w:p>
      <w:pPr>
        <w:adjustRightInd w:val="0"/>
        <w:snapToGrid w:val="0"/>
        <w:spacing w:line="360" w:lineRule="auto"/>
        <w:ind w:left="560"/>
        <w:rPr>
          <w:rFonts w:ascii="黑体" w:hAnsi="黑体" w:eastAsia="黑体"/>
          <w:sz w:val="28"/>
          <w:szCs w:val="28"/>
        </w:rPr>
      </w:pPr>
      <w:r>
        <w:rPr>
          <w:rFonts w:hint="eastAsia" w:ascii="黑体" w:hAnsi="黑体" w:eastAsia="黑体"/>
          <w:sz w:val="28"/>
          <w:szCs w:val="28"/>
        </w:rPr>
        <w:t>六、信息化项目建设要求</w:t>
      </w:r>
    </w:p>
    <w:p>
      <w:pPr>
        <w:spacing w:line="360" w:lineRule="auto"/>
        <w:ind w:firstLine="480" w:firstLineChars="200"/>
        <w:rPr>
          <w:rFonts w:ascii="宋体" w:hAnsi="宋体" w:cs="宋体"/>
          <w:sz w:val="24"/>
        </w:rPr>
      </w:pPr>
      <w:r>
        <w:rPr>
          <w:rFonts w:hint="eastAsia" w:ascii="宋体" w:hAnsi="宋体" w:cs="宋体"/>
          <w:sz w:val="24"/>
        </w:rPr>
        <w:t>1.业务系统元数据标准要求</w:t>
      </w:r>
    </w:p>
    <w:p>
      <w:pPr>
        <w:spacing w:line="360" w:lineRule="auto"/>
        <w:ind w:firstLine="480" w:firstLineChars="200"/>
        <w:rPr>
          <w:rFonts w:ascii="宋体" w:hAnsi="宋体" w:cs="宋体"/>
          <w:sz w:val="24"/>
        </w:rPr>
      </w:pPr>
      <w:r>
        <w:rPr>
          <w:rFonts w:hint="eastAsia" w:ascii="宋体" w:hAnsi="宋体" w:cs="宋体"/>
          <w:sz w:val="24"/>
        </w:rPr>
        <w:t>各业务系统涉及到的字典表数据公共部分应以《南京信息工程大学信息标准规范》为准，未在该标准中界定的字典，应符合相应国标和行标，个性化部分应符合学校业务发展需要，并协助学校将其制定为校标。</w:t>
      </w:r>
    </w:p>
    <w:p>
      <w:pPr>
        <w:spacing w:line="360" w:lineRule="auto"/>
        <w:ind w:firstLine="480" w:firstLineChars="200"/>
        <w:rPr>
          <w:rFonts w:ascii="宋体" w:hAnsi="宋体" w:cs="宋体"/>
          <w:sz w:val="24"/>
        </w:rPr>
      </w:pPr>
      <w:r>
        <w:rPr>
          <w:rFonts w:hint="eastAsia" w:ascii="宋体" w:hAnsi="宋体" w:cs="宋体"/>
          <w:sz w:val="24"/>
        </w:rPr>
        <w:t xml:space="preserve"> 2.系统对接</w:t>
      </w:r>
    </w:p>
    <w:p>
      <w:pPr>
        <w:spacing w:line="360" w:lineRule="auto"/>
        <w:ind w:firstLine="480" w:firstLineChars="200"/>
        <w:rPr>
          <w:rFonts w:ascii="宋体" w:hAnsi="宋体" w:cs="宋体"/>
          <w:sz w:val="24"/>
        </w:rPr>
      </w:pPr>
      <w:r>
        <w:rPr>
          <w:rFonts w:hint="eastAsia" w:ascii="宋体" w:hAnsi="宋体" w:cs="宋体"/>
          <w:sz w:val="24"/>
        </w:rPr>
        <w:t>系统须根据网络信息中心要求，与我校统一身份认证系统对接，不允许使用系统自带的登录界面，不允许使用第二套用户账号及密码。根据校方使用需求，对接校园信息门户、企业微信号、消息统一发送平台等平台。</w:t>
      </w:r>
    </w:p>
    <w:p>
      <w:pPr>
        <w:spacing w:line="360" w:lineRule="auto"/>
        <w:ind w:firstLine="480" w:firstLineChars="200"/>
        <w:rPr>
          <w:rFonts w:ascii="宋体" w:hAnsi="宋体" w:cs="宋体"/>
          <w:sz w:val="24"/>
        </w:rPr>
      </w:pPr>
      <w:r>
        <w:rPr>
          <w:rFonts w:hint="eastAsia" w:ascii="宋体" w:hAnsi="宋体" w:cs="宋体"/>
          <w:sz w:val="24"/>
        </w:rPr>
        <w:t xml:space="preserve"> 3.数据共享</w:t>
      </w:r>
    </w:p>
    <w:p>
      <w:pPr>
        <w:spacing w:line="360" w:lineRule="auto"/>
        <w:ind w:firstLine="480" w:firstLineChars="200"/>
        <w:rPr>
          <w:rFonts w:ascii="宋体" w:hAnsi="宋体" w:cs="宋体"/>
          <w:sz w:val="24"/>
        </w:rPr>
      </w:pPr>
      <w:r>
        <w:rPr>
          <w:rFonts w:hint="eastAsia" w:ascii="宋体" w:hAnsi="宋体" w:cs="宋体"/>
          <w:sz w:val="24"/>
        </w:rPr>
        <w:t>业务系统产生的所有业务数据支持通过webservice/API接口或数据库方式对接，包括但不限于数据库表、视图、数据库字段说明。对于学校实时数据集成要求需开放相关实时数据API接口及数据库相关权限。</w:t>
      </w:r>
    </w:p>
    <w:p>
      <w:pPr>
        <w:spacing w:line="360" w:lineRule="auto"/>
        <w:ind w:firstLine="480" w:firstLineChars="200"/>
        <w:rPr>
          <w:rFonts w:ascii="宋体" w:hAnsi="宋体" w:cs="宋体"/>
          <w:sz w:val="24"/>
        </w:rPr>
      </w:pPr>
      <w:r>
        <w:rPr>
          <w:rFonts w:hint="eastAsia" w:ascii="宋体" w:hAnsi="宋体" w:cs="宋体"/>
          <w:sz w:val="24"/>
        </w:rPr>
        <w:t xml:space="preserve">  4.日志功能</w:t>
      </w:r>
    </w:p>
    <w:p>
      <w:pPr>
        <w:spacing w:line="360" w:lineRule="auto"/>
        <w:ind w:firstLine="480" w:firstLineChars="200"/>
        <w:rPr>
          <w:rFonts w:ascii="宋体" w:hAnsi="宋体" w:cs="宋体"/>
          <w:sz w:val="24"/>
        </w:rPr>
      </w:pPr>
      <w:r>
        <w:rPr>
          <w:rFonts w:hint="eastAsia" w:ascii="宋体" w:hAnsi="宋体" w:cs="宋体"/>
          <w:sz w:val="24"/>
        </w:rPr>
        <w:t>业务系统须按照等保3.0要求存储日志，须存储不少于6个月的日志，日志数据与业务数据一并推送校数据中心。</w:t>
      </w:r>
    </w:p>
    <w:p>
      <w:pPr>
        <w:spacing w:line="360" w:lineRule="auto"/>
        <w:ind w:firstLine="480" w:firstLineChars="200"/>
        <w:rPr>
          <w:rFonts w:ascii="宋体" w:hAnsi="宋体" w:cs="宋体"/>
          <w:sz w:val="24"/>
        </w:rPr>
      </w:pPr>
      <w:r>
        <w:rPr>
          <w:rFonts w:hint="eastAsia" w:ascii="宋体" w:hAnsi="宋体" w:cs="宋体"/>
          <w:sz w:val="24"/>
        </w:rPr>
        <w:t xml:space="preserve">  5.系统安全</w:t>
      </w:r>
    </w:p>
    <w:p>
      <w:pPr>
        <w:spacing w:line="360" w:lineRule="auto"/>
        <w:ind w:firstLine="480" w:firstLineChars="200"/>
        <w:rPr>
          <w:rFonts w:ascii="宋体" w:hAnsi="宋体" w:cs="宋体"/>
          <w:sz w:val="24"/>
        </w:rPr>
      </w:pPr>
      <w:r>
        <w:rPr>
          <w:rFonts w:hint="eastAsia" w:ascii="宋体" w:hAnsi="宋体" w:cs="宋体"/>
          <w:sz w:val="24"/>
        </w:rPr>
        <w:t>业务系统需要按照等保3.0和校方相关要求，完成系统安全管控和人员配置。</w:t>
      </w:r>
    </w:p>
    <w:p>
      <w:pPr>
        <w:spacing w:line="360" w:lineRule="auto"/>
        <w:ind w:firstLine="480" w:firstLineChars="200"/>
        <w:rPr>
          <w:rFonts w:ascii="宋体" w:hAnsi="宋体" w:cs="宋体"/>
          <w:sz w:val="24"/>
        </w:rPr>
      </w:pPr>
      <w:r>
        <w:rPr>
          <w:rFonts w:hint="eastAsia" w:ascii="宋体" w:hAnsi="宋体" w:cs="宋体"/>
          <w:sz w:val="24"/>
        </w:rPr>
        <w:t xml:space="preserve">  6.备案制度</w:t>
      </w:r>
    </w:p>
    <w:p>
      <w:pPr>
        <w:spacing w:line="360" w:lineRule="auto"/>
        <w:ind w:firstLine="480" w:firstLineChars="200"/>
        <w:rPr>
          <w:rFonts w:ascii="宋体" w:hAnsi="宋体" w:cs="宋体"/>
          <w:sz w:val="24"/>
        </w:rPr>
      </w:pPr>
      <w:r>
        <w:rPr>
          <w:rFonts w:hint="eastAsia" w:ascii="宋体" w:hAnsi="宋体" w:cs="宋体"/>
          <w:sz w:val="24"/>
        </w:rPr>
        <w:t>信息系统上线前需完成新系统上线安全检测，并出具检测报告；并配合网络信息中心按照相关法律和文件要求对信息系统进行定级备案。</w:t>
      </w:r>
    </w:p>
    <w:p>
      <w:pPr>
        <w:spacing w:line="360" w:lineRule="auto"/>
        <w:ind w:firstLine="480" w:firstLineChars="200"/>
        <w:rPr>
          <w:rFonts w:ascii="宋体" w:hAnsi="宋体" w:cs="宋体"/>
          <w:sz w:val="24"/>
        </w:rPr>
      </w:pPr>
      <w:r>
        <w:rPr>
          <w:rFonts w:hint="eastAsia" w:ascii="宋体" w:hAnsi="宋体" w:cs="宋体"/>
          <w:sz w:val="24"/>
        </w:rPr>
        <w:t xml:space="preserve">   7.业务系统文档要求</w:t>
      </w:r>
    </w:p>
    <w:p>
      <w:pPr>
        <w:spacing w:line="360" w:lineRule="auto"/>
        <w:ind w:firstLine="480" w:firstLineChars="200"/>
        <w:rPr>
          <w:rFonts w:ascii="宋体" w:hAnsi="宋体" w:cs="宋体"/>
          <w:sz w:val="24"/>
        </w:rPr>
      </w:pPr>
      <w:r>
        <w:rPr>
          <w:rFonts w:hint="eastAsia" w:ascii="宋体" w:hAnsi="宋体" w:cs="宋体"/>
          <w:sz w:val="24"/>
        </w:rPr>
        <w:t>提供系统相关文档，包含但不限于需求说明书、系统详细设计报告、数据库设计说明书、用户手册、系统管理员手册、简明实用手册、系统验收报告、系统试运行报告、系统部署方案、系统应急预案等文档。</w:t>
      </w:r>
    </w:p>
    <w:p>
      <w:pPr>
        <w:spacing w:line="360" w:lineRule="auto"/>
        <w:ind w:firstLine="480" w:firstLineChars="200"/>
        <w:rPr>
          <w:rFonts w:ascii="宋体" w:hAnsi="宋体" w:cs="宋体"/>
          <w:sz w:val="24"/>
        </w:rPr>
      </w:pPr>
      <w:r>
        <w:rPr>
          <w:rFonts w:hint="eastAsia" w:ascii="宋体" w:hAnsi="宋体" w:cs="宋体"/>
          <w:sz w:val="24"/>
        </w:rPr>
        <w:t xml:space="preserve">   8.其它要求</w:t>
      </w:r>
    </w:p>
    <w:p>
      <w:pPr>
        <w:spacing w:line="360" w:lineRule="auto"/>
        <w:ind w:firstLine="480" w:firstLineChars="200"/>
        <w:rPr>
          <w:rFonts w:ascii="宋体" w:hAnsi="宋体" w:cs="宋体"/>
          <w:sz w:val="24"/>
        </w:rPr>
      </w:pPr>
      <w:r>
        <w:rPr>
          <w:rFonts w:hint="eastAsia" w:ascii="宋体" w:hAnsi="宋体" w:cs="宋体"/>
          <w:sz w:val="24"/>
        </w:rPr>
        <w:t>质保期内按照校方实际需要能及时免费修改身份认证对接和数据共享要求。</w:t>
      </w:r>
    </w:p>
    <w:p>
      <w:pPr>
        <w:spacing w:line="360" w:lineRule="auto"/>
        <w:ind w:firstLine="480" w:firstLineChars="200"/>
        <w:rPr>
          <w:rFonts w:ascii="宋体" w:hAnsi="宋体" w:cs="宋体"/>
          <w:sz w:val="24"/>
        </w:rPr>
      </w:pPr>
    </w:p>
    <w:p>
      <w:pPr>
        <w:pStyle w:val="2"/>
      </w:pPr>
    </w:p>
    <w:p>
      <w:pPr>
        <w:pStyle w:val="2"/>
      </w:pPr>
    </w:p>
    <w:p>
      <w:pPr>
        <w:pStyle w:val="2"/>
      </w:pPr>
      <w:r>
        <w:br w:type="page"/>
      </w:r>
    </w:p>
    <w:p>
      <w:pPr>
        <w:widowControl/>
        <w:jc w:val="left"/>
        <w:rPr>
          <w:rFonts w:hAnsi="宋体"/>
          <w:b/>
          <w:sz w:val="36"/>
          <w:szCs w:val="36"/>
        </w:rPr>
      </w:pP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3"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ind w:firstLine="862"/>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r>
        <w:rPr>
          <w:rFonts w:ascii="宋体" w:hAnsi="宋体"/>
          <w:sz w:val="28"/>
          <w:szCs w:val="28"/>
        </w:rPr>
        <w:t xml:space="preserve"> </w:t>
      </w:r>
    </w:p>
    <w:p>
      <w:pPr>
        <w:spacing w:line="360" w:lineRule="auto"/>
        <w:rPr>
          <w:rFonts w:ascii="宋体"/>
          <w:sz w:val="28"/>
          <w:szCs w:val="28"/>
          <w:u w:val="single"/>
        </w:rPr>
      </w:pPr>
      <w:r>
        <w:rPr>
          <w:rFonts w:hint="eastAsia" w:ascii="宋体" w:hAnsi="宋体"/>
          <w:sz w:val="28"/>
          <w:szCs w:val="28"/>
        </w:rPr>
        <w:t>招标编号及分包号</w:t>
      </w:r>
      <w:r>
        <w:rPr>
          <w:rFonts w:ascii="宋体" w:hAnsi="宋体"/>
          <w:sz w:val="28"/>
          <w:szCs w:val="28"/>
        </w:rPr>
        <w:t xml:space="preserve"> </w:t>
      </w:r>
    </w:p>
    <w:p>
      <w:pPr>
        <w:spacing w:line="360" w:lineRule="auto"/>
        <w:rPr>
          <w:rFonts w:ascii="宋体" w:hAnsi="宋体"/>
          <w:sz w:val="28"/>
          <w:szCs w:val="28"/>
        </w:rPr>
      </w:pPr>
      <w:r>
        <w:rPr>
          <w:rFonts w:hint="eastAsia" w:ascii="宋体" w:hAnsi="宋体"/>
          <w:sz w:val="28"/>
          <w:szCs w:val="28"/>
        </w:rPr>
        <w:t>投标报价</w:t>
      </w:r>
      <w:r>
        <w:rPr>
          <w:rFonts w:ascii="宋体" w:hAnsi="宋体"/>
          <w:sz w:val="28"/>
          <w:szCs w:val="28"/>
        </w:rPr>
        <w:t xml:space="preserve"> </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3266"/>
        <w:gridCol w:w="1508"/>
        <w:gridCol w:w="1702"/>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r>
              <w:rPr>
                <w:rFonts w:hint="eastAsia"/>
              </w:rPr>
              <w:t>序号</w:t>
            </w:r>
          </w:p>
        </w:tc>
        <w:tc>
          <w:tcPr>
            <w:tcW w:w="3266" w:type="dxa"/>
            <w:noWrap/>
            <w:vAlign w:val="center"/>
          </w:tcPr>
          <w:p>
            <w:r>
              <w:rPr>
                <w:rFonts w:hint="eastAsia"/>
              </w:rPr>
              <w:t>模块名称</w:t>
            </w:r>
          </w:p>
        </w:tc>
        <w:tc>
          <w:tcPr>
            <w:tcW w:w="1508" w:type="dxa"/>
            <w:noWrap/>
            <w:vAlign w:val="center"/>
          </w:tcPr>
          <w:p>
            <w:r>
              <w:rPr>
                <w:rFonts w:hint="eastAsia"/>
              </w:rPr>
              <w:t>单价</w:t>
            </w:r>
          </w:p>
        </w:tc>
        <w:tc>
          <w:tcPr>
            <w:tcW w:w="1702" w:type="dxa"/>
            <w:noWrap/>
            <w:vAlign w:val="center"/>
          </w:tcPr>
          <w:p>
            <w:r>
              <w:t xml:space="preserve">  </w:t>
            </w:r>
            <w:r>
              <w:rPr>
                <w:rFonts w:hint="eastAsia"/>
              </w:rPr>
              <w:t>数量</w:t>
            </w:r>
          </w:p>
        </w:tc>
        <w:tc>
          <w:tcPr>
            <w:tcW w:w="1608" w:type="dxa"/>
            <w:noWrap/>
            <w:vAlign w:val="center"/>
          </w:tcPr>
          <w:p>
            <w:r>
              <w:rPr>
                <w:rFonts w:hint="eastAsia"/>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1</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2</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3</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4</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5</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6</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44" w:type="dxa"/>
            <w:noWrap/>
            <w:vAlign w:val="center"/>
          </w:tcPr>
          <w:p>
            <w:pPr>
              <w:ind w:left="480"/>
            </w:pPr>
            <w:r>
              <w:rPr>
                <w:rFonts w:hint="eastAsia"/>
              </w:rPr>
              <w:t>7</w:t>
            </w:r>
          </w:p>
        </w:tc>
        <w:tc>
          <w:tcPr>
            <w:tcW w:w="3266" w:type="dxa"/>
            <w:noWrap/>
            <w:vAlign w:val="center"/>
          </w:tcPr>
          <w:p/>
        </w:tc>
        <w:tc>
          <w:tcPr>
            <w:tcW w:w="1508" w:type="dxa"/>
            <w:noWrap/>
            <w:vAlign w:val="center"/>
          </w:tcPr>
          <w:p/>
        </w:tc>
        <w:tc>
          <w:tcPr>
            <w:tcW w:w="1702" w:type="dxa"/>
            <w:noWrap/>
            <w:vAlign w:val="center"/>
          </w:tcPr>
          <w:p/>
        </w:tc>
        <w:tc>
          <w:tcPr>
            <w:tcW w:w="1608" w:type="dxa"/>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28" w:type="dxa"/>
            <w:gridSpan w:val="5"/>
            <w:noWrap/>
            <w:vAlign w:val="center"/>
          </w:tcPr>
          <w:p>
            <w:r>
              <w:rPr>
                <w:rFonts w:hint="eastAsia" w:ascii="宋体" w:hAnsi="宋体"/>
                <w:sz w:val="28"/>
                <w:szCs w:val="28"/>
              </w:rPr>
              <w:t>合计总价     大写：                 小写：</w:t>
            </w:r>
          </w:p>
        </w:tc>
      </w:tr>
    </w:tbl>
    <w:p>
      <w:pPr>
        <w:spacing w:line="360" w:lineRule="auto"/>
        <w:rPr>
          <w:rFonts w:ascii="宋体"/>
          <w:sz w:val="28"/>
          <w:szCs w:val="28"/>
        </w:rPr>
      </w:pPr>
      <w:r>
        <w:rPr>
          <w:rFonts w:hint="eastAsia" w:ascii="宋体" w:hAnsi="宋体"/>
          <w:sz w:val="28"/>
          <w:szCs w:val="28"/>
        </w:rPr>
        <w:t>（可续页）</w:t>
      </w:r>
    </w:p>
    <w:p>
      <w:pPr>
        <w:spacing w:line="360" w:lineRule="auto"/>
        <w:rPr>
          <w:rFonts w:ascii="宋体"/>
          <w:sz w:val="28"/>
          <w:szCs w:val="28"/>
        </w:rPr>
      </w:pPr>
    </w:p>
    <w:p>
      <w:pPr>
        <w:spacing w:line="360" w:lineRule="auto"/>
        <w:rPr>
          <w:rFonts w:ascii="宋体"/>
          <w:sz w:val="28"/>
          <w:szCs w:val="28"/>
          <w:u w:val="single"/>
        </w:rPr>
      </w:pPr>
      <w:r>
        <w:rPr>
          <w:rFonts w:ascii="宋体" w:hAnsi="宋体"/>
          <w:sz w:val="28"/>
          <w:szCs w:val="28"/>
        </w:rPr>
        <w:t xml:space="preserve">                                      </w:t>
      </w:r>
      <w:r>
        <w:rPr>
          <w:rFonts w:hint="eastAsia" w:ascii="宋体" w:hAnsi="宋体"/>
          <w:sz w:val="28"/>
          <w:szCs w:val="28"/>
        </w:rPr>
        <w:t>单位盖章：</w:t>
      </w:r>
    </w:p>
    <w:p>
      <w:pPr>
        <w:spacing w:line="360" w:lineRule="auto"/>
        <w:rPr>
          <w:rFonts w:ascii="宋体"/>
          <w:sz w:val="28"/>
          <w:szCs w:val="28"/>
          <w:u w:val="single"/>
        </w:rPr>
      </w:pPr>
      <w:r>
        <w:rPr>
          <w:rFonts w:ascii="宋体" w:hAnsi="宋体"/>
          <w:sz w:val="28"/>
          <w:szCs w:val="28"/>
        </w:rPr>
        <w:t xml:space="preserve">                                      </w:t>
      </w:r>
      <w:r>
        <w:rPr>
          <w:rFonts w:hint="eastAsia" w:ascii="宋体" w:hAnsi="宋体"/>
          <w:sz w:val="28"/>
          <w:szCs w:val="28"/>
        </w:rPr>
        <w:t>授权代表签字：</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年</w:t>
      </w:r>
      <w:r>
        <w:rPr>
          <w:rFonts w:ascii="宋体" w:hAnsi="宋体"/>
          <w:sz w:val="28"/>
          <w:szCs w:val="28"/>
        </w:rPr>
        <w:t xml:space="preserve">       </w:t>
      </w:r>
      <w:r>
        <w:rPr>
          <w:rFonts w:hint="eastAsia" w:ascii="宋体" w:hAnsi="宋体"/>
          <w:sz w:val="28"/>
          <w:szCs w:val="28"/>
        </w:rPr>
        <w:t>月</w:t>
      </w:r>
      <w:r>
        <w:rPr>
          <w:rFonts w:ascii="宋体" w:hAnsi="宋体"/>
          <w:sz w:val="28"/>
          <w:szCs w:val="28"/>
        </w:rPr>
        <w:t xml:space="preserve">      </w:t>
      </w:r>
    </w:p>
    <w:p>
      <w:pPr>
        <w:widowControl/>
        <w:jc w:val="left"/>
        <w:rPr>
          <w:b/>
          <w:sz w:val="28"/>
          <w:szCs w:val="28"/>
        </w:rPr>
      </w:pPr>
      <w:r>
        <w:rPr>
          <w:b/>
          <w:sz w:val="28"/>
          <w:szCs w:val="28"/>
        </w:rPr>
        <w:br w:type="page"/>
      </w:r>
    </w:p>
    <w:bookmarkEnd w:id="9"/>
    <w:bookmarkEnd w:id="13"/>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adjustRightInd w:val="0"/>
        <w:snapToGrid w:val="0"/>
        <w:spacing w:line="360" w:lineRule="auto"/>
        <w:ind w:firstLine="482" w:firstLineChars="200"/>
        <w:rPr>
          <w:rFonts w:ascii="宋体" w:hAnsi="宋体"/>
          <w:b/>
          <w:bCs/>
          <w:sz w:val="24"/>
        </w:rPr>
      </w:pPr>
      <w:r>
        <w:rPr>
          <w:rFonts w:hint="eastAsia" w:ascii="宋体" w:hAnsi="宋体"/>
          <w:b/>
          <w:bCs/>
          <w:sz w:val="24"/>
        </w:rPr>
        <w:t>1</w:t>
      </w:r>
      <w:r>
        <w:rPr>
          <w:rFonts w:ascii="宋体" w:hAnsi="宋体"/>
          <w:b/>
          <w:bCs/>
          <w:sz w:val="24"/>
        </w:rPr>
        <w:t>.交货期及交货地点</w:t>
      </w:r>
    </w:p>
    <w:p>
      <w:pPr>
        <w:adjustRightInd w:val="0"/>
        <w:snapToGrid w:val="0"/>
        <w:spacing w:line="360" w:lineRule="auto"/>
        <w:ind w:firstLine="480" w:firstLineChars="200"/>
        <w:rPr>
          <w:rFonts w:ascii="宋体" w:hAnsi="宋体"/>
          <w:sz w:val="24"/>
        </w:rPr>
      </w:pPr>
      <w:r>
        <w:rPr>
          <w:rFonts w:hint="eastAsia" w:ascii="宋体" w:hAnsi="宋体"/>
          <w:sz w:val="24"/>
        </w:rPr>
        <w:t>1.1</w:t>
      </w:r>
      <w:r>
        <w:rPr>
          <w:rFonts w:ascii="宋体" w:hAnsi="宋体"/>
          <w:sz w:val="24"/>
        </w:rPr>
        <w:t>交货期：自合同签订之日起30</w:t>
      </w:r>
      <w:r>
        <w:rPr>
          <w:rFonts w:hint="eastAsia" w:ascii="宋体" w:hAnsi="宋体"/>
          <w:sz w:val="24"/>
          <w:lang w:val="en-US" w:eastAsia="zh-CN"/>
        </w:rPr>
        <w:t>天</w:t>
      </w:r>
      <w:r>
        <w:rPr>
          <w:rFonts w:ascii="宋体" w:hAnsi="宋体"/>
          <w:sz w:val="24"/>
        </w:rPr>
        <w:t>内完成项目。</w:t>
      </w:r>
    </w:p>
    <w:p>
      <w:pPr>
        <w:adjustRightInd w:val="0"/>
        <w:snapToGrid w:val="0"/>
        <w:spacing w:line="360" w:lineRule="auto"/>
        <w:ind w:firstLine="480" w:firstLineChars="200"/>
        <w:rPr>
          <w:rFonts w:ascii="宋体" w:hAnsi="宋体"/>
          <w:sz w:val="24"/>
        </w:rPr>
      </w:pPr>
      <w:r>
        <w:rPr>
          <w:rFonts w:hint="eastAsia" w:ascii="宋体" w:hAnsi="宋体"/>
          <w:sz w:val="24"/>
        </w:rPr>
        <w:t>1.</w:t>
      </w:r>
      <w:r>
        <w:rPr>
          <w:rFonts w:ascii="宋体" w:hAnsi="宋体"/>
          <w:sz w:val="24"/>
        </w:rPr>
        <w:t>2交货地点：采购人指定地点。</w:t>
      </w:r>
    </w:p>
    <w:p>
      <w:pPr>
        <w:adjustRightInd w:val="0"/>
        <w:snapToGrid w:val="0"/>
        <w:spacing w:line="360" w:lineRule="auto"/>
        <w:ind w:firstLine="482" w:firstLineChars="200"/>
        <w:rPr>
          <w:rFonts w:ascii="宋体" w:hAnsi="宋体"/>
          <w:b/>
          <w:bCs/>
          <w:sz w:val="24"/>
        </w:rPr>
      </w:pPr>
      <w:r>
        <w:rPr>
          <w:rFonts w:hint="eastAsia" w:ascii="宋体" w:hAnsi="宋体"/>
          <w:b/>
          <w:bCs/>
          <w:sz w:val="24"/>
        </w:rPr>
        <w:t>2</w:t>
      </w:r>
      <w:r>
        <w:rPr>
          <w:rFonts w:ascii="宋体" w:hAnsi="宋体"/>
          <w:b/>
          <w:bCs/>
          <w:sz w:val="24"/>
        </w:rPr>
        <w:t>.质保期要求</w:t>
      </w:r>
      <w:bookmarkStart w:id="16" w:name="_GoBack"/>
      <w:bookmarkEnd w:id="16"/>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1要求提供</w:t>
      </w:r>
      <w:r>
        <w:rPr>
          <w:rFonts w:hint="eastAsia" w:ascii="宋体" w:hAnsi="宋体"/>
          <w:sz w:val="24"/>
        </w:rPr>
        <w:t>五</w:t>
      </w:r>
      <w:r>
        <w:rPr>
          <w:rFonts w:ascii="宋体" w:hAnsi="宋体"/>
          <w:sz w:val="24"/>
        </w:rPr>
        <w:t>年免费原厂运维服务（含版本升级），自正式验收合格之日开始计算。</w:t>
      </w:r>
    </w:p>
    <w:p>
      <w:pPr>
        <w:adjustRightInd w:val="0"/>
        <w:snapToGrid w:val="0"/>
        <w:spacing w:line="360" w:lineRule="auto"/>
        <w:ind w:firstLine="480" w:firstLineChars="200"/>
        <w:rPr>
          <w:rFonts w:ascii="宋体" w:hAnsi="宋体"/>
          <w:sz w:val="24"/>
        </w:rPr>
      </w:pPr>
      <w:r>
        <w:rPr>
          <w:rFonts w:hint="eastAsia" w:ascii="宋体" w:hAnsi="宋体"/>
          <w:sz w:val="24"/>
        </w:rPr>
        <w:t>2.</w:t>
      </w:r>
      <w:r>
        <w:rPr>
          <w:rFonts w:ascii="宋体" w:hAnsi="宋体"/>
          <w:sz w:val="24"/>
        </w:rPr>
        <w:t>2要求提供7×12小时售后服务和技术支持。在保修期内提供免费质保服务；超出保修期后，也应参照合同规定的价格继续提供用户服务。</w:t>
      </w:r>
    </w:p>
    <w:p>
      <w:pPr>
        <w:adjustRightInd w:val="0"/>
        <w:snapToGrid w:val="0"/>
        <w:spacing w:line="360" w:lineRule="auto"/>
        <w:ind w:firstLine="480" w:firstLineChars="200"/>
        <w:rPr>
          <w:rFonts w:ascii="宋体" w:hAnsi="宋体"/>
          <w:sz w:val="24"/>
        </w:rPr>
      </w:pPr>
      <w:r>
        <w:rPr>
          <w:rFonts w:hint="eastAsia" w:ascii="宋体" w:hAnsi="宋体"/>
          <w:sz w:val="24"/>
        </w:rPr>
        <w:t>2.3</w:t>
      </w:r>
      <w:r>
        <w:rPr>
          <w:rFonts w:ascii="宋体" w:hAnsi="宋体"/>
          <w:sz w:val="24"/>
        </w:rPr>
        <w:t>免费服务期满后，双方共同协商签订有偿技术支持服务协议，费用不得高于项目总额的8%。</w:t>
      </w:r>
    </w:p>
    <w:p>
      <w:pPr>
        <w:adjustRightInd w:val="0"/>
        <w:snapToGrid w:val="0"/>
        <w:spacing w:line="360" w:lineRule="auto"/>
        <w:ind w:firstLine="482" w:firstLineChars="200"/>
        <w:rPr>
          <w:rFonts w:ascii="宋体" w:hAnsi="宋体"/>
          <w:b/>
          <w:bCs/>
          <w:sz w:val="24"/>
        </w:rPr>
      </w:pPr>
      <w:r>
        <w:rPr>
          <w:rFonts w:hint="eastAsia" w:ascii="宋体" w:hAnsi="宋体"/>
          <w:b/>
          <w:bCs/>
          <w:sz w:val="24"/>
        </w:rPr>
        <w:t>3.</w:t>
      </w:r>
      <w:r>
        <w:rPr>
          <w:rFonts w:ascii="宋体" w:hAnsi="宋体"/>
          <w:b/>
          <w:bCs/>
          <w:sz w:val="24"/>
        </w:rPr>
        <w:t>验收</w:t>
      </w:r>
    </w:p>
    <w:p>
      <w:pPr>
        <w:adjustRightInd w:val="0"/>
        <w:snapToGrid w:val="0"/>
        <w:spacing w:line="360" w:lineRule="auto"/>
        <w:ind w:firstLine="480" w:firstLineChars="200"/>
        <w:rPr>
          <w:rFonts w:ascii="宋体" w:hAnsi="宋体"/>
          <w:sz w:val="24"/>
        </w:rPr>
      </w:pPr>
      <w:r>
        <w:rPr>
          <w:rFonts w:hint="eastAsia" w:ascii="宋体" w:hAnsi="宋体"/>
          <w:sz w:val="24"/>
        </w:rPr>
        <w:t>对照供货清单逐一验收，安装调试结束，能正常使用。</w:t>
      </w:r>
    </w:p>
    <w:p>
      <w:pPr>
        <w:pStyle w:val="9"/>
        <w:ind w:left="0" w:leftChars="0" w:right="1470"/>
        <w:rPr>
          <w:rFonts w:ascii="宋体" w:hAnsi="宋体" w:cs="仿宋"/>
          <w:b/>
          <w:bCs/>
          <w:sz w:val="28"/>
          <w:szCs w:val="28"/>
          <w:highlight w:val="yellow"/>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adjustRightInd w:val="0"/>
        <w:snapToGrid w:val="0"/>
        <w:spacing w:line="360" w:lineRule="auto"/>
        <w:rPr>
          <w:rFonts w:ascii="宋体" w:hAnsi="宋体" w:cs="仿宋"/>
          <w:b/>
          <w:bCs/>
          <w:sz w:val="28"/>
          <w:szCs w:val="28"/>
        </w:rPr>
      </w:pPr>
    </w:p>
    <w:p>
      <w:pPr>
        <w:widowControl/>
        <w:jc w:val="left"/>
        <w:rPr>
          <w:rFonts w:ascii="宋体" w:hAnsi="宋体" w:cs="仿宋"/>
          <w:b/>
          <w:bCs/>
          <w:sz w:val="28"/>
          <w:szCs w:val="28"/>
        </w:rPr>
      </w:pPr>
      <w:r>
        <w:rPr>
          <w:rFonts w:ascii="宋体" w:hAnsi="宋体" w:cs="仿宋"/>
          <w:b/>
          <w:bCs/>
          <w:sz w:val="28"/>
          <w:szCs w:val="28"/>
        </w:rPr>
        <w:br w:type="page"/>
      </w:r>
    </w:p>
    <w:p>
      <w:pPr>
        <w:adjustRightInd w:val="0"/>
        <w:snapToGrid w:val="0"/>
        <w:spacing w:line="360" w:lineRule="auto"/>
        <w:rPr>
          <w:rFonts w:ascii="宋体" w:hAnsi="宋体"/>
          <w:sz w:val="24"/>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adjustRightInd w:val="0"/>
        <w:snapToGrid w:val="0"/>
        <w:spacing w:line="360" w:lineRule="auto"/>
        <w:rPr>
          <w:rFonts w:ascii="宋体" w:hAnsi="宋体" w:cs="仿宋"/>
          <w:b/>
          <w:bCs/>
          <w:sz w:val="24"/>
        </w:rPr>
      </w:pPr>
      <w:r>
        <w:rPr>
          <w:rFonts w:hint="eastAsia" w:ascii="宋体" w:hAnsi="宋体" w:cs="仿宋"/>
          <w:b/>
          <w:bCs/>
          <w:sz w:val="24"/>
        </w:rPr>
        <w:t>一、评标方法与定标原则</w:t>
      </w:r>
    </w:p>
    <w:p>
      <w:pPr>
        <w:adjustRightInd w:val="0"/>
        <w:snapToGrid w:val="0"/>
        <w:spacing w:line="360" w:lineRule="auto"/>
        <w:ind w:firstLine="480" w:firstLineChars="200"/>
        <w:rPr>
          <w:rFonts w:ascii="宋体" w:hAnsi="宋体" w:cs="仿宋"/>
          <w:sz w:val="24"/>
        </w:rPr>
      </w:pPr>
      <w:r>
        <w:rPr>
          <w:rFonts w:hint="eastAsia" w:ascii="宋体" w:hAnsi="宋体"/>
          <w:bCs/>
          <w:snapToGrid w:val="0"/>
          <w:kern w:val="0"/>
          <w:sz w:val="24"/>
          <w:szCs w:val="21"/>
        </w:rPr>
        <w:t>评委会将对确定为实质性响应招标文件要求的投标文件进行评价和比较，评标采用</w:t>
      </w:r>
      <w:r>
        <w:rPr>
          <w:rFonts w:hint="eastAsia" w:ascii="宋体" w:hAnsi="宋体"/>
          <w:b/>
          <w:bCs/>
          <w:snapToGrid w:val="0"/>
          <w:kern w:val="0"/>
          <w:sz w:val="24"/>
          <w:szCs w:val="21"/>
        </w:rPr>
        <w:t>综合评分法</w:t>
      </w:r>
      <w:r>
        <w:rPr>
          <w:rFonts w:hint="eastAsia" w:ascii="宋体" w:hAnsi="宋体"/>
          <w:bCs/>
          <w:snapToGrid w:val="0"/>
          <w:kern w:val="0"/>
          <w:sz w:val="24"/>
          <w:szCs w:val="21"/>
        </w:rPr>
        <w:t>确定中标候选人。按评审后得分由高到低顺序排列。得分相同的，按投标报价由低到高顺序排列</w:t>
      </w:r>
      <w:r>
        <w:rPr>
          <w:rFonts w:hint="eastAsia" w:ascii="宋体" w:hAnsi="宋体" w:cs="仿宋"/>
          <w:sz w:val="24"/>
        </w:rPr>
        <w:t>。得分且投标报价相同的，按技术指标优劣顺序排列。</w:t>
      </w:r>
    </w:p>
    <w:p>
      <w:pPr>
        <w:adjustRightInd w:val="0"/>
        <w:snapToGrid w:val="0"/>
        <w:spacing w:line="360" w:lineRule="auto"/>
        <w:rPr>
          <w:rFonts w:ascii="宋体" w:hAnsi="宋体" w:cs="仿宋"/>
          <w:b/>
          <w:bCs/>
          <w:sz w:val="24"/>
        </w:rPr>
      </w:pPr>
      <w:r>
        <w:rPr>
          <w:rFonts w:hint="eastAsia" w:ascii="宋体" w:hAnsi="宋体" w:cs="仿宋"/>
          <w:b/>
          <w:bCs/>
          <w:sz w:val="24"/>
        </w:rPr>
        <w:t>二、评标标准</w:t>
      </w:r>
    </w:p>
    <w:p>
      <w:pPr>
        <w:adjustRightInd w:val="0"/>
        <w:snapToGrid w:val="0"/>
        <w:spacing w:line="360" w:lineRule="auto"/>
        <w:ind w:firstLine="480" w:firstLineChars="200"/>
        <w:rPr>
          <w:rFonts w:ascii="宋体" w:hAnsi="宋体"/>
          <w:snapToGrid w:val="0"/>
          <w:kern w:val="0"/>
          <w:sz w:val="24"/>
          <w:szCs w:val="21"/>
        </w:rPr>
      </w:pPr>
      <w:r>
        <w:rPr>
          <w:rFonts w:hint="eastAsia" w:ascii="宋体" w:hAnsi="宋体"/>
          <w:snapToGrid w:val="0"/>
          <w:kern w:val="0"/>
          <w:sz w:val="24"/>
          <w:szCs w:val="21"/>
        </w:rPr>
        <w:t>本项目评分总分值为100分。</w:t>
      </w:r>
    </w:p>
    <w:tbl>
      <w:tblPr>
        <w:tblStyle w:val="18"/>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4"/>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709" w:type="dxa"/>
            <w:vAlign w:val="center"/>
          </w:tcPr>
          <w:p>
            <w:pPr>
              <w:autoSpaceDE w:val="0"/>
              <w:autoSpaceDN w:val="0"/>
              <w:adjustRightInd w:val="0"/>
              <w:snapToGrid w:val="0"/>
              <w:jc w:val="center"/>
              <w:rPr>
                <w:rFonts w:ascii="宋体" w:hAnsi="宋体" w:cs="宋体"/>
                <w:b/>
                <w:color w:val="000000" w:themeColor="text1"/>
                <w:szCs w:val="21"/>
              </w:rPr>
            </w:pPr>
            <w:bookmarkStart w:id="14" w:name="_Toc8398272"/>
            <w:bookmarkStart w:id="15" w:name="_Toc8398099"/>
            <w:r>
              <w:rPr>
                <w:rFonts w:hint="eastAsia" w:ascii="宋体" w:hAnsi="宋体" w:cs="宋体"/>
                <w:b/>
                <w:color w:val="000000" w:themeColor="text1"/>
                <w:szCs w:val="21"/>
              </w:rPr>
              <w:t>序号</w:t>
            </w:r>
          </w:p>
        </w:tc>
        <w:tc>
          <w:tcPr>
            <w:tcW w:w="1554" w:type="dxa"/>
            <w:vAlign w:val="center"/>
          </w:tcPr>
          <w:p>
            <w:pPr>
              <w:adjustRightInd w:val="0"/>
              <w:snapToGrid w:val="0"/>
              <w:ind w:hanging="13"/>
              <w:jc w:val="center"/>
              <w:rPr>
                <w:rFonts w:ascii="宋体" w:hAnsi="宋体" w:cs="宋体"/>
                <w:b/>
                <w:color w:val="000000" w:themeColor="text1"/>
                <w:szCs w:val="21"/>
              </w:rPr>
            </w:pPr>
            <w:r>
              <w:rPr>
                <w:rFonts w:hint="eastAsia" w:ascii="宋体" w:hAnsi="宋体" w:cs="宋体"/>
                <w:b/>
                <w:color w:val="000000" w:themeColor="text1"/>
                <w:szCs w:val="21"/>
              </w:rPr>
              <w:t>评分因素</w:t>
            </w:r>
          </w:p>
        </w:tc>
        <w:tc>
          <w:tcPr>
            <w:tcW w:w="8222" w:type="dxa"/>
            <w:vAlign w:val="center"/>
          </w:tcPr>
          <w:p>
            <w:pPr>
              <w:adjustRightInd w:val="0"/>
              <w:snapToGrid w:val="0"/>
              <w:jc w:val="center"/>
              <w:rPr>
                <w:rFonts w:ascii="宋体" w:hAnsi="宋体"/>
                <w:color w:val="000000" w:themeColor="text1"/>
                <w:szCs w:val="21"/>
              </w:rPr>
            </w:pPr>
            <w:r>
              <w:rPr>
                <w:rFonts w:hint="eastAsia" w:ascii="宋体" w:hAnsi="宋体" w:cs="宋体"/>
                <w:b/>
                <w:color w:val="000000" w:themeColor="text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一</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价格部分</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（30分）</w:t>
            </w:r>
          </w:p>
        </w:tc>
        <w:tc>
          <w:tcPr>
            <w:tcW w:w="8222" w:type="dxa"/>
            <w:vAlign w:val="center"/>
          </w:tcPr>
          <w:p>
            <w:pPr>
              <w:adjustRightInd w:val="0"/>
              <w:snapToGrid w:val="0"/>
              <w:rPr>
                <w:rFonts w:ascii="宋体" w:hAnsi="宋体"/>
                <w:color w:val="000000" w:themeColor="text1"/>
                <w:szCs w:val="21"/>
              </w:rPr>
            </w:pPr>
            <w:r>
              <w:rPr>
                <w:rFonts w:hint="eastAsia" w:ascii="宋体" w:hAnsi="宋体" w:cs="宋体"/>
                <w:kern w:val="0"/>
                <w:szCs w:val="21"/>
              </w:rPr>
              <w:t>价格分采用低价优先法计算，即满足招标文件要求且报价最低的供应商报价为评标基准价，其价格分为满分</w:t>
            </w:r>
            <w:r>
              <w:rPr>
                <w:rFonts w:hint="eastAsia" w:ascii="宋体" w:hAnsi="宋体"/>
                <w:szCs w:val="21"/>
              </w:rPr>
              <w:t>30</w:t>
            </w:r>
            <w:r>
              <w:rPr>
                <w:rFonts w:hint="eastAsia" w:ascii="宋体" w:hAnsi="宋体" w:cs="宋体"/>
                <w:kern w:val="0"/>
                <w:szCs w:val="21"/>
              </w:rPr>
              <w:t>分，其它投标人的价格分统一按照以下公式计算：投标报价得分=（评标基准价/该投标人的投标报价）×</w:t>
            </w:r>
            <w:r>
              <w:rPr>
                <w:rFonts w:hint="eastAsia" w:ascii="宋体" w:hAnsi="宋体"/>
                <w:szCs w:val="21"/>
              </w:rPr>
              <w:t>30</w:t>
            </w:r>
            <w:r>
              <w:rPr>
                <w:rFonts w:hint="eastAsia" w:ascii="宋体" w:hAnsi="宋体" w:cs="宋体"/>
                <w:kern w:val="0"/>
                <w:szCs w:val="21"/>
              </w:rPr>
              <w:t>分。分值保留小数点后1位。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9"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二</w:t>
            </w:r>
          </w:p>
        </w:tc>
        <w:tc>
          <w:tcPr>
            <w:tcW w:w="1554" w:type="dxa"/>
            <w:vAlign w:val="center"/>
          </w:tcPr>
          <w:p>
            <w:pPr>
              <w:autoSpaceDE w:val="0"/>
              <w:autoSpaceDN w:val="0"/>
              <w:adjustRightInd w:val="0"/>
              <w:snapToGrid w:val="0"/>
              <w:jc w:val="center"/>
              <w:rPr>
                <w:rFonts w:ascii="宋体" w:hAnsi="宋体" w:cs="宋体"/>
                <w:szCs w:val="21"/>
              </w:rPr>
            </w:pPr>
            <w:r>
              <w:rPr>
                <w:rFonts w:hint="eastAsia" w:ascii="宋体" w:hAnsi="宋体" w:cs="宋体"/>
                <w:szCs w:val="21"/>
              </w:rPr>
              <w:t>技术部分（2</w:t>
            </w:r>
            <w:r>
              <w:rPr>
                <w:rFonts w:ascii="宋体" w:hAnsi="宋体" w:cs="宋体"/>
                <w:szCs w:val="21"/>
              </w:rPr>
              <w:t>5</w:t>
            </w:r>
            <w:r>
              <w:rPr>
                <w:rFonts w:hint="eastAsia" w:ascii="宋体" w:hAnsi="宋体" w:cs="宋体"/>
                <w:szCs w:val="21"/>
              </w:rPr>
              <w:t>分）</w:t>
            </w:r>
          </w:p>
        </w:tc>
        <w:tc>
          <w:tcPr>
            <w:tcW w:w="8222" w:type="dxa"/>
            <w:vAlign w:val="center"/>
          </w:tcPr>
          <w:p>
            <w:pPr>
              <w:adjustRightInd w:val="0"/>
              <w:snapToGrid w:val="0"/>
            </w:pPr>
            <w:r>
              <w:rPr>
                <w:rFonts w:hint="eastAsia"/>
              </w:rPr>
              <w:t>1.根据本次项目总体要求系统基于我校就业指导中心智慧就业系统进行升级改造，满足需求的得8分，不符合得0分</w:t>
            </w:r>
            <w:r>
              <w:rPr>
                <w:rFonts w:hint="eastAsia"/>
                <w:color w:val="auto"/>
              </w:rPr>
              <w:t>（提供相关承诺书）；</w:t>
            </w:r>
            <w:r>
              <w:rPr>
                <w:color w:val="auto"/>
              </w:rPr>
              <w:t>2.</w:t>
            </w:r>
            <w:r>
              <w:rPr>
                <w:rFonts w:hint="eastAsia"/>
                <w:color w:val="auto"/>
              </w:rPr>
              <w:t>项目技术方案与本项目技术路线的一致性</w:t>
            </w:r>
            <w:r>
              <w:rPr>
                <w:color w:val="auto"/>
              </w:rPr>
              <w:t>，</w:t>
            </w:r>
            <w:r>
              <w:rPr>
                <w:rFonts w:hint="eastAsia"/>
                <w:color w:val="auto"/>
              </w:rPr>
              <w:t>投标方采用的技术方案符合招标文件要求（要</w:t>
            </w:r>
            <w:r>
              <w:rPr>
                <w:rFonts w:hint="eastAsia"/>
              </w:rPr>
              <w:t>求基于B/S系统架构），符合得2分，不符合的</w:t>
            </w:r>
            <w:r>
              <w:t>0</w:t>
            </w:r>
            <w:r>
              <w:rPr>
                <w:rFonts w:hint="eastAsia"/>
              </w:rPr>
              <w:t>分；3.投标</w:t>
            </w:r>
            <w:r>
              <w:rPr>
                <w:rFonts w:hint="eastAsia"/>
                <w:highlight w:val="none"/>
              </w:rPr>
              <w:t>方的软件开发基于PHP语言，满足得5分，不符合得0分；</w:t>
            </w:r>
            <w:r>
              <w:rPr>
                <w:rFonts w:hint="eastAsia"/>
                <w:strike/>
                <w:highlight w:val="none"/>
              </w:rPr>
              <w:t>4.</w:t>
            </w:r>
            <w:r>
              <w:rPr>
                <w:rFonts w:hint="eastAsia"/>
                <w:highlight w:val="none"/>
              </w:rPr>
              <w:t>技术方案内容完整，符合招标文件技术文件要求，完</w:t>
            </w:r>
            <w:r>
              <w:rPr>
                <w:rFonts w:hint="eastAsia"/>
              </w:rPr>
              <w:t>全满足得8-10分，基本满足得5-7分，不满足得0-4分。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四</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企业综合实力及安全要求</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（17分）</w:t>
            </w:r>
          </w:p>
        </w:tc>
        <w:tc>
          <w:tcPr>
            <w:tcW w:w="8222" w:type="dxa"/>
            <w:vAlign w:val="center"/>
          </w:tcPr>
          <w:p>
            <w:pPr>
              <w:adjustRightInd w:val="0"/>
              <w:snapToGrid w:val="0"/>
              <w:rPr>
                <w:rFonts w:ascii="宋体" w:hAnsi="宋体"/>
                <w:szCs w:val="21"/>
              </w:rPr>
            </w:pPr>
            <w:r>
              <w:rPr>
                <w:rFonts w:hint="eastAsia" w:ascii="宋体" w:hAnsi="宋体"/>
                <w:szCs w:val="21"/>
              </w:rPr>
              <w:t>1.投标人须具有AAA级重合同守信用证书得2分，不提供者不得分；2.投标人具有安全等保证书二级得2分，不提供者不得分；3.投标人具有高新技术企业证书得2分，不提供者不得分；4.投标人具有ISO9001、ISO14001、ISO18001企业资质证书，提供1个证书得1分；5.项目团队成员具备PMP证书的，得1分；拟投入本项目团队核心成员不低于5人，本科及以上学历不低于80%，满足条件得1分，否则不得分，共2分；6.投标方提供软件著作权证书每一份1分，共2分；7.系统生产厂商具有相关系统软件著作权登记证书每一份1分，共2分；（以上证书均需提供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五</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业绩</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（8分）</w:t>
            </w:r>
          </w:p>
        </w:tc>
        <w:tc>
          <w:tcPr>
            <w:tcW w:w="8222" w:type="dxa"/>
            <w:vAlign w:val="center"/>
          </w:tcPr>
          <w:p>
            <w:pPr>
              <w:adjustRightInd w:val="0"/>
              <w:snapToGrid w:val="0"/>
              <w:rPr>
                <w:rFonts w:ascii="宋体" w:hAnsi="宋体"/>
                <w:szCs w:val="21"/>
              </w:rPr>
            </w:pPr>
            <w:r>
              <w:rPr>
                <w:rFonts w:hint="eastAsia" w:ascii="宋体" w:hAnsi="宋体"/>
                <w:szCs w:val="21"/>
              </w:rPr>
              <w:t>投标人提供近3年内，类似本项目就业系统升级服务开发合同类似案例，</w:t>
            </w:r>
            <w:r>
              <w:rPr>
                <w:rFonts w:hint="eastAsia" w:ascii="宋体" w:hAnsi="宋体"/>
                <w:szCs w:val="21"/>
                <w:highlight w:val="none"/>
              </w:rPr>
              <w:t>要求提供合同复印件、验收证明（提供复印件并加盖公章，两者缺一不可），每提供1个得2</w:t>
            </w:r>
            <w:r>
              <w:rPr>
                <w:rFonts w:hint="eastAsia" w:ascii="宋体" w:hAnsi="宋体"/>
                <w:szCs w:val="21"/>
              </w:rPr>
              <w:t>分，最多8分。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六</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服务</w:t>
            </w:r>
          </w:p>
          <w:p>
            <w:pPr>
              <w:autoSpaceDE w:val="0"/>
              <w:autoSpaceDN w:val="0"/>
              <w:adjustRightInd w:val="0"/>
              <w:snapToGrid w:val="0"/>
              <w:jc w:val="center"/>
              <w:rPr>
                <w:rFonts w:ascii="宋体" w:hAnsi="宋体" w:cs="宋体"/>
                <w:b/>
                <w:color w:val="000000" w:themeColor="text1"/>
                <w:szCs w:val="21"/>
              </w:rPr>
            </w:pPr>
            <w:r>
              <w:rPr>
                <w:rFonts w:hint="eastAsia" w:ascii="宋体" w:hAnsi="宋体" w:cs="宋体"/>
                <w:color w:val="000000" w:themeColor="text1"/>
                <w:szCs w:val="21"/>
              </w:rPr>
              <w:t>（6分）</w:t>
            </w:r>
          </w:p>
        </w:tc>
        <w:tc>
          <w:tcPr>
            <w:tcW w:w="8222" w:type="dxa"/>
            <w:vAlign w:val="center"/>
          </w:tcPr>
          <w:p>
            <w:pPr>
              <w:adjustRightInd w:val="0"/>
              <w:snapToGrid w:val="0"/>
              <w:rPr>
                <w:rFonts w:ascii="宋体" w:hAnsi="宋体"/>
                <w:szCs w:val="21"/>
              </w:rPr>
            </w:pPr>
            <w:r>
              <w:rPr>
                <w:rFonts w:hint="eastAsia" w:ascii="宋体" w:hAnsi="宋体"/>
                <w:szCs w:val="21"/>
              </w:rPr>
              <w:t>1.根据售后服务方案响应程度，从项目管理与质量控制措施、售后服务内容和范围、售后服务的请求方式和响应方式等方面进行评分，评委根据响应情况在0-4分之间进行打分。</w:t>
            </w:r>
            <w:r>
              <w:rPr>
                <w:rFonts w:hint="eastAsia" w:ascii="宋体" w:hAnsi="宋体" w:cs="宋体"/>
                <w:kern w:val="0"/>
                <w:szCs w:val="21"/>
              </w:rPr>
              <w:t>2.能够承诺提供1人驻场开发及维护的得1分，增加1人加1分，最多得2分。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3"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七</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演示</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（10分）</w:t>
            </w:r>
          </w:p>
        </w:tc>
        <w:tc>
          <w:tcPr>
            <w:tcW w:w="8222" w:type="dxa"/>
            <w:vAlign w:val="center"/>
          </w:tcPr>
          <w:p>
            <w:pPr>
              <w:adjustRightInd w:val="0"/>
              <w:snapToGrid w:val="0"/>
              <w:rPr>
                <w:rFonts w:ascii="宋体" w:hAnsi="宋体"/>
                <w:color w:val="000000" w:themeColor="text1"/>
                <w:szCs w:val="21"/>
              </w:rPr>
            </w:pPr>
            <w:r>
              <w:rPr>
                <w:rFonts w:hint="eastAsia" w:ascii="宋体" w:hAnsi="宋体"/>
                <w:szCs w:val="21"/>
              </w:rPr>
              <w:t>投标单位需要提供演示视频</w:t>
            </w:r>
            <w:r>
              <w:rPr>
                <w:rFonts w:hint="eastAsia" w:ascii="宋体" w:hAnsi="宋体"/>
                <w:b/>
                <w:szCs w:val="21"/>
              </w:rPr>
              <w:t>（U盘寄送，未寄送演示视频视为无效投标）</w:t>
            </w:r>
            <w:r>
              <w:rPr>
                <w:rFonts w:hint="eastAsia" w:ascii="宋体" w:hAnsi="宋体"/>
                <w:szCs w:val="21"/>
              </w:rPr>
              <w:t>，总时长不超过5分钟。评委根据各平台演示情况进行综合评定。（演示满足本项目需求，针对性强的8-10分；基本满足本项目需求，针对性较强的5-7分；不能本项目需求，针对性一般的得 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八</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保密协议与承诺</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（2分）</w:t>
            </w:r>
          </w:p>
        </w:tc>
        <w:tc>
          <w:tcPr>
            <w:tcW w:w="8222" w:type="dxa"/>
            <w:vAlign w:val="center"/>
          </w:tcPr>
          <w:p>
            <w:pPr>
              <w:adjustRightInd w:val="0"/>
              <w:snapToGrid w:val="0"/>
              <w:rPr>
                <w:rFonts w:ascii="宋体" w:hAnsi="宋体"/>
                <w:b/>
                <w:bCs/>
                <w:color w:val="000000" w:themeColor="text1"/>
                <w:szCs w:val="21"/>
              </w:rPr>
            </w:pPr>
            <w:r>
              <w:rPr>
                <w:rFonts w:hint="eastAsia" w:ascii="宋体" w:hAnsi="宋体" w:cs="宋体"/>
                <w:color w:val="000000" w:themeColor="text1"/>
                <w:szCs w:val="21"/>
              </w:rPr>
              <w:t>投标厂商必须提供承建本系统的保密协议，保密内容为系统所有数据、账号密码及一切可能涉及使用本系统的单位和个人信息。保密协议要求提供原件，加盖投标方公章。有保密协议且符合要求，得2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709"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九</w:t>
            </w:r>
          </w:p>
        </w:tc>
        <w:tc>
          <w:tcPr>
            <w:tcW w:w="1554" w:type="dxa"/>
            <w:vAlign w:val="center"/>
          </w:tcPr>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标书制作</w:t>
            </w:r>
          </w:p>
          <w:p>
            <w:pPr>
              <w:autoSpaceDE w:val="0"/>
              <w:autoSpaceDN w:val="0"/>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（2分）</w:t>
            </w:r>
          </w:p>
        </w:tc>
        <w:tc>
          <w:tcPr>
            <w:tcW w:w="8222" w:type="dxa"/>
            <w:vAlign w:val="center"/>
          </w:tcPr>
          <w:p>
            <w:pPr>
              <w:adjustRightInd w:val="0"/>
              <w:snapToGrid w:val="0"/>
              <w:rPr>
                <w:rFonts w:ascii="宋体" w:hAnsi="宋体" w:cs="宋体"/>
                <w:color w:val="000000" w:themeColor="text1"/>
                <w:szCs w:val="21"/>
              </w:rPr>
            </w:pPr>
            <w:r>
              <w:rPr>
                <w:rFonts w:hint="eastAsia" w:ascii="宋体" w:hAnsi="宋体" w:cs="宋体"/>
                <w:szCs w:val="21"/>
              </w:rPr>
              <w:t>文件内容完备，格式规范，封装整齐，满足招标文件要求得2分。未经胶封（如文件夹或订书机等）此项不得分。</w:t>
            </w:r>
          </w:p>
        </w:tc>
      </w:tr>
      <w:bookmarkEnd w:id="14"/>
      <w:bookmarkEnd w:id="15"/>
    </w:tbl>
    <w:p>
      <w:pPr>
        <w:spacing w:line="360" w:lineRule="auto"/>
        <w:rPr>
          <w:b/>
          <w:sz w:val="28"/>
          <w:szCs w:val="28"/>
        </w:rPr>
      </w:pPr>
    </w:p>
    <w:p>
      <w:pPr>
        <w:pStyle w:val="2"/>
        <w:rPr>
          <w:b/>
          <w:sz w:val="28"/>
          <w:szCs w:val="28"/>
        </w:rPr>
      </w:pPr>
      <w:r>
        <w:br w:type="page"/>
      </w:r>
      <w:r>
        <w:rPr>
          <w:rFonts w:hint="eastAsia"/>
          <w:b/>
          <w:sz w:val="28"/>
          <w:szCs w:val="28"/>
        </w:rPr>
        <w:t>附件</w:t>
      </w:r>
      <w:r>
        <w:rPr>
          <w:b/>
          <w:sz w:val="28"/>
          <w:szCs w:val="28"/>
        </w:rPr>
        <w:t>6</w:t>
      </w:r>
      <w:r>
        <w:rPr>
          <w:rFonts w:hint="eastAsia"/>
          <w:b/>
          <w:sz w:val="28"/>
          <w:szCs w:val="28"/>
        </w:rPr>
        <w:t>：</w:t>
      </w:r>
    </w:p>
    <w:p>
      <w:pPr>
        <w:adjustRightInd w:val="0"/>
        <w:snapToGrid w:val="0"/>
        <w:spacing w:beforeLines="50" w:afterLines="50" w:line="360" w:lineRule="auto"/>
        <w:jc w:val="center"/>
        <w:outlineLvl w:val="0"/>
        <w:rPr>
          <w:rFonts w:ascii="黑体" w:hAnsi="黑体" w:eastAsia="黑体"/>
          <w:b/>
          <w:bCs/>
          <w:sz w:val="34"/>
        </w:rPr>
      </w:pPr>
      <w:r>
        <w:rPr>
          <w:rFonts w:hint="eastAsia" w:ascii="黑体" w:hAnsi="黑体" w:eastAsia="黑体"/>
          <w:b/>
          <w:sz w:val="34"/>
        </w:rPr>
        <w:t>采购合同</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项目名称：</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项目编号：</w:t>
      </w:r>
    </w:p>
    <w:p>
      <w:pPr>
        <w:pStyle w:val="11"/>
        <w:adjustRightInd w:val="0"/>
        <w:snapToGrid w:val="0"/>
        <w:spacing w:before="120" w:after="120" w:line="360" w:lineRule="auto"/>
        <w:ind w:firstLine="658"/>
        <w:rPr>
          <w:rFonts w:hAnsi="宋体"/>
          <w:sz w:val="24"/>
          <w:szCs w:val="24"/>
          <w:u w:val="single"/>
        </w:rPr>
      </w:pPr>
      <w:r>
        <w:rPr>
          <w:rFonts w:hint="eastAsia" w:hAnsi="宋体"/>
          <w:sz w:val="24"/>
          <w:szCs w:val="24"/>
        </w:rPr>
        <w:t>甲方：（买方）</w:t>
      </w:r>
      <w:r>
        <w:rPr>
          <w:rFonts w:hAnsi="宋体"/>
          <w:sz w:val="24"/>
          <w:szCs w:val="24"/>
        </w:rPr>
        <w:t>__________________</w:t>
      </w:r>
    </w:p>
    <w:p>
      <w:pPr>
        <w:pStyle w:val="11"/>
        <w:adjustRightInd w:val="0"/>
        <w:snapToGrid w:val="0"/>
        <w:spacing w:before="120" w:after="120" w:line="360" w:lineRule="auto"/>
        <w:ind w:firstLine="658"/>
        <w:rPr>
          <w:rFonts w:hAnsi="宋体"/>
          <w:sz w:val="24"/>
          <w:szCs w:val="24"/>
        </w:rPr>
      </w:pPr>
      <w:r>
        <w:rPr>
          <w:rFonts w:hint="eastAsia" w:hAnsi="宋体"/>
          <w:sz w:val="24"/>
          <w:szCs w:val="24"/>
        </w:rPr>
        <w:t>乙方：（卖方）</w:t>
      </w:r>
      <w:r>
        <w:rPr>
          <w:rFonts w:hAnsi="宋体"/>
          <w:sz w:val="24"/>
          <w:szCs w:val="24"/>
        </w:rPr>
        <w:t>__________________</w:t>
      </w:r>
    </w:p>
    <w:p>
      <w:pPr>
        <w:pStyle w:val="11"/>
        <w:adjustRightInd w:val="0"/>
        <w:snapToGrid w:val="0"/>
        <w:spacing w:before="120" w:after="120" w:line="360" w:lineRule="auto"/>
        <w:ind w:firstLine="658"/>
        <w:rPr>
          <w:rFonts w:hAnsi="宋体"/>
          <w:b/>
          <w:sz w:val="24"/>
          <w:szCs w:val="24"/>
        </w:rPr>
      </w:pPr>
      <w:r>
        <w:rPr>
          <w:rFonts w:hint="eastAsia" w:hAnsi="宋体"/>
          <w:sz w:val="24"/>
          <w:szCs w:val="24"/>
        </w:rPr>
        <w:t>甲、乙双方根据甲方项目采购谈判的结果，签署本合同。</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一、货物内容</w:t>
      </w:r>
    </w:p>
    <w:tbl>
      <w:tblPr>
        <w:tblStyle w:val="18"/>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rPr>
            </w:pPr>
            <w:r>
              <w:rPr>
                <w:rFonts w:hint="eastAsia" w:ascii="宋体" w:hAnsi="宋体"/>
                <w:b/>
                <w:sz w:val="24"/>
              </w:rPr>
              <w:t>分包号</w:t>
            </w:r>
          </w:p>
        </w:tc>
        <w:tc>
          <w:tcPr>
            <w:tcW w:w="1165" w:type="dxa"/>
            <w:vAlign w:val="center"/>
          </w:tcPr>
          <w:p>
            <w:pPr>
              <w:spacing w:line="360" w:lineRule="auto"/>
              <w:jc w:val="center"/>
              <w:rPr>
                <w:rFonts w:ascii="宋体"/>
                <w:b/>
                <w:sz w:val="24"/>
              </w:rPr>
            </w:pPr>
            <w:r>
              <w:rPr>
                <w:rFonts w:hint="eastAsia" w:ascii="宋体" w:hAnsi="宋体"/>
                <w:b/>
                <w:sz w:val="24"/>
              </w:rPr>
              <w:t>货物</w:t>
            </w:r>
          </w:p>
          <w:p>
            <w:pPr>
              <w:spacing w:line="360" w:lineRule="auto"/>
              <w:jc w:val="center"/>
              <w:rPr>
                <w:rFonts w:ascii="宋体"/>
                <w:b/>
                <w:sz w:val="24"/>
              </w:rPr>
            </w:pPr>
            <w:r>
              <w:rPr>
                <w:rFonts w:hint="eastAsia" w:ascii="宋体" w:hAnsi="宋体"/>
                <w:b/>
                <w:sz w:val="24"/>
              </w:rPr>
              <w:t>名称</w:t>
            </w:r>
          </w:p>
        </w:tc>
        <w:tc>
          <w:tcPr>
            <w:tcW w:w="1115" w:type="dxa"/>
            <w:vAlign w:val="center"/>
          </w:tcPr>
          <w:p>
            <w:pPr>
              <w:spacing w:line="360" w:lineRule="auto"/>
              <w:jc w:val="center"/>
              <w:rPr>
                <w:rFonts w:ascii="宋体"/>
                <w:b/>
                <w:sz w:val="24"/>
              </w:rPr>
            </w:pPr>
            <w:r>
              <w:rPr>
                <w:rFonts w:hint="eastAsia" w:ascii="宋体" w:hAnsi="宋体"/>
                <w:b/>
                <w:sz w:val="24"/>
              </w:rPr>
              <w:t>型号</w:t>
            </w:r>
            <w:r>
              <w:rPr>
                <w:rFonts w:ascii="宋体" w:hAnsi="宋体"/>
                <w:b/>
                <w:sz w:val="24"/>
              </w:rPr>
              <w:t>/</w:t>
            </w:r>
          </w:p>
          <w:p>
            <w:pPr>
              <w:spacing w:line="360" w:lineRule="auto"/>
              <w:jc w:val="center"/>
              <w:rPr>
                <w:rFonts w:ascii="宋体"/>
                <w:b/>
                <w:sz w:val="24"/>
              </w:rPr>
            </w:pPr>
            <w:r>
              <w:rPr>
                <w:rFonts w:hint="eastAsia" w:ascii="宋体" w:hAnsi="宋体"/>
                <w:b/>
                <w:sz w:val="24"/>
              </w:rPr>
              <w:t>规格</w:t>
            </w:r>
          </w:p>
        </w:tc>
        <w:tc>
          <w:tcPr>
            <w:tcW w:w="1160" w:type="dxa"/>
            <w:vAlign w:val="center"/>
          </w:tcPr>
          <w:p>
            <w:pPr>
              <w:spacing w:line="360" w:lineRule="auto"/>
              <w:jc w:val="center"/>
              <w:rPr>
                <w:rFonts w:ascii="宋体"/>
                <w:b/>
                <w:sz w:val="24"/>
              </w:rPr>
            </w:pPr>
            <w:r>
              <w:rPr>
                <w:rFonts w:hint="eastAsia" w:ascii="宋体" w:hAnsi="宋体"/>
                <w:b/>
                <w:sz w:val="24"/>
              </w:rPr>
              <w:t>品牌</w:t>
            </w:r>
            <w:r>
              <w:rPr>
                <w:rFonts w:ascii="宋体" w:hAnsi="宋体"/>
                <w:b/>
                <w:sz w:val="24"/>
              </w:rPr>
              <w:t>/</w:t>
            </w:r>
            <w:r>
              <w:rPr>
                <w:rFonts w:hint="eastAsia" w:ascii="宋体" w:hAnsi="宋体"/>
                <w:b/>
                <w:sz w:val="24"/>
              </w:rPr>
              <w:t>生产厂家</w:t>
            </w:r>
            <w:r>
              <w:rPr>
                <w:rFonts w:ascii="宋体" w:hAnsi="宋体"/>
                <w:b/>
                <w:sz w:val="24"/>
              </w:rPr>
              <w:t>/</w:t>
            </w:r>
            <w:r>
              <w:rPr>
                <w:rFonts w:hint="eastAsia" w:ascii="宋体" w:hAnsi="宋体"/>
                <w:b/>
                <w:sz w:val="24"/>
              </w:rPr>
              <w:t>国别</w:t>
            </w:r>
          </w:p>
        </w:tc>
        <w:tc>
          <w:tcPr>
            <w:tcW w:w="1160" w:type="dxa"/>
            <w:vAlign w:val="center"/>
          </w:tcPr>
          <w:p>
            <w:pPr>
              <w:spacing w:line="360" w:lineRule="auto"/>
              <w:jc w:val="center"/>
              <w:rPr>
                <w:rFonts w:ascii="宋体"/>
                <w:b/>
                <w:sz w:val="24"/>
              </w:rPr>
            </w:pPr>
            <w:r>
              <w:rPr>
                <w:rFonts w:hint="eastAsia" w:ascii="宋体" w:hAnsi="宋体"/>
                <w:b/>
                <w:sz w:val="24"/>
              </w:rPr>
              <w:t>计量</w:t>
            </w:r>
          </w:p>
          <w:p>
            <w:pPr>
              <w:spacing w:line="360" w:lineRule="auto"/>
              <w:jc w:val="center"/>
              <w:rPr>
                <w:rFonts w:ascii="宋体"/>
                <w:b/>
                <w:sz w:val="24"/>
              </w:rPr>
            </w:pPr>
            <w:r>
              <w:rPr>
                <w:rFonts w:hint="eastAsia" w:ascii="宋体" w:hAnsi="宋体"/>
                <w:b/>
                <w:sz w:val="24"/>
              </w:rPr>
              <w:t>单位</w:t>
            </w:r>
          </w:p>
        </w:tc>
        <w:tc>
          <w:tcPr>
            <w:tcW w:w="1160" w:type="dxa"/>
            <w:vAlign w:val="center"/>
          </w:tcPr>
          <w:p>
            <w:pPr>
              <w:spacing w:line="360" w:lineRule="auto"/>
              <w:jc w:val="center"/>
              <w:rPr>
                <w:rFonts w:ascii="宋体"/>
                <w:b/>
                <w:sz w:val="24"/>
              </w:rPr>
            </w:pPr>
            <w:r>
              <w:rPr>
                <w:rFonts w:hint="eastAsia" w:ascii="宋体" w:hAnsi="宋体"/>
                <w:b/>
                <w:sz w:val="24"/>
              </w:rPr>
              <w:t>数量</w:t>
            </w:r>
          </w:p>
        </w:tc>
        <w:tc>
          <w:tcPr>
            <w:tcW w:w="1160" w:type="dxa"/>
            <w:vAlign w:val="center"/>
          </w:tcPr>
          <w:p>
            <w:pPr>
              <w:spacing w:line="360" w:lineRule="auto"/>
              <w:jc w:val="center"/>
              <w:rPr>
                <w:rFonts w:ascii="宋体"/>
                <w:b/>
                <w:sz w:val="24"/>
              </w:rPr>
            </w:pPr>
            <w:r>
              <w:rPr>
                <w:rFonts w:hint="eastAsia" w:ascii="宋体" w:hAnsi="宋体"/>
                <w:b/>
                <w:sz w:val="24"/>
              </w:rPr>
              <w:t>单价</w:t>
            </w:r>
          </w:p>
        </w:tc>
        <w:tc>
          <w:tcPr>
            <w:tcW w:w="1162" w:type="dxa"/>
            <w:vAlign w:val="center"/>
          </w:tcPr>
          <w:p>
            <w:pPr>
              <w:spacing w:line="360" w:lineRule="auto"/>
              <w:jc w:val="center"/>
              <w:rPr>
                <w:rFonts w:ascii="宋体"/>
                <w:b/>
                <w:sz w:val="24"/>
              </w:rPr>
            </w:pPr>
            <w:r>
              <w:rPr>
                <w:rFonts w:hint="eastAsia" w:ascii="宋体" w:hAnsi="宋体"/>
                <w:b/>
                <w:sz w:val="24"/>
              </w:rPr>
              <w:t>每项</w:t>
            </w:r>
          </w:p>
          <w:p>
            <w:pPr>
              <w:spacing w:line="360" w:lineRule="auto"/>
              <w:jc w:val="center"/>
              <w:rPr>
                <w:rFonts w:ascii="宋体"/>
                <w:b/>
                <w:sz w:val="24"/>
              </w:rPr>
            </w:pPr>
            <w:r>
              <w:rPr>
                <w:rFonts w:hint="eastAsia" w:ascii="宋体" w:hAnsi="宋体"/>
                <w:b/>
                <w:sz w:val="24"/>
              </w:rPr>
              <w:t>总价</w:t>
            </w:r>
          </w:p>
        </w:tc>
        <w:tc>
          <w:tcPr>
            <w:tcW w:w="1171" w:type="dxa"/>
            <w:vAlign w:val="center"/>
          </w:tcPr>
          <w:p>
            <w:pPr>
              <w:spacing w:line="360" w:lineRule="auto"/>
              <w:jc w:val="center"/>
              <w:rPr>
                <w:rFonts w:ascii="宋体"/>
                <w:b/>
                <w:sz w:val="24"/>
              </w:rPr>
            </w:pPr>
            <w:r>
              <w:rPr>
                <w:rFonts w:hint="eastAsia" w:ascii="宋体" w:hAnsi="宋体"/>
                <w:b/>
                <w:sz w:val="24"/>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rPr>
            </w:pPr>
          </w:p>
        </w:tc>
        <w:tc>
          <w:tcPr>
            <w:tcW w:w="1165" w:type="dxa"/>
            <w:vAlign w:val="center"/>
          </w:tcPr>
          <w:p>
            <w:pPr>
              <w:spacing w:line="360" w:lineRule="auto"/>
              <w:jc w:val="center"/>
              <w:rPr>
                <w:rFonts w:ascii="宋体"/>
                <w:sz w:val="24"/>
              </w:rPr>
            </w:pPr>
          </w:p>
        </w:tc>
        <w:tc>
          <w:tcPr>
            <w:tcW w:w="1115" w:type="dxa"/>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0" w:type="dxa"/>
            <w:vAlign w:val="center"/>
          </w:tcPr>
          <w:p>
            <w:pPr>
              <w:spacing w:line="360" w:lineRule="auto"/>
              <w:jc w:val="center"/>
              <w:rPr>
                <w:rFonts w:ascii="宋体"/>
                <w:sz w:val="24"/>
              </w:rPr>
            </w:pPr>
          </w:p>
        </w:tc>
        <w:tc>
          <w:tcPr>
            <w:tcW w:w="1162" w:type="dxa"/>
            <w:vAlign w:val="center"/>
          </w:tcPr>
          <w:p>
            <w:pPr>
              <w:spacing w:line="360" w:lineRule="auto"/>
              <w:jc w:val="center"/>
              <w:rPr>
                <w:rFonts w:ascii="宋体"/>
                <w:sz w:val="24"/>
              </w:rPr>
            </w:pPr>
          </w:p>
        </w:tc>
        <w:tc>
          <w:tcPr>
            <w:tcW w:w="1171" w:type="dxa"/>
          </w:tcPr>
          <w:p>
            <w:pPr>
              <w:spacing w:line="360" w:lineRule="auto"/>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rPr>
            </w:pPr>
            <w:r>
              <w:rPr>
                <w:rFonts w:hint="eastAsia" w:ascii="宋体" w:hAnsi="宋体"/>
                <w:sz w:val="24"/>
              </w:rPr>
              <w:t>合计总价</w:t>
            </w:r>
          </w:p>
        </w:tc>
        <w:tc>
          <w:tcPr>
            <w:tcW w:w="8088" w:type="dxa"/>
            <w:gridSpan w:val="7"/>
            <w:vAlign w:val="center"/>
          </w:tcPr>
          <w:p>
            <w:pPr>
              <w:spacing w:line="360" w:lineRule="auto"/>
              <w:rPr>
                <w:rFonts w:ascii="宋体"/>
                <w:sz w:val="24"/>
                <w:u w:val="single"/>
              </w:rPr>
            </w:pPr>
            <w:r>
              <w:rPr>
                <w:rFonts w:hint="eastAsia" w:ascii="宋体" w:hAnsi="宋体"/>
                <w:sz w:val="24"/>
              </w:rPr>
              <w:t>大写：      小写：      元</w:t>
            </w:r>
          </w:p>
        </w:tc>
      </w:tr>
    </w:tbl>
    <w:p>
      <w:pPr>
        <w:pStyle w:val="11"/>
        <w:adjustRightInd w:val="0"/>
        <w:snapToGrid w:val="0"/>
        <w:spacing w:before="120" w:after="120" w:line="360" w:lineRule="auto"/>
        <w:ind w:firstLine="660"/>
        <w:rPr>
          <w:rFonts w:hAnsi="宋体"/>
          <w:b/>
          <w:sz w:val="24"/>
          <w:szCs w:val="24"/>
        </w:rPr>
      </w:pPr>
      <w:r>
        <w:rPr>
          <w:rFonts w:hint="eastAsia" w:hAnsi="宋体"/>
          <w:b/>
          <w:sz w:val="24"/>
          <w:szCs w:val="24"/>
        </w:rPr>
        <w:t>二、合同金额</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2.1 </w:t>
      </w:r>
      <w:r>
        <w:rPr>
          <w:rFonts w:hint="eastAsia" w:hAnsi="宋体"/>
          <w:sz w:val="24"/>
          <w:szCs w:val="24"/>
        </w:rPr>
        <w:t>本合同金额为（大写）：</w:t>
      </w:r>
      <w:r>
        <w:rPr>
          <w:rFonts w:hAnsi="宋体"/>
          <w:sz w:val="24"/>
          <w:szCs w:val="24"/>
        </w:rPr>
        <w:t>________________________</w:t>
      </w:r>
      <w:r>
        <w:rPr>
          <w:rFonts w:hint="eastAsia" w:hAnsi="宋体"/>
          <w:sz w:val="24"/>
          <w:szCs w:val="24"/>
        </w:rPr>
        <w:t>元人民币。</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三、技术资料</w:t>
      </w:r>
    </w:p>
    <w:p>
      <w:pPr>
        <w:pStyle w:val="11"/>
        <w:adjustRightInd w:val="0"/>
        <w:snapToGrid w:val="0"/>
        <w:spacing w:before="120" w:after="120" w:line="360" w:lineRule="auto"/>
        <w:ind w:left="48" w:firstLine="658"/>
        <w:rPr>
          <w:rFonts w:hAnsi="宋体"/>
          <w:sz w:val="24"/>
          <w:szCs w:val="24"/>
        </w:rPr>
      </w:pPr>
      <w:r>
        <w:rPr>
          <w:rFonts w:hAnsi="宋体"/>
          <w:sz w:val="24"/>
          <w:szCs w:val="24"/>
        </w:rPr>
        <w:t>3.1</w:t>
      </w:r>
      <w:r>
        <w:rPr>
          <w:rFonts w:hint="eastAsia" w:hAnsi="宋体"/>
          <w:sz w:val="24"/>
          <w:szCs w:val="24"/>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3.2 </w:t>
      </w:r>
      <w:r>
        <w:rPr>
          <w:rFonts w:hint="eastAsia" w:hAnsi="宋体"/>
          <w:sz w:val="24"/>
          <w:szCs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rPr>
      </w:pPr>
      <w:r>
        <w:rPr>
          <w:rFonts w:hint="eastAsia" w:hAnsi="宋体"/>
          <w:b/>
          <w:sz w:val="24"/>
          <w:szCs w:val="24"/>
        </w:rPr>
        <w:t>四、知识产权</w:t>
      </w:r>
    </w:p>
    <w:p>
      <w:pPr>
        <w:pStyle w:val="11"/>
        <w:adjustRightInd w:val="0"/>
        <w:snapToGrid w:val="0"/>
        <w:spacing w:before="120" w:after="120" w:line="360" w:lineRule="auto"/>
        <w:ind w:left="48" w:firstLine="658"/>
        <w:rPr>
          <w:rFonts w:hAnsi="宋体"/>
          <w:sz w:val="24"/>
          <w:szCs w:val="24"/>
        </w:rPr>
      </w:pPr>
      <w:r>
        <w:rPr>
          <w:rFonts w:hAnsi="宋体"/>
          <w:sz w:val="24"/>
          <w:szCs w:val="24"/>
        </w:rPr>
        <w:t>4.1</w:t>
      </w:r>
      <w:r>
        <w:rPr>
          <w:rFonts w:hint="eastAsia" w:hAnsi="宋体"/>
          <w:sz w:val="24"/>
          <w:szCs w:val="24"/>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u w:val="single"/>
        </w:rPr>
      </w:pPr>
      <w:r>
        <w:rPr>
          <w:rFonts w:hint="eastAsia" w:hAnsi="宋体"/>
          <w:b/>
          <w:sz w:val="24"/>
          <w:szCs w:val="24"/>
        </w:rPr>
        <w:t>五、产权担保</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5.1 </w:t>
      </w:r>
      <w:r>
        <w:rPr>
          <w:rFonts w:hint="eastAsia" w:hAnsi="宋体"/>
          <w:sz w:val="24"/>
          <w:szCs w:val="24"/>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六、履约保证金</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6.1 </w:t>
      </w:r>
      <w:r>
        <w:rPr>
          <w:rFonts w:hint="eastAsia" w:hAnsi="宋体"/>
          <w:sz w:val="24"/>
          <w:szCs w:val="24"/>
        </w:rPr>
        <w:t>乙方交纳人民币</w:t>
      </w:r>
      <w:r>
        <w:rPr>
          <w:rFonts w:hAnsi="宋体"/>
          <w:sz w:val="24"/>
          <w:szCs w:val="24"/>
        </w:rPr>
        <w:t>_____</w:t>
      </w:r>
      <w:r>
        <w:rPr>
          <w:rFonts w:hint="eastAsia" w:hAnsi="宋体"/>
          <w:sz w:val="24"/>
          <w:szCs w:val="24"/>
        </w:rPr>
        <w:t>元作为本合同的履约保证金。</w:t>
      </w:r>
    </w:p>
    <w:p>
      <w:pPr>
        <w:adjustRightInd w:val="0"/>
        <w:snapToGrid w:val="0"/>
        <w:spacing w:beforeLines="50" w:afterLines="50" w:line="360" w:lineRule="auto"/>
        <w:ind w:firstLine="480"/>
        <w:rPr>
          <w:rFonts w:ascii="宋体" w:cs="Courier New"/>
          <w:b/>
          <w:sz w:val="24"/>
        </w:rPr>
      </w:pPr>
      <w:r>
        <w:rPr>
          <w:rFonts w:hint="eastAsia" w:ascii="宋体" w:hAnsi="宋体" w:cs="Courier New"/>
          <w:b/>
          <w:sz w:val="24"/>
        </w:rPr>
        <w:t>七</w:t>
      </w:r>
      <w:r>
        <w:rPr>
          <w:rFonts w:ascii="宋体" w:cs="Courier New"/>
          <w:b/>
          <w:sz w:val="24"/>
        </w:rPr>
        <w:t>.</w:t>
      </w:r>
      <w:r>
        <w:rPr>
          <w:rFonts w:hint="eastAsia" w:ascii="宋体" w:hAnsi="宋体" w:cs="Courier New"/>
          <w:b/>
          <w:sz w:val="24"/>
        </w:rPr>
        <w:t>转包或分包</w:t>
      </w:r>
    </w:p>
    <w:p>
      <w:pPr>
        <w:pStyle w:val="11"/>
        <w:adjustRightInd w:val="0"/>
        <w:snapToGrid w:val="0"/>
        <w:spacing w:before="120" w:after="120" w:line="360" w:lineRule="auto"/>
        <w:ind w:left="48" w:firstLine="658"/>
        <w:rPr>
          <w:rFonts w:hAnsi="宋体"/>
          <w:sz w:val="24"/>
          <w:szCs w:val="24"/>
        </w:rPr>
      </w:pPr>
      <w:r>
        <w:rPr>
          <w:rFonts w:hAnsi="宋体"/>
          <w:sz w:val="24"/>
          <w:szCs w:val="24"/>
        </w:rPr>
        <w:t>7.1</w:t>
      </w:r>
      <w:r>
        <w:rPr>
          <w:rFonts w:hint="eastAsia" w:hAnsi="宋体"/>
          <w:sz w:val="24"/>
          <w:szCs w:val="24"/>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rPr>
      </w:pPr>
      <w:r>
        <w:rPr>
          <w:rFonts w:hAnsi="宋体"/>
          <w:sz w:val="24"/>
          <w:szCs w:val="24"/>
        </w:rPr>
        <w:t>7.2</w:t>
      </w:r>
      <w:r>
        <w:rPr>
          <w:rFonts w:hint="eastAsia" w:hAnsi="宋体"/>
          <w:sz w:val="24"/>
          <w:szCs w:val="24"/>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rPr>
      </w:pPr>
      <w:r>
        <w:rPr>
          <w:rFonts w:hAnsi="宋体"/>
          <w:sz w:val="24"/>
          <w:szCs w:val="24"/>
        </w:rPr>
        <w:t>7.3</w:t>
      </w:r>
      <w:r>
        <w:rPr>
          <w:rFonts w:hint="eastAsia" w:hAnsi="宋体"/>
          <w:sz w:val="24"/>
          <w:szCs w:val="24"/>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rPr>
      </w:pPr>
      <w:r>
        <w:rPr>
          <w:rFonts w:hint="eastAsia" w:hAnsi="宋体"/>
          <w:b/>
          <w:sz w:val="24"/>
          <w:szCs w:val="24"/>
        </w:rPr>
        <w:t>八、质保期</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8.1 </w:t>
      </w:r>
      <w:r>
        <w:rPr>
          <w:rFonts w:hint="eastAsia" w:hAnsi="宋体"/>
          <w:sz w:val="24"/>
          <w:szCs w:val="24"/>
        </w:rPr>
        <w:t>质保期3年。（自交货验收合格之日起计）</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九、交货期、交货方式及交货地点</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9.1 </w:t>
      </w:r>
      <w:r>
        <w:rPr>
          <w:rFonts w:hint="eastAsia" w:hAnsi="宋体"/>
          <w:sz w:val="24"/>
          <w:szCs w:val="24"/>
        </w:rPr>
        <w:t>交货期：</w:t>
      </w:r>
      <w:r>
        <w:rPr>
          <w:rFonts w:hAnsi="宋体"/>
          <w:sz w:val="24"/>
          <w:szCs w:val="24"/>
        </w:rPr>
        <w:t>_________</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9.2 </w:t>
      </w:r>
      <w:r>
        <w:rPr>
          <w:rFonts w:hint="eastAsia" w:hAnsi="宋体"/>
          <w:sz w:val="24"/>
          <w:szCs w:val="24"/>
        </w:rPr>
        <w:t>交货方式：</w:t>
      </w:r>
      <w:r>
        <w:rPr>
          <w:rFonts w:hAnsi="宋体"/>
          <w:sz w:val="24"/>
          <w:szCs w:val="24"/>
        </w:rPr>
        <w:t>_________</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9.3 </w:t>
      </w:r>
      <w:r>
        <w:rPr>
          <w:rFonts w:hint="eastAsia" w:hAnsi="宋体"/>
          <w:sz w:val="24"/>
          <w:szCs w:val="24"/>
        </w:rPr>
        <w:t>交货地点：用户单位地点或用户指定地点。</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十、货款支付</w:t>
      </w:r>
    </w:p>
    <w:p>
      <w:pPr>
        <w:pStyle w:val="11"/>
        <w:adjustRightInd w:val="0"/>
        <w:snapToGrid w:val="0"/>
        <w:spacing w:before="120" w:after="120" w:line="360" w:lineRule="auto"/>
        <w:ind w:left="48" w:firstLine="658"/>
        <w:rPr>
          <w:rFonts w:hAnsi="宋体"/>
          <w:sz w:val="24"/>
          <w:szCs w:val="24"/>
        </w:rPr>
      </w:pPr>
      <w:r>
        <w:rPr>
          <w:rFonts w:hAnsi="宋体"/>
          <w:sz w:val="24"/>
          <w:szCs w:val="24"/>
        </w:rPr>
        <w:t>10.1</w:t>
      </w:r>
      <w:r>
        <w:rPr>
          <w:rFonts w:hint="eastAsia" w:hAnsi="宋体"/>
          <w:sz w:val="24"/>
          <w:szCs w:val="24"/>
        </w:rPr>
        <w:t>付款方式：针对国内供应货物，签订合同后，20日内预付合同金额的30%，全部货物交货并验收合格后，凭验收凭证和货物验收合格等文件20内支付至合同金额的100%。质量保证金质保期满后，</w:t>
      </w:r>
      <w:r>
        <w:rPr>
          <w:rFonts w:hAnsi="宋体"/>
          <w:sz w:val="24"/>
          <w:szCs w:val="24"/>
        </w:rPr>
        <w:t>经有关单位确认无质量问题后，一次性</w:t>
      </w:r>
      <w:r>
        <w:rPr>
          <w:rFonts w:hint="eastAsia" w:hAnsi="宋体"/>
          <w:sz w:val="24"/>
          <w:szCs w:val="24"/>
        </w:rPr>
        <w:t>无息付清</w:t>
      </w:r>
      <w:r>
        <w:rPr>
          <w:rFonts w:hAnsi="宋体"/>
          <w:sz w:val="24"/>
          <w:szCs w:val="24"/>
        </w:rPr>
        <w:t>。具体内容以最终签署的合同约定为准。</w:t>
      </w:r>
    </w:p>
    <w:p>
      <w:pPr>
        <w:pStyle w:val="11"/>
        <w:adjustRightInd w:val="0"/>
        <w:snapToGrid w:val="0"/>
        <w:spacing w:before="120" w:after="120" w:line="360" w:lineRule="auto"/>
        <w:ind w:left="1" w:firstLine="658"/>
        <w:rPr>
          <w:rFonts w:hAnsi="宋体"/>
          <w:sz w:val="24"/>
          <w:szCs w:val="24"/>
        </w:rPr>
      </w:pPr>
      <w:r>
        <w:rPr>
          <w:rFonts w:hAnsi="宋体"/>
          <w:sz w:val="24"/>
          <w:szCs w:val="24"/>
        </w:rPr>
        <w:t>针对国外供应货物（进口货物），由外贸公司开具全额发票，外贸合同中采用100%信用证，90%见单即付，10%凭最终用户方签字和盖章的验收报告支付。</w:t>
      </w:r>
    </w:p>
    <w:p>
      <w:pPr>
        <w:ind w:firstLine="482" w:firstLineChars="200"/>
        <w:rPr>
          <w:rFonts w:ascii="宋体"/>
          <w:b/>
          <w:sz w:val="24"/>
        </w:rPr>
      </w:pPr>
      <w:r>
        <w:rPr>
          <w:rFonts w:hint="eastAsia" w:ascii="宋体" w:hAnsi="宋体"/>
          <w:b/>
          <w:sz w:val="24"/>
        </w:rPr>
        <w:t>十一、税</w:t>
      </w:r>
    </w:p>
    <w:p>
      <w:pPr>
        <w:pStyle w:val="11"/>
        <w:adjustRightInd w:val="0"/>
        <w:snapToGrid w:val="0"/>
        <w:spacing w:before="120" w:after="120" w:line="360" w:lineRule="auto"/>
        <w:ind w:left="48" w:firstLine="658"/>
        <w:rPr>
          <w:rFonts w:hAnsi="宋体"/>
          <w:sz w:val="24"/>
          <w:szCs w:val="24"/>
        </w:rPr>
      </w:pPr>
      <w:r>
        <w:rPr>
          <w:rFonts w:hAnsi="宋体"/>
          <w:sz w:val="24"/>
          <w:szCs w:val="24"/>
        </w:rPr>
        <w:t>11.1</w:t>
      </w:r>
      <w:r>
        <w:rPr>
          <w:rFonts w:hint="eastAsia" w:hAnsi="宋体"/>
          <w:sz w:val="24"/>
          <w:szCs w:val="24"/>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rPr>
      </w:pPr>
      <w:r>
        <w:rPr>
          <w:rFonts w:hAnsi="宋体"/>
          <w:sz w:val="24"/>
          <w:szCs w:val="24"/>
        </w:rPr>
        <w:t>11.2</w:t>
      </w:r>
      <w:r>
        <w:rPr>
          <w:rFonts w:hint="eastAsia" w:hAnsi="宋体"/>
          <w:sz w:val="24"/>
          <w:szCs w:val="24"/>
        </w:rPr>
        <w:t>本合同执行中相关的一切税费均由乙方负担。</w:t>
      </w:r>
    </w:p>
    <w:p>
      <w:pPr>
        <w:pStyle w:val="11"/>
        <w:adjustRightInd w:val="0"/>
        <w:snapToGrid w:val="0"/>
        <w:spacing w:before="120" w:after="120" w:line="360" w:lineRule="auto"/>
        <w:ind w:left="1" w:firstLine="660"/>
        <w:rPr>
          <w:rFonts w:hAnsi="宋体"/>
          <w:sz w:val="24"/>
          <w:szCs w:val="24"/>
        </w:rPr>
      </w:pPr>
      <w:r>
        <w:rPr>
          <w:rFonts w:hint="eastAsia" w:hAnsi="宋体"/>
          <w:b/>
          <w:sz w:val="24"/>
          <w:szCs w:val="24"/>
        </w:rPr>
        <w:t>十二、质量保证及售后服务</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12.1 </w:t>
      </w:r>
      <w:r>
        <w:rPr>
          <w:rFonts w:hint="eastAsia" w:hAnsi="宋体"/>
          <w:sz w:val="24"/>
          <w:szCs w:val="24"/>
        </w:rPr>
        <w:t>乙方应按采购文件规定的货物性能、技术要求、质量标准向甲方提供未经使用的全新产品。</w:t>
      </w:r>
    </w:p>
    <w:p>
      <w:pPr>
        <w:pStyle w:val="11"/>
        <w:adjustRightInd w:val="0"/>
        <w:snapToGrid w:val="0"/>
        <w:spacing w:before="120" w:after="120" w:line="360" w:lineRule="auto"/>
        <w:ind w:left="48" w:firstLine="658"/>
        <w:rPr>
          <w:rFonts w:hAnsi="宋体"/>
          <w:sz w:val="24"/>
          <w:szCs w:val="24"/>
        </w:rPr>
      </w:pPr>
      <w:r>
        <w:rPr>
          <w:rFonts w:hAnsi="宋体"/>
          <w:sz w:val="24"/>
          <w:szCs w:val="24"/>
        </w:rPr>
        <w:t xml:space="preserve">12.2 </w:t>
      </w:r>
      <w:r>
        <w:rPr>
          <w:rFonts w:hint="eastAsia" w:hAnsi="宋体"/>
          <w:sz w:val="24"/>
          <w:szCs w:val="24"/>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rPr>
      </w:pPr>
      <w:r>
        <w:rPr>
          <w:rFonts w:hint="eastAsia"/>
          <w:sz w:val="24"/>
        </w:rPr>
        <w:t>（</w:t>
      </w:r>
      <w:r>
        <w:rPr>
          <w:sz w:val="24"/>
        </w:rPr>
        <w:t>1</w:t>
      </w:r>
      <w:r>
        <w:rPr>
          <w:rFonts w:hint="eastAsia"/>
          <w:sz w:val="24"/>
        </w:rPr>
        <w:t>）更换：由乙方承担所发生的全部费用。</w:t>
      </w:r>
    </w:p>
    <w:p>
      <w:pPr>
        <w:adjustRightInd w:val="0"/>
        <w:snapToGrid w:val="0"/>
        <w:spacing w:line="360" w:lineRule="auto"/>
        <w:ind w:firstLine="360" w:firstLineChars="150"/>
        <w:rPr>
          <w:sz w:val="24"/>
        </w:rPr>
      </w:pPr>
      <w:r>
        <w:rPr>
          <w:rFonts w:hint="eastAsia"/>
          <w:sz w:val="24"/>
        </w:rPr>
        <w:t>（</w:t>
      </w:r>
      <w:r>
        <w:rPr>
          <w:sz w:val="24"/>
        </w:rPr>
        <w:t>2</w:t>
      </w:r>
      <w:r>
        <w:rPr>
          <w:rFonts w:hint="eastAsia"/>
          <w:sz w:val="24"/>
        </w:rPr>
        <w:t>）贬值处理：由甲乙双方合议定价。</w:t>
      </w:r>
    </w:p>
    <w:p>
      <w:pPr>
        <w:adjustRightInd w:val="0"/>
        <w:snapToGrid w:val="0"/>
        <w:spacing w:line="360" w:lineRule="auto"/>
        <w:ind w:firstLine="360" w:firstLineChars="150"/>
        <w:rPr>
          <w:sz w:val="24"/>
        </w:rPr>
      </w:pPr>
      <w:r>
        <w:rPr>
          <w:rFonts w:hint="eastAsia"/>
          <w:sz w:val="24"/>
        </w:rPr>
        <w:t>（</w:t>
      </w:r>
      <w:r>
        <w:rPr>
          <w:sz w:val="24"/>
        </w:rPr>
        <w:t>3</w:t>
      </w:r>
      <w:r>
        <w:rPr>
          <w:rFonts w:hint="eastAsia"/>
          <w:sz w:val="24"/>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12.3 </w:t>
      </w:r>
      <w:r>
        <w:rPr>
          <w:rFonts w:hint="eastAsia" w:hAnsi="宋体"/>
          <w:sz w:val="24"/>
          <w:szCs w:val="24"/>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12.4 </w:t>
      </w:r>
      <w:r>
        <w:rPr>
          <w:rFonts w:hint="eastAsia" w:hAnsi="宋体"/>
          <w:sz w:val="24"/>
          <w:szCs w:val="24"/>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rPr>
      </w:pPr>
      <w:r>
        <w:rPr>
          <w:rFonts w:hAnsi="宋体"/>
          <w:sz w:val="24"/>
          <w:szCs w:val="24"/>
        </w:rPr>
        <w:t>12.5</w:t>
      </w:r>
      <w:r>
        <w:rPr>
          <w:rFonts w:hint="eastAsia" w:hAnsi="宋体"/>
          <w:sz w:val="24"/>
          <w:szCs w:val="24"/>
        </w:rPr>
        <w:t>上述的货物免费保修期为</w:t>
      </w:r>
      <w:r>
        <w:rPr>
          <w:rFonts w:hint="eastAsia" w:hAnsi="宋体"/>
          <w:sz w:val="24"/>
          <w:szCs w:val="24"/>
          <w:u w:val="single"/>
        </w:rPr>
        <w:t xml:space="preserve">   </w:t>
      </w:r>
      <w:r>
        <w:rPr>
          <w:rFonts w:hint="eastAsia" w:hAnsi="宋体"/>
          <w:sz w:val="24"/>
          <w:szCs w:val="24"/>
        </w:rPr>
        <w:t>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十三、调试和验收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13.1 </w:t>
      </w:r>
      <w:r>
        <w:rPr>
          <w:rFonts w:hint="eastAsia" w:hAnsi="宋体"/>
          <w:sz w:val="24"/>
          <w:szCs w:val="24"/>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13.2 </w:t>
      </w:r>
      <w:r>
        <w:rPr>
          <w:rFonts w:hint="eastAsia" w:hAnsi="宋体"/>
          <w:sz w:val="24"/>
          <w:szCs w:val="24"/>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13.3 </w:t>
      </w:r>
      <w:r>
        <w:rPr>
          <w:rFonts w:hint="eastAsia" w:hAnsi="宋体"/>
          <w:sz w:val="24"/>
          <w:szCs w:val="24"/>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13.4 </w:t>
      </w:r>
      <w:r>
        <w:rPr>
          <w:rFonts w:hint="eastAsia" w:hAnsi="宋体"/>
          <w:sz w:val="24"/>
          <w:szCs w:val="24"/>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13.5 </w:t>
      </w:r>
      <w:r>
        <w:rPr>
          <w:rFonts w:hint="eastAsia" w:hAnsi="宋体"/>
          <w:sz w:val="24"/>
          <w:szCs w:val="24"/>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十四、货物包装、发运及运输</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14.1 </w:t>
      </w:r>
      <w:r>
        <w:rPr>
          <w:rFonts w:hint="eastAsia" w:hAnsi="宋体"/>
          <w:sz w:val="24"/>
          <w:szCs w:val="24"/>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14.2 </w:t>
      </w:r>
      <w:r>
        <w:rPr>
          <w:rFonts w:hint="eastAsia" w:hAnsi="宋体"/>
          <w:sz w:val="24"/>
          <w:szCs w:val="24"/>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14.3 </w:t>
      </w:r>
      <w:r>
        <w:rPr>
          <w:rFonts w:hint="eastAsia" w:hAnsi="宋体"/>
          <w:sz w:val="24"/>
          <w:szCs w:val="24"/>
        </w:rPr>
        <w:t>乙方在货物发运手续办理完毕后</w:t>
      </w:r>
      <w:r>
        <w:rPr>
          <w:rFonts w:hAnsi="宋体"/>
          <w:sz w:val="24"/>
          <w:szCs w:val="24"/>
        </w:rPr>
        <w:t>24</w:t>
      </w:r>
      <w:r>
        <w:rPr>
          <w:rFonts w:hint="eastAsia" w:hAnsi="宋体"/>
          <w:sz w:val="24"/>
          <w:szCs w:val="24"/>
        </w:rPr>
        <w:t>小时内或货到甲方</w:t>
      </w:r>
      <w:r>
        <w:rPr>
          <w:rFonts w:hAnsi="宋体"/>
          <w:sz w:val="24"/>
          <w:szCs w:val="24"/>
        </w:rPr>
        <w:t>48</w:t>
      </w:r>
      <w:r>
        <w:rPr>
          <w:rFonts w:hint="eastAsia" w:hAnsi="宋体"/>
          <w:sz w:val="24"/>
          <w:szCs w:val="24"/>
        </w:rPr>
        <w:t>小时前通知甲方，以准备接货。</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14.4 </w:t>
      </w:r>
      <w:r>
        <w:rPr>
          <w:rFonts w:hint="eastAsia" w:hAnsi="宋体"/>
          <w:sz w:val="24"/>
          <w:szCs w:val="24"/>
        </w:rPr>
        <w:t>货物在交付甲方前发生的风险均由乙方负责。</w:t>
      </w:r>
    </w:p>
    <w:p>
      <w:pPr>
        <w:pStyle w:val="11"/>
        <w:adjustRightInd w:val="0"/>
        <w:snapToGrid w:val="0"/>
        <w:spacing w:before="120" w:after="120" w:line="360" w:lineRule="auto"/>
        <w:ind w:left="1" w:firstLine="566"/>
        <w:rPr>
          <w:rFonts w:hAnsi="宋体"/>
          <w:sz w:val="24"/>
          <w:szCs w:val="24"/>
        </w:rPr>
      </w:pPr>
      <w:r>
        <w:rPr>
          <w:rFonts w:hAnsi="宋体"/>
          <w:sz w:val="24"/>
          <w:szCs w:val="24"/>
        </w:rPr>
        <w:t xml:space="preserve">14.5 </w:t>
      </w:r>
      <w:r>
        <w:rPr>
          <w:rFonts w:hint="eastAsia" w:hAnsi="宋体"/>
          <w:sz w:val="24"/>
          <w:szCs w:val="24"/>
        </w:rPr>
        <w:t>货物在规定的交付期限内由乙方送达甲方指定的地点并经甲方验收合格视为交付，乙方同时需通知甲方货物已送达。</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十五、违约责任</w:t>
      </w:r>
    </w:p>
    <w:p>
      <w:pPr>
        <w:pStyle w:val="11"/>
        <w:adjustRightInd w:val="0"/>
        <w:snapToGrid w:val="0"/>
        <w:spacing w:before="120" w:after="120" w:line="360" w:lineRule="auto"/>
        <w:ind w:left="1" w:firstLine="658"/>
        <w:rPr>
          <w:rFonts w:hAnsi="宋体"/>
          <w:sz w:val="24"/>
          <w:szCs w:val="24"/>
        </w:rPr>
      </w:pPr>
      <w:r>
        <w:rPr>
          <w:rFonts w:hAnsi="宋体"/>
          <w:sz w:val="24"/>
          <w:szCs w:val="24"/>
        </w:rPr>
        <w:t>15.1</w:t>
      </w:r>
      <w:r>
        <w:rPr>
          <w:rFonts w:hint="eastAsia" w:hAnsi="宋体"/>
          <w:sz w:val="24"/>
          <w:szCs w:val="24"/>
        </w:rPr>
        <w:t>乙方逾期交付货物的，乙方应按逾期交货总额每日千分之六向甲方支付违约金，由甲方从待付货款中扣除。逾期超过约定日期</w:t>
      </w:r>
      <w:r>
        <w:rPr>
          <w:rFonts w:hAnsi="宋体"/>
          <w:sz w:val="24"/>
          <w:szCs w:val="24"/>
        </w:rPr>
        <w:t>10</w:t>
      </w:r>
      <w:r>
        <w:rPr>
          <w:rFonts w:hint="eastAsia" w:hAnsi="宋体"/>
          <w:sz w:val="24"/>
          <w:szCs w:val="24"/>
        </w:rPr>
        <w:t>个工作日不能交货的，甲方可解除本合同。乙方因逾期交货或因其他违约行为导致甲方解除合同的，乙方应向甲方支付合同总值</w:t>
      </w:r>
      <w:r>
        <w:rPr>
          <w:rFonts w:hAnsi="宋体"/>
          <w:sz w:val="24"/>
          <w:szCs w:val="24"/>
        </w:rPr>
        <w:t>5%</w:t>
      </w:r>
      <w:r>
        <w:rPr>
          <w:rFonts w:hint="eastAsia" w:hAnsi="宋体"/>
          <w:sz w:val="24"/>
          <w:szCs w:val="24"/>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rPr>
      </w:pPr>
      <w:r>
        <w:rPr>
          <w:rFonts w:hAnsi="宋体"/>
          <w:sz w:val="24"/>
          <w:szCs w:val="24"/>
        </w:rPr>
        <w:t>15.2</w:t>
      </w:r>
      <w:r>
        <w:rPr>
          <w:rFonts w:hint="eastAsia" w:hAnsi="宋体"/>
          <w:sz w:val="24"/>
          <w:szCs w:val="24"/>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十六、廉政条款</w:t>
      </w:r>
    </w:p>
    <w:p>
      <w:pPr>
        <w:pStyle w:val="11"/>
        <w:adjustRightInd w:val="0"/>
        <w:snapToGrid w:val="0"/>
        <w:spacing w:before="120" w:after="120" w:line="360" w:lineRule="auto"/>
        <w:ind w:left="1" w:firstLine="658"/>
        <w:rPr>
          <w:rFonts w:hAnsi="宋体"/>
          <w:sz w:val="24"/>
          <w:szCs w:val="24"/>
        </w:rPr>
      </w:pPr>
      <w:r>
        <w:rPr>
          <w:rFonts w:hAnsi="宋体"/>
          <w:sz w:val="24"/>
          <w:szCs w:val="24"/>
        </w:rPr>
        <w:t>16.1</w:t>
      </w:r>
      <w:r>
        <w:rPr>
          <w:rFonts w:hint="eastAsia" w:hAnsi="宋体"/>
          <w:sz w:val="24"/>
          <w:szCs w:val="24"/>
        </w:rPr>
        <w:t>乙方必须支持甲方的廉政建设，不得向甲方相关人员提供金钱和物质上的好处，一经发现处以合同金额</w:t>
      </w:r>
      <w:r>
        <w:rPr>
          <w:rFonts w:hAnsi="宋体"/>
          <w:sz w:val="24"/>
          <w:szCs w:val="24"/>
        </w:rPr>
        <w:t>20%</w:t>
      </w:r>
      <w:r>
        <w:rPr>
          <w:rFonts w:hint="eastAsia" w:hAnsi="宋体"/>
          <w:sz w:val="24"/>
          <w:szCs w:val="24"/>
        </w:rPr>
        <w:t>的罚款。</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十七、不可抗力事件处理</w:t>
      </w:r>
    </w:p>
    <w:p>
      <w:pPr>
        <w:pStyle w:val="11"/>
        <w:adjustRightInd w:val="0"/>
        <w:snapToGrid w:val="0"/>
        <w:spacing w:before="120" w:after="120" w:line="360" w:lineRule="auto"/>
        <w:ind w:left="1" w:firstLine="658"/>
        <w:rPr>
          <w:rFonts w:hAnsi="宋体"/>
          <w:sz w:val="24"/>
          <w:szCs w:val="24"/>
        </w:rPr>
      </w:pPr>
      <w:r>
        <w:rPr>
          <w:rFonts w:hAnsi="宋体"/>
          <w:sz w:val="24"/>
          <w:szCs w:val="24"/>
        </w:rPr>
        <w:t xml:space="preserve">17.1 </w:t>
      </w:r>
      <w:r>
        <w:rPr>
          <w:rFonts w:hint="eastAsia" w:hAnsi="宋体"/>
          <w:sz w:val="24"/>
          <w:szCs w:val="24"/>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rPr>
      </w:pPr>
      <w:r>
        <w:rPr>
          <w:rFonts w:hAnsi="宋体"/>
          <w:sz w:val="24"/>
          <w:szCs w:val="24"/>
        </w:rPr>
        <w:t xml:space="preserve">17.2 </w:t>
      </w:r>
      <w:r>
        <w:rPr>
          <w:rFonts w:hint="eastAsia" w:hAnsi="宋体"/>
          <w:sz w:val="24"/>
          <w:szCs w:val="24"/>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rPr>
      </w:pPr>
      <w:r>
        <w:rPr>
          <w:rFonts w:hAnsi="宋体"/>
          <w:sz w:val="24"/>
          <w:szCs w:val="24"/>
        </w:rPr>
        <w:t xml:space="preserve">17.3 </w:t>
      </w:r>
      <w:r>
        <w:rPr>
          <w:rFonts w:hint="eastAsia" w:hAnsi="宋体"/>
          <w:sz w:val="24"/>
          <w:szCs w:val="24"/>
        </w:rPr>
        <w:t>不可抗力事件延续</w:t>
      </w:r>
      <w:r>
        <w:rPr>
          <w:rFonts w:hAnsi="宋体"/>
          <w:sz w:val="24"/>
          <w:szCs w:val="24"/>
        </w:rPr>
        <w:t>30</w:t>
      </w:r>
      <w:r>
        <w:rPr>
          <w:rFonts w:hint="eastAsia" w:hAnsi="宋体"/>
          <w:sz w:val="24"/>
          <w:szCs w:val="24"/>
        </w:rPr>
        <w:t>天以上，双方应通过友好协商，确定是否继续履行合同。</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十八、诉讼</w:t>
      </w:r>
    </w:p>
    <w:p>
      <w:pPr>
        <w:pStyle w:val="11"/>
        <w:adjustRightInd w:val="0"/>
        <w:snapToGrid w:val="0"/>
        <w:spacing w:before="120" w:after="120" w:line="360" w:lineRule="auto"/>
        <w:ind w:left="1" w:firstLine="658"/>
        <w:rPr>
          <w:rFonts w:hAnsi="宋体"/>
          <w:sz w:val="24"/>
          <w:szCs w:val="24"/>
        </w:rPr>
      </w:pPr>
      <w:r>
        <w:rPr>
          <w:rFonts w:hAnsi="宋体"/>
          <w:sz w:val="24"/>
          <w:szCs w:val="24"/>
        </w:rPr>
        <w:t xml:space="preserve">18.1 </w:t>
      </w:r>
      <w:r>
        <w:rPr>
          <w:rFonts w:hint="eastAsia" w:hAnsi="宋体"/>
          <w:sz w:val="24"/>
          <w:szCs w:val="24"/>
        </w:rPr>
        <w:t>双方在执行合同中所发生的一切争议，应通过协商解决。如协商不成，可向合同签订地法院起诉，合同签订地在此约定为南京市。</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十九、合同文件的优先顺序</w:t>
      </w:r>
      <w:r>
        <w:rPr>
          <w:rFonts w:hint="eastAsia" w:hAnsi="宋体"/>
          <w:sz w:val="24"/>
          <w:szCs w:val="24"/>
        </w:rPr>
        <w:t xml:space="preserve">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（1）合同协议书；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（2）中标通知书；</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（3）招标文件；</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（4）投标函及其附录（如果有）；</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（5）专用合同条款及其附件；</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 xml:space="preserve">（6）通用合同条款； </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（7）技术标准和要求；</w:t>
      </w:r>
    </w:p>
    <w:p>
      <w:pPr>
        <w:pStyle w:val="11"/>
        <w:adjustRightInd w:val="0"/>
        <w:snapToGrid w:val="0"/>
        <w:spacing w:before="120" w:after="120" w:line="360" w:lineRule="auto"/>
        <w:ind w:left="1" w:firstLine="658"/>
        <w:rPr>
          <w:rFonts w:hAnsi="宋体"/>
          <w:sz w:val="24"/>
          <w:szCs w:val="24"/>
        </w:rPr>
      </w:pPr>
      <w:r>
        <w:rPr>
          <w:rFonts w:hint="eastAsia" w:hAnsi="宋体"/>
          <w:sz w:val="24"/>
          <w:szCs w:val="24"/>
        </w:rPr>
        <w:t>（8）其他合同文件。</w:t>
      </w:r>
    </w:p>
    <w:p>
      <w:pPr>
        <w:pStyle w:val="11"/>
        <w:adjustRightInd w:val="0"/>
        <w:snapToGrid w:val="0"/>
        <w:spacing w:before="120" w:after="120" w:line="360" w:lineRule="auto"/>
        <w:ind w:firstLine="660"/>
        <w:rPr>
          <w:rFonts w:hAnsi="宋体"/>
          <w:b/>
          <w:sz w:val="24"/>
          <w:szCs w:val="24"/>
        </w:rPr>
      </w:pPr>
      <w:r>
        <w:rPr>
          <w:rFonts w:hint="eastAsia" w:hAnsi="宋体"/>
          <w:b/>
          <w:sz w:val="24"/>
          <w:szCs w:val="24"/>
        </w:rPr>
        <w:t>二十、合同生效及其它</w:t>
      </w:r>
    </w:p>
    <w:p>
      <w:pPr>
        <w:pStyle w:val="11"/>
        <w:adjustRightInd w:val="0"/>
        <w:snapToGrid w:val="0"/>
        <w:spacing w:before="120" w:after="120" w:line="360" w:lineRule="auto"/>
        <w:ind w:firstLine="658"/>
        <w:rPr>
          <w:rFonts w:hAnsi="宋体"/>
          <w:sz w:val="24"/>
          <w:szCs w:val="24"/>
        </w:rPr>
      </w:pPr>
      <w:r>
        <w:rPr>
          <w:rFonts w:hAnsi="宋体"/>
          <w:sz w:val="24"/>
          <w:szCs w:val="24"/>
        </w:rPr>
        <w:t xml:space="preserve">19.1 </w:t>
      </w:r>
      <w:r>
        <w:rPr>
          <w:rFonts w:hint="eastAsia" w:hAnsi="宋体"/>
          <w:sz w:val="24"/>
          <w:szCs w:val="24"/>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rPr>
      </w:pPr>
      <w:r>
        <w:rPr>
          <w:rFonts w:hAnsi="宋体"/>
          <w:sz w:val="24"/>
          <w:szCs w:val="24"/>
        </w:rPr>
        <w:t>19.2</w:t>
      </w:r>
      <w:r>
        <w:rPr>
          <w:rFonts w:hint="eastAsia" w:hAnsi="宋体"/>
          <w:sz w:val="24"/>
          <w:szCs w:val="24"/>
        </w:rPr>
        <w:t>本合同未尽事宜，遵照《合同法》有关条文执行。</w:t>
      </w:r>
    </w:p>
    <w:p>
      <w:pPr>
        <w:pStyle w:val="11"/>
        <w:adjustRightInd w:val="0"/>
        <w:snapToGrid w:val="0"/>
        <w:spacing w:before="120" w:after="120" w:line="360" w:lineRule="auto"/>
        <w:ind w:left="1" w:firstLine="658"/>
        <w:rPr>
          <w:rFonts w:hAnsi="宋体"/>
          <w:sz w:val="24"/>
          <w:szCs w:val="24"/>
        </w:rPr>
      </w:pPr>
      <w:r>
        <w:rPr>
          <w:rFonts w:hAnsi="宋体"/>
          <w:sz w:val="24"/>
          <w:szCs w:val="24"/>
        </w:rPr>
        <w:t xml:space="preserve">19.3 </w:t>
      </w:r>
      <w:r>
        <w:rPr>
          <w:rFonts w:hint="eastAsia" w:hAnsi="宋体"/>
          <w:sz w:val="24"/>
          <w:szCs w:val="24"/>
        </w:rPr>
        <w:t>本合同正本一式四份，具有同等法律效力，甲方、乙方各执两份。</w:t>
      </w:r>
    </w:p>
    <w:p>
      <w:pPr>
        <w:pStyle w:val="11"/>
        <w:adjustRightInd w:val="0"/>
        <w:snapToGrid w:val="0"/>
        <w:spacing w:before="120" w:after="120" w:line="360" w:lineRule="auto"/>
        <w:ind w:left="420" w:leftChars="200" w:firstLine="240" w:firstLineChars="100"/>
        <w:rPr>
          <w:rFonts w:hAnsi="宋体"/>
          <w:sz w:val="24"/>
          <w:szCs w:val="24"/>
        </w:rPr>
      </w:pPr>
      <w:r>
        <w:rPr>
          <w:rFonts w:hint="eastAsia" w:hAnsi="宋体"/>
          <w:sz w:val="24"/>
          <w:szCs w:val="24"/>
        </w:rPr>
        <w:t>甲方：乙方：</w:t>
      </w:r>
    </w:p>
    <w:p>
      <w:pPr>
        <w:pStyle w:val="11"/>
        <w:adjustRightInd w:val="0"/>
        <w:snapToGrid w:val="0"/>
        <w:spacing w:before="120" w:after="120" w:line="360" w:lineRule="auto"/>
        <w:ind w:firstLine="658"/>
        <w:rPr>
          <w:rFonts w:hAnsi="宋体"/>
          <w:sz w:val="24"/>
          <w:szCs w:val="24"/>
        </w:rPr>
      </w:pPr>
      <w:r>
        <w:rPr>
          <w:rFonts w:hint="eastAsia" w:hAnsi="宋体"/>
          <w:sz w:val="24"/>
          <w:szCs w:val="24"/>
        </w:rPr>
        <w:t>地址：地址：</w:t>
      </w:r>
    </w:p>
    <w:p>
      <w:pPr>
        <w:pStyle w:val="11"/>
        <w:adjustRightInd w:val="0"/>
        <w:snapToGrid w:val="0"/>
        <w:spacing w:before="120" w:after="120" w:line="360" w:lineRule="auto"/>
        <w:ind w:firstLine="658"/>
        <w:rPr>
          <w:rFonts w:hAnsi="宋体"/>
          <w:sz w:val="24"/>
          <w:szCs w:val="24"/>
        </w:rPr>
      </w:pPr>
      <w:r>
        <w:rPr>
          <w:rFonts w:hint="eastAsia" w:hAnsi="宋体"/>
          <w:sz w:val="24"/>
          <w:szCs w:val="24"/>
        </w:rPr>
        <w:t>法定代表人或授权代表：</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项目负责人</w:t>
      </w:r>
      <w:r>
        <w:rPr>
          <w:rFonts w:hAnsi="宋体"/>
          <w:sz w:val="24"/>
          <w:szCs w:val="24"/>
        </w:rPr>
        <w:t xml:space="preserve">:                              </w:t>
      </w:r>
      <w:r>
        <w:rPr>
          <w:rFonts w:hint="eastAsia" w:hAnsi="宋体"/>
          <w:sz w:val="24"/>
          <w:szCs w:val="24"/>
        </w:rPr>
        <w:t>法定代表人或授权代表：</w:t>
      </w:r>
    </w:p>
    <w:p>
      <w:pPr>
        <w:pStyle w:val="11"/>
        <w:adjustRightInd w:val="0"/>
        <w:snapToGrid w:val="0"/>
        <w:spacing w:before="120" w:after="120" w:line="360" w:lineRule="auto"/>
        <w:ind w:firstLine="658"/>
        <w:rPr>
          <w:rFonts w:hAnsi="宋体"/>
          <w:sz w:val="24"/>
          <w:szCs w:val="24"/>
        </w:rPr>
      </w:pPr>
      <w:r>
        <w:rPr>
          <w:rFonts w:hint="eastAsia" w:hAnsi="宋体"/>
          <w:sz w:val="24"/>
          <w:szCs w:val="24"/>
        </w:rPr>
        <w:t>项目联系人</w:t>
      </w:r>
      <w:r>
        <w:rPr>
          <w:rFonts w:hAnsi="宋体"/>
          <w:sz w:val="24"/>
          <w:szCs w:val="24"/>
        </w:rPr>
        <w:t>:</w:t>
      </w:r>
    </w:p>
    <w:p>
      <w:pPr>
        <w:pStyle w:val="11"/>
        <w:adjustRightInd w:val="0"/>
        <w:snapToGrid w:val="0"/>
        <w:spacing w:before="120" w:after="120" w:line="360" w:lineRule="auto"/>
        <w:ind w:firstLine="658"/>
        <w:rPr>
          <w:rFonts w:hAnsi="宋体"/>
          <w:sz w:val="24"/>
          <w:szCs w:val="24"/>
        </w:rPr>
      </w:pPr>
      <w:r>
        <w:rPr>
          <w:rFonts w:hint="eastAsia" w:hAnsi="宋体"/>
          <w:sz w:val="24"/>
          <w:szCs w:val="24"/>
        </w:rPr>
        <w:t>联系电话：联系电话：</w:t>
      </w:r>
    </w:p>
    <w:p>
      <w:pPr>
        <w:pStyle w:val="11"/>
        <w:adjustRightInd w:val="0"/>
        <w:snapToGrid w:val="0"/>
        <w:spacing w:before="120" w:after="120" w:line="360" w:lineRule="auto"/>
        <w:ind w:firstLine="767"/>
        <w:rPr>
          <w:rFonts w:cs="仿宋"/>
          <w:sz w:val="24"/>
        </w:rPr>
      </w:pPr>
      <w:r>
        <w:rPr>
          <w:rFonts w:hint="eastAsia"/>
          <w:sz w:val="28"/>
          <w:szCs w:val="28"/>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新宋体"/>
    <w:panose1 w:val="00000000000000000000"/>
    <w:charset w:val="86"/>
    <w:family w:val="swiss"/>
    <w:pitch w:val="default"/>
    <w:sig w:usb0="00000000" w:usb1="00000000" w:usb2="00000010" w:usb3="00000000" w:csb0="00040000" w:csb1="00000000"/>
  </w:font>
  <w:font w:name="Open Sans 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20</w:t>
    </w:r>
    <w:r>
      <w:rPr>
        <w:rFonts w:hint="eastAsia" w:ascii="宋体" w:hAnsi="宋体" w:cs="宋体"/>
        <w:b/>
        <w:bCs/>
        <w:kern w:val="0"/>
        <w:sz w:val="15"/>
        <w:szCs w:val="15"/>
      </w:rPr>
      <w:t>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945B1"/>
    <w:multiLevelType w:val="multilevel"/>
    <w:tmpl w:val="592945B1"/>
    <w:lvl w:ilvl="0" w:tentative="0">
      <w:start w:val="1"/>
      <w:numFmt w:val="decimal"/>
      <w:pStyle w:val="4"/>
      <w:lvlText w:val="%1."/>
      <w:lvlJc w:val="left"/>
      <w:pPr>
        <w:ind w:left="425" w:hanging="425"/>
      </w:pPr>
      <w:rPr>
        <w:rFonts w:hint="eastAsia" w:ascii="微软雅黑" w:hAnsi="微软雅黑" w:eastAsia="微软雅黑"/>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05"/>
    <w:rsid w:val="00003606"/>
    <w:rsid w:val="000054CA"/>
    <w:rsid w:val="0000571D"/>
    <w:rsid w:val="00022B05"/>
    <w:rsid w:val="00023D12"/>
    <w:rsid w:val="00026E76"/>
    <w:rsid w:val="0002772F"/>
    <w:rsid w:val="00030600"/>
    <w:rsid w:val="00030DF4"/>
    <w:rsid w:val="000317FC"/>
    <w:rsid w:val="000319F3"/>
    <w:rsid w:val="00034A15"/>
    <w:rsid w:val="000430D6"/>
    <w:rsid w:val="00043F02"/>
    <w:rsid w:val="000441D9"/>
    <w:rsid w:val="00044826"/>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4479"/>
    <w:rsid w:val="00094B8E"/>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7C08"/>
    <w:rsid w:val="001007BA"/>
    <w:rsid w:val="00100F2E"/>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1488"/>
    <w:rsid w:val="00143684"/>
    <w:rsid w:val="001448F3"/>
    <w:rsid w:val="0014591D"/>
    <w:rsid w:val="00146508"/>
    <w:rsid w:val="001467B8"/>
    <w:rsid w:val="00147BB6"/>
    <w:rsid w:val="001502CF"/>
    <w:rsid w:val="00151817"/>
    <w:rsid w:val="0015214C"/>
    <w:rsid w:val="0015225B"/>
    <w:rsid w:val="00152BCB"/>
    <w:rsid w:val="00153196"/>
    <w:rsid w:val="0015430F"/>
    <w:rsid w:val="001559FB"/>
    <w:rsid w:val="0016003D"/>
    <w:rsid w:val="0016077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91F"/>
    <w:rsid w:val="00196DB1"/>
    <w:rsid w:val="001973B6"/>
    <w:rsid w:val="001A1969"/>
    <w:rsid w:val="001A200D"/>
    <w:rsid w:val="001A4524"/>
    <w:rsid w:val="001A5691"/>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99"/>
    <w:rsid w:val="00201076"/>
    <w:rsid w:val="002023F0"/>
    <w:rsid w:val="00204A89"/>
    <w:rsid w:val="00205651"/>
    <w:rsid w:val="00205E8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13F6"/>
    <w:rsid w:val="002B247E"/>
    <w:rsid w:val="002B3512"/>
    <w:rsid w:val="002B5309"/>
    <w:rsid w:val="002B5FF1"/>
    <w:rsid w:val="002B656C"/>
    <w:rsid w:val="002B6969"/>
    <w:rsid w:val="002C016C"/>
    <w:rsid w:val="002C0D56"/>
    <w:rsid w:val="002C3038"/>
    <w:rsid w:val="002C3D8F"/>
    <w:rsid w:val="002C6A0C"/>
    <w:rsid w:val="002C6B1B"/>
    <w:rsid w:val="002C724E"/>
    <w:rsid w:val="002D0833"/>
    <w:rsid w:val="002D16E8"/>
    <w:rsid w:val="002D247C"/>
    <w:rsid w:val="002D608B"/>
    <w:rsid w:val="002D74B4"/>
    <w:rsid w:val="002E569D"/>
    <w:rsid w:val="002E6CB0"/>
    <w:rsid w:val="002E6E80"/>
    <w:rsid w:val="002E70DE"/>
    <w:rsid w:val="002E7D9A"/>
    <w:rsid w:val="002F0D2A"/>
    <w:rsid w:val="002F160A"/>
    <w:rsid w:val="002F1CF2"/>
    <w:rsid w:val="002F2B00"/>
    <w:rsid w:val="002F36B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771"/>
    <w:rsid w:val="00323939"/>
    <w:rsid w:val="00324588"/>
    <w:rsid w:val="00325728"/>
    <w:rsid w:val="00326B86"/>
    <w:rsid w:val="00327C2C"/>
    <w:rsid w:val="00330268"/>
    <w:rsid w:val="00331A66"/>
    <w:rsid w:val="00331B2F"/>
    <w:rsid w:val="00334E11"/>
    <w:rsid w:val="0033568A"/>
    <w:rsid w:val="00335D4D"/>
    <w:rsid w:val="003366BF"/>
    <w:rsid w:val="0033689B"/>
    <w:rsid w:val="0034221F"/>
    <w:rsid w:val="003431DD"/>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4FB7"/>
    <w:rsid w:val="00367F0F"/>
    <w:rsid w:val="00371A15"/>
    <w:rsid w:val="00372241"/>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5091"/>
    <w:rsid w:val="003A0680"/>
    <w:rsid w:val="003A0A8F"/>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D1B"/>
    <w:rsid w:val="003C4ECC"/>
    <w:rsid w:val="003C60AD"/>
    <w:rsid w:val="003C69C4"/>
    <w:rsid w:val="003D02DE"/>
    <w:rsid w:val="003D20EB"/>
    <w:rsid w:val="003D282D"/>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0529"/>
    <w:rsid w:val="004926E0"/>
    <w:rsid w:val="00493399"/>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1000"/>
    <w:rsid w:val="0053114F"/>
    <w:rsid w:val="00533377"/>
    <w:rsid w:val="00533F15"/>
    <w:rsid w:val="00534940"/>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B71E1"/>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12E8"/>
    <w:rsid w:val="006B1B75"/>
    <w:rsid w:val="006B2014"/>
    <w:rsid w:val="006B2340"/>
    <w:rsid w:val="006B324C"/>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0F6F"/>
    <w:rsid w:val="006F132D"/>
    <w:rsid w:val="006F1C19"/>
    <w:rsid w:val="006F3003"/>
    <w:rsid w:val="006F3A48"/>
    <w:rsid w:val="006F3DB1"/>
    <w:rsid w:val="006F4515"/>
    <w:rsid w:val="006F49B6"/>
    <w:rsid w:val="006F542E"/>
    <w:rsid w:val="006F5A99"/>
    <w:rsid w:val="007002AA"/>
    <w:rsid w:val="00700921"/>
    <w:rsid w:val="00700E1F"/>
    <w:rsid w:val="00705D43"/>
    <w:rsid w:val="0070628E"/>
    <w:rsid w:val="00706AA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1110"/>
    <w:rsid w:val="00743156"/>
    <w:rsid w:val="007449D5"/>
    <w:rsid w:val="00745380"/>
    <w:rsid w:val="00745E15"/>
    <w:rsid w:val="007475EE"/>
    <w:rsid w:val="007478D2"/>
    <w:rsid w:val="00751019"/>
    <w:rsid w:val="007559EB"/>
    <w:rsid w:val="00757520"/>
    <w:rsid w:val="007577E7"/>
    <w:rsid w:val="007605A9"/>
    <w:rsid w:val="0076167D"/>
    <w:rsid w:val="0076289B"/>
    <w:rsid w:val="00762912"/>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3C1"/>
    <w:rsid w:val="0078751B"/>
    <w:rsid w:val="007902F5"/>
    <w:rsid w:val="00790968"/>
    <w:rsid w:val="00790CF3"/>
    <w:rsid w:val="00791B64"/>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3EF"/>
    <w:rsid w:val="00816799"/>
    <w:rsid w:val="008169FD"/>
    <w:rsid w:val="00821CB7"/>
    <w:rsid w:val="00821FFD"/>
    <w:rsid w:val="008220BA"/>
    <w:rsid w:val="0082252B"/>
    <w:rsid w:val="008236DB"/>
    <w:rsid w:val="00823E33"/>
    <w:rsid w:val="008248B3"/>
    <w:rsid w:val="00827A4C"/>
    <w:rsid w:val="00830C6A"/>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445C"/>
    <w:rsid w:val="00954550"/>
    <w:rsid w:val="00956513"/>
    <w:rsid w:val="00956EF4"/>
    <w:rsid w:val="009573D2"/>
    <w:rsid w:val="00957B12"/>
    <w:rsid w:val="00960E03"/>
    <w:rsid w:val="00963E09"/>
    <w:rsid w:val="00966133"/>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2262"/>
    <w:rsid w:val="00992EF0"/>
    <w:rsid w:val="00993A92"/>
    <w:rsid w:val="009948F7"/>
    <w:rsid w:val="0099682B"/>
    <w:rsid w:val="00996975"/>
    <w:rsid w:val="009A0CB9"/>
    <w:rsid w:val="009A4472"/>
    <w:rsid w:val="009A50F2"/>
    <w:rsid w:val="009A723F"/>
    <w:rsid w:val="009B2876"/>
    <w:rsid w:val="009B3202"/>
    <w:rsid w:val="009B4732"/>
    <w:rsid w:val="009B5355"/>
    <w:rsid w:val="009B5A13"/>
    <w:rsid w:val="009B5D2C"/>
    <w:rsid w:val="009B5E85"/>
    <w:rsid w:val="009B7C1E"/>
    <w:rsid w:val="009B7FB8"/>
    <w:rsid w:val="009C018C"/>
    <w:rsid w:val="009C2509"/>
    <w:rsid w:val="009C4FC6"/>
    <w:rsid w:val="009C6CAB"/>
    <w:rsid w:val="009D0A67"/>
    <w:rsid w:val="009D0BDD"/>
    <w:rsid w:val="009D0FFD"/>
    <w:rsid w:val="009D1809"/>
    <w:rsid w:val="009D30D9"/>
    <w:rsid w:val="009D34F1"/>
    <w:rsid w:val="009D4994"/>
    <w:rsid w:val="009D4CB2"/>
    <w:rsid w:val="009D4DA2"/>
    <w:rsid w:val="009D6922"/>
    <w:rsid w:val="009E1A9A"/>
    <w:rsid w:val="009E375D"/>
    <w:rsid w:val="009E45D0"/>
    <w:rsid w:val="009E6F30"/>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1D8"/>
    <w:rsid w:val="00A31753"/>
    <w:rsid w:val="00A31C4C"/>
    <w:rsid w:val="00A332A0"/>
    <w:rsid w:val="00A33CC4"/>
    <w:rsid w:val="00A346EC"/>
    <w:rsid w:val="00A346FD"/>
    <w:rsid w:val="00A3529C"/>
    <w:rsid w:val="00A35A4E"/>
    <w:rsid w:val="00A3632A"/>
    <w:rsid w:val="00A36D07"/>
    <w:rsid w:val="00A36D9A"/>
    <w:rsid w:val="00A409FD"/>
    <w:rsid w:val="00A40A2B"/>
    <w:rsid w:val="00A42BC4"/>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5B06"/>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04EE"/>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6B30"/>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356F"/>
    <w:rsid w:val="00B33E5B"/>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5974"/>
    <w:rsid w:val="00BC15E1"/>
    <w:rsid w:val="00BC1B9A"/>
    <w:rsid w:val="00BC47DD"/>
    <w:rsid w:val="00BC538C"/>
    <w:rsid w:val="00BC67EE"/>
    <w:rsid w:val="00BD1982"/>
    <w:rsid w:val="00BD222E"/>
    <w:rsid w:val="00BD2E20"/>
    <w:rsid w:val="00BD31B1"/>
    <w:rsid w:val="00BD6961"/>
    <w:rsid w:val="00BE0A1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0886"/>
    <w:rsid w:val="00C015AA"/>
    <w:rsid w:val="00C04E41"/>
    <w:rsid w:val="00C062D0"/>
    <w:rsid w:val="00C11731"/>
    <w:rsid w:val="00C1294A"/>
    <w:rsid w:val="00C16B79"/>
    <w:rsid w:val="00C17D57"/>
    <w:rsid w:val="00C214AD"/>
    <w:rsid w:val="00C21BD8"/>
    <w:rsid w:val="00C24629"/>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7DE"/>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ED9"/>
    <w:rsid w:val="00D55449"/>
    <w:rsid w:val="00D564CA"/>
    <w:rsid w:val="00D6024C"/>
    <w:rsid w:val="00D616B8"/>
    <w:rsid w:val="00D61761"/>
    <w:rsid w:val="00D63C15"/>
    <w:rsid w:val="00D64928"/>
    <w:rsid w:val="00D70444"/>
    <w:rsid w:val="00D75CED"/>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414F"/>
    <w:rsid w:val="00DC6751"/>
    <w:rsid w:val="00DC7051"/>
    <w:rsid w:val="00DD0596"/>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B0E3E"/>
    <w:rsid w:val="00EB1064"/>
    <w:rsid w:val="00EB12A4"/>
    <w:rsid w:val="00EB16BB"/>
    <w:rsid w:val="00EB1980"/>
    <w:rsid w:val="00EB2A53"/>
    <w:rsid w:val="00EB3AD6"/>
    <w:rsid w:val="00EB51AA"/>
    <w:rsid w:val="00EB6291"/>
    <w:rsid w:val="00EB7344"/>
    <w:rsid w:val="00EB7898"/>
    <w:rsid w:val="00EB795C"/>
    <w:rsid w:val="00EC402D"/>
    <w:rsid w:val="00EC4EF1"/>
    <w:rsid w:val="00EC6BAE"/>
    <w:rsid w:val="00ED041C"/>
    <w:rsid w:val="00ED0447"/>
    <w:rsid w:val="00ED2314"/>
    <w:rsid w:val="00ED287D"/>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3D40627"/>
    <w:rsid w:val="05B517B2"/>
    <w:rsid w:val="0666393D"/>
    <w:rsid w:val="06BC04F1"/>
    <w:rsid w:val="07D33D16"/>
    <w:rsid w:val="09637941"/>
    <w:rsid w:val="0BB907B9"/>
    <w:rsid w:val="0BDF51D7"/>
    <w:rsid w:val="0C157637"/>
    <w:rsid w:val="0C3615C8"/>
    <w:rsid w:val="0C4861BD"/>
    <w:rsid w:val="0C727F0D"/>
    <w:rsid w:val="0D873213"/>
    <w:rsid w:val="0D9425DE"/>
    <w:rsid w:val="0D99361C"/>
    <w:rsid w:val="107D340A"/>
    <w:rsid w:val="10EB4170"/>
    <w:rsid w:val="10F05838"/>
    <w:rsid w:val="113C24CA"/>
    <w:rsid w:val="119D0D41"/>
    <w:rsid w:val="12162C3B"/>
    <w:rsid w:val="130F1D58"/>
    <w:rsid w:val="146723C1"/>
    <w:rsid w:val="14896182"/>
    <w:rsid w:val="155010AB"/>
    <w:rsid w:val="15572C10"/>
    <w:rsid w:val="1584594C"/>
    <w:rsid w:val="15907301"/>
    <w:rsid w:val="15A90346"/>
    <w:rsid w:val="15B24E31"/>
    <w:rsid w:val="16AA09BD"/>
    <w:rsid w:val="17833DE3"/>
    <w:rsid w:val="17E67D12"/>
    <w:rsid w:val="1C121D57"/>
    <w:rsid w:val="1C4A137C"/>
    <w:rsid w:val="1F11313D"/>
    <w:rsid w:val="1F6E6D51"/>
    <w:rsid w:val="1F956998"/>
    <w:rsid w:val="20DC5C02"/>
    <w:rsid w:val="20FA1747"/>
    <w:rsid w:val="20FE711F"/>
    <w:rsid w:val="21600778"/>
    <w:rsid w:val="21A70E96"/>
    <w:rsid w:val="225E4DAF"/>
    <w:rsid w:val="22891E2D"/>
    <w:rsid w:val="22D33607"/>
    <w:rsid w:val="23FD2509"/>
    <w:rsid w:val="243943F8"/>
    <w:rsid w:val="24E05430"/>
    <w:rsid w:val="267A7579"/>
    <w:rsid w:val="27961F1E"/>
    <w:rsid w:val="27AD7C03"/>
    <w:rsid w:val="28C46277"/>
    <w:rsid w:val="29062B05"/>
    <w:rsid w:val="29127A38"/>
    <w:rsid w:val="2AB43BC5"/>
    <w:rsid w:val="2ABA20CF"/>
    <w:rsid w:val="2B556F15"/>
    <w:rsid w:val="2B7F4BC3"/>
    <w:rsid w:val="2CE81BAF"/>
    <w:rsid w:val="2CF51317"/>
    <w:rsid w:val="2DAC05D8"/>
    <w:rsid w:val="2DDA6CAB"/>
    <w:rsid w:val="2E021E9B"/>
    <w:rsid w:val="2E621F2F"/>
    <w:rsid w:val="2E726843"/>
    <w:rsid w:val="2EDC02FF"/>
    <w:rsid w:val="3172033E"/>
    <w:rsid w:val="3227588C"/>
    <w:rsid w:val="325F6558"/>
    <w:rsid w:val="331653E5"/>
    <w:rsid w:val="34B32B3D"/>
    <w:rsid w:val="351529A9"/>
    <w:rsid w:val="355A74E9"/>
    <w:rsid w:val="35A302CC"/>
    <w:rsid w:val="35FD1F7A"/>
    <w:rsid w:val="366D672C"/>
    <w:rsid w:val="36E3150F"/>
    <w:rsid w:val="38341A06"/>
    <w:rsid w:val="384A4707"/>
    <w:rsid w:val="385D644E"/>
    <w:rsid w:val="38F33167"/>
    <w:rsid w:val="3969444A"/>
    <w:rsid w:val="39C83C69"/>
    <w:rsid w:val="39CE5E1D"/>
    <w:rsid w:val="3A9701E9"/>
    <w:rsid w:val="3C003247"/>
    <w:rsid w:val="3C8E6F2D"/>
    <w:rsid w:val="3D1408E4"/>
    <w:rsid w:val="3D6145DC"/>
    <w:rsid w:val="3DE36F25"/>
    <w:rsid w:val="3E267A6A"/>
    <w:rsid w:val="3EDB4EA4"/>
    <w:rsid w:val="3FC31914"/>
    <w:rsid w:val="400B4DF5"/>
    <w:rsid w:val="414A37BB"/>
    <w:rsid w:val="42643A73"/>
    <w:rsid w:val="42AA1012"/>
    <w:rsid w:val="43FB66E3"/>
    <w:rsid w:val="44DC7F4B"/>
    <w:rsid w:val="45651876"/>
    <w:rsid w:val="45BB4A67"/>
    <w:rsid w:val="46876AB1"/>
    <w:rsid w:val="46AA377D"/>
    <w:rsid w:val="49363676"/>
    <w:rsid w:val="4A4B48E3"/>
    <w:rsid w:val="4B5137BF"/>
    <w:rsid w:val="4DA86B45"/>
    <w:rsid w:val="4E356353"/>
    <w:rsid w:val="4FAF38AA"/>
    <w:rsid w:val="51497070"/>
    <w:rsid w:val="51E025FE"/>
    <w:rsid w:val="525759F4"/>
    <w:rsid w:val="52FD675A"/>
    <w:rsid w:val="532B7AD5"/>
    <w:rsid w:val="53D80FA7"/>
    <w:rsid w:val="5473349C"/>
    <w:rsid w:val="54B6223B"/>
    <w:rsid w:val="54E15A0F"/>
    <w:rsid w:val="55344B23"/>
    <w:rsid w:val="566E307E"/>
    <w:rsid w:val="56732DC5"/>
    <w:rsid w:val="56C21B98"/>
    <w:rsid w:val="57360F05"/>
    <w:rsid w:val="581F495D"/>
    <w:rsid w:val="58484116"/>
    <w:rsid w:val="58DA78C0"/>
    <w:rsid w:val="58E017CC"/>
    <w:rsid w:val="5AC859BF"/>
    <w:rsid w:val="5C0F2072"/>
    <w:rsid w:val="5CFC1D50"/>
    <w:rsid w:val="5D9F7C2F"/>
    <w:rsid w:val="5E6C25B6"/>
    <w:rsid w:val="5E84123F"/>
    <w:rsid w:val="5FB30314"/>
    <w:rsid w:val="5FEE1C83"/>
    <w:rsid w:val="607E0927"/>
    <w:rsid w:val="619D5BCC"/>
    <w:rsid w:val="6233128F"/>
    <w:rsid w:val="62635DDC"/>
    <w:rsid w:val="62FE3555"/>
    <w:rsid w:val="63D7368B"/>
    <w:rsid w:val="6471647E"/>
    <w:rsid w:val="665A104A"/>
    <w:rsid w:val="68A603CF"/>
    <w:rsid w:val="69E27B06"/>
    <w:rsid w:val="6A0F3694"/>
    <w:rsid w:val="6A5C1E75"/>
    <w:rsid w:val="6AB76CFB"/>
    <w:rsid w:val="6AF9034D"/>
    <w:rsid w:val="6BC1702A"/>
    <w:rsid w:val="6C282248"/>
    <w:rsid w:val="6CBD55AC"/>
    <w:rsid w:val="6DE636A7"/>
    <w:rsid w:val="6DE86594"/>
    <w:rsid w:val="71B44F9B"/>
    <w:rsid w:val="73711235"/>
    <w:rsid w:val="753E278B"/>
    <w:rsid w:val="75B02E72"/>
    <w:rsid w:val="75BE6EB5"/>
    <w:rsid w:val="768844D1"/>
    <w:rsid w:val="7815375E"/>
    <w:rsid w:val="7AE40810"/>
    <w:rsid w:val="7BBB6C68"/>
    <w:rsid w:val="7C2941A4"/>
    <w:rsid w:val="7C574749"/>
    <w:rsid w:val="7C8E2CF6"/>
    <w:rsid w:val="7C967B8B"/>
    <w:rsid w:val="7CD015B7"/>
    <w:rsid w:val="7E3949FB"/>
    <w:rsid w:val="7EEF6C2A"/>
    <w:rsid w:val="7F074C20"/>
    <w:rsid w:val="7F363A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3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4">
    <w:name w:val="heading 2"/>
    <w:basedOn w:val="1"/>
    <w:next w:val="1"/>
    <w:link w:val="52"/>
    <w:unhideWhenUsed/>
    <w:qFormat/>
    <w:uiPriority w:val="9"/>
    <w:pPr>
      <w:keepNext/>
      <w:keepLines/>
      <w:numPr>
        <w:ilvl w:val="0"/>
        <w:numId w:val="1"/>
      </w:numPr>
      <w:spacing w:before="120" w:after="120" w:line="360" w:lineRule="auto"/>
      <w:ind w:firstLine="0"/>
      <w:outlineLvl w:val="1"/>
    </w:pPr>
    <w:rPr>
      <w:rFonts w:ascii="Calibri Light" w:hAnsi="Calibri Light" w:eastAsia="微软雅黑"/>
      <w:b/>
      <w:bCs/>
      <w:sz w:val="28"/>
      <w:szCs w:val="32"/>
    </w:rPr>
  </w:style>
  <w:style w:type="paragraph" w:styleId="5">
    <w:name w:val="heading 3"/>
    <w:basedOn w:val="1"/>
    <w:next w:val="1"/>
    <w:link w:val="51"/>
    <w:unhideWhenUsed/>
    <w:qFormat/>
    <w:uiPriority w:val="9"/>
    <w:pPr>
      <w:keepNext/>
      <w:keepLines/>
      <w:spacing w:before="120" w:after="120" w:line="360" w:lineRule="auto"/>
      <w:ind w:left="567"/>
      <w:outlineLvl w:val="2"/>
    </w:pPr>
    <w:rPr>
      <w:rFonts w:ascii="微软雅黑" w:hAnsi="微软雅黑" w:eastAsia="微软雅黑"/>
      <w:b/>
      <w:bCs/>
      <w:sz w:val="24"/>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locked/>
    <w:uiPriority w:val="99"/>
    <w:pPr>
      <w:ind w:firstLine="420" w:firstLineChars="200"/>
    </w:pPr>
  </w:style>
  <w:style w:type="paragraph" w:styleId="6">
    <w:name w:val="annotation text"/>
    <w:basedOn w:val="1"/>
    <w:link w:val="24"/>
    <w:qFormat/>
    <w:uiPriority w:val="99"/>
    <w:pPr>
      <w:jc w:val="left"/>
    </w:pPr>
    <w:rPr>
      <w:sz w:val="24"/>
      <w:szCs w:val="20"/>
    </w:rPr>
  </w:style>
  <w:style w:type="paragraph" w:styleId="7">
    <w:name w:val="Body Text"/>
    <w:basedOn w:val="1"/>
    <w:link w:val="43"/>
    <w:unhideWhenUsed/>
    <w:qFormat/>
    <w:locked/>
    <w:uiPriority w:val="99"/>
    <w:pPr>
      <w:spacing w:after="120"/>
    </w:pPr>
  </w:style>
  <w:style w:type="paragraph" w:styleId="8">
    <w:name w:val="Body Text Indent"/>
    <w:basedOn w:val="1"/>
    <w:link w:val="25"/>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6"/>
    <w:qFormat/>
    <w:uiPriority w:val="0"/>
    <w:rPr>
      <w:rFonts w:ascii="宋体" w:hAnsi="Courier New"/>
      <w:szCs w:val="20"/>
    </w:rPr>
  </w:style>
  <w:style w:type="paragraph" w:styleId="12">
    <w:name w:val="Date"/>
    <w:basedOn w:val="1"/>
    <w:next w:val="1"/>
    <w:link w:val="27"/>
    <w:qFormat/>
    <w:uiPriority w:val="99"/>
    <w:pPr>
      <w:ind w:left="100" w:leftChars="2500"/>
    </w:pPr>
    <w:rPr>
      <w:sz w:val="24"/>
      <w:szCs w:val="20"/>
    </w:rPr>
  </w:style>
  <w:style w:type="paragraph" w:styleId="13">
    <w:name w:val="Balloon Text"/>
    <w:basedOn w:val="1"/>
    <w:link w:val="28"/>
    <w:semiHidden/>
    <w:qFormat/>
    <w:uiPriority w:val="99"/>
    <w:rPr>
      <w:kern w:val="0"/>
      <w:sz w:val="2"/>
      <w:szCs w:val="20"/>
    </w:rPr>
  </w:style>
  <w:style w:type="paragraph" w:styleId="14">
    <w:name w:val="footer"/>
    <w:basedOn w:val="1"/>
    <w:link w:val="29"/>
    <w:qFormat/>
    <w:uiPriority w:val="99"/>
    <w:pPr>
      <w:tabs>
        <w:tab w:val="center" w:pos="4153"/>
        <w:tab w:val="right" w:pos="8306"/>
      </w:tabs>
      <w:snapToGrid w:val="0"/>
      <w:jc w:val="left"/>
    </w:pPr>
    <w:rPr>
      <w:kern w:val="0"/>
      <w:sz w:val="18"/>
      <w:szCs w:val="18"/>
    </w:rPr>
  </w:style>
  <w:style w:type="paragraph" w:styleId="15">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31"/>
    <w:qFormat/>
    <w:uiPriority w:val="99"/>
    <w:rPr>
      <w:b/>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qFormat/>
    <w:uiPriority w:val="99"/>
    <w:rPr>
      <w:rFonts w:cs="Times New Roman"/>
      <w:color w:val="0563C1"/>
      <w:u w:val="single"/>
    </w:rPr>
  </w:style>
  <w:style w:type="character" w:styleId="22">
    <w:name w:val="annotation reference"/>
    <w:basedOn w:val="20"/>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6"/>
    <w:qFormat/>
    <w:locked/>
    <w:uiPriority w:val="99"/>
    <w:rPr>
      <w:rFonts w:cs="Times New Roman"/>
      <w:kern w:val="2"/>
      <w:sz w:val="24"/>
    </w:rPr>
  </w:style>
  <w:style w:type="character" w:customStyle="1" w:styleId="25">
    <w:name w:val="正文文本缩进 Char"/>
    <w:link w:val="8"/>
    <w:qFormat/>
    <w:locked/>
    <w:uiPriority w:val="99"/>
    <w:rPr>
      <w:rFonts w:ascii="等线" w:eastAsia="等线" w:cs="Times New Roman"/>
      <w:kern w:val="2"/>
      <w:sz w:val="22"/>
    </w:rPr>
  </w:style>
  <w:style w:type="character" w:customStyle="1" w:styleId="26">
    <w:name w:val="纯文本 Char"/>
    <w:link w:val="11"/>
    <w:qFormat/>
    <w:locked/>
    <w:uiPriority w:val="0"/>
    <w:rPr>
      <w:rFonts w:ascii="宋体" w:hAnsi="Courier New" w:cs="Times New Roman"/>
      <w:kern w:val="2"/>
      <w:sz w:val="21"/>
    </w:rPr>
  </w:style>
  <w:style w:type="character" w:customStyle="1" w:styleId="27">
    <w:name w:val="日期 Char"/>
    <w:link w:val="12"/>
    <w:qFormat/>
    <w:locked/>
    <w:uiPriority w:val="99"/>
    <w:rPr>
      <w:rFonts w:cs="Times New Roman"/>
      <w:kern w:val="2"/>
      <w:sz w:val="24"/>
    </w:rPr>
  </w:style>
  <w:style w:type="character" w:customStyle="1" w:styleId="28">
    <w:name w:val="批注框文本 Char"/>
    <w:link w:val="13"/>
    <w:semiHidden/>
    <w:qFormat/>
    <w:locked/>
    <w:uiPriority w:val="99"/>
    <w:rPr>
      <w:rFonts w:cs="Times New Roman"/>
      <w:sz w:val="2"/>
    </w:rPr>
  </w:style>
  <w:style w:type="character" w:customStyle="1" w:styleId="29">
    <w:name w:val="页脚 Char"/>
    <w:link w:val="14"/>
    <w:semiHidden/>
    <w:qFormat/>
    <w:locked/>
    <w:uiPriority w:val="99"/>
    <w:rPr>
      <w:rFonts w:cs="Times New Roman"/>
      <w:sz w:val="18"/>
      <w:szCs w:val="18"/>
    </w:rPr>
  </w:style>
  <w:style w:type="character" w:customStyle="1" w:styleId="30">
    <w:name w:val="页眉 Char"/>
    <w:link w:val="15"/>
    <w:qFormat/>
    <w:locked/>
    <w:uiPriority w:val="99"/>
    <w:rPr>
      <w:rFonts w:cs="Times New Roman"/>
      <w:kern w:val="2"/>
      <w:sz w:val="18"/>
    </w:rPr>
  </w:style>
  <w:style w:type="character" w:customStyle="1" w:styleId="31">
    <w:name w:val="批注主题 Char"/>
    <w:link w:val="17"/>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99"/>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7"/>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5">
    <w:name w:val="正文2"/>
    <w:basedOn w:val="1"/>
    <w:qFormat/>
    <w:uiPriority w:val="0"/>
    <w:pPr>
      <w:spacing w:before="156" w:line="360" w:lineRule="auto"/>
      <w:ind w:firstLine="510" w:firstLineChars="200"/>
    </w:pPr>
    <w:rPr>
      <w:sz w:val="24"/>
    </w:rPr>
  </w:style>
  <w:style w:type="paragraph" w:customStyle="1" w:styleId="46">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7">
    <w:name w:val="A9"/>
    <w:qFormat/>
    <w:uiPriority w:val="0"/>
    <w:rPr>
      <w:rFonts w:cs="PSFEIH+StoneSans"/>
      <w:color w:val="262424"/>
      <w:sz w:val="20"/>
      <w:szCs w:val="20"/>
    </w:rPr>
  </w:style>
  <w:style w:type="paragraph" w:customStyle="1" w:styleId="48">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49">
    <w:name w:val="A14"/>
    <w:qFormat/>
    <w:uiPriority w:val="99"/>
    <w:rPr>
      <w:rFonts w:cs="Open Sans Light"/>
      <w:color w:val="FFFFFF"/>
      <w:sz w:val="13"/>
      <w:szCs w:val="13"/>
    </w:rPr>
  </w:style>
  <w:style w:type="paragraph" w:customStyle="1" w:styleId="50">
    <w:name w:val="表格文字"/>
    <w:basedOn w:val="1"/>
    <w:next w:val="7"/>
    <w:qFormat/>
    <w:uiPriority w:val="0"/>
    <w:rPr>
      <w:sz w:val="24"/>
    </w:rPr>
  </w:style>
  <w:style w:type="character" w:customStyle="1" w:styleId="51">
    <w:name w:val="标题 3 Char"/>
    <w:basedOn w:val="20"/>
    <w:link w:val="5"/>
    <w:qFormat/>
    <w:uiPriority w:val="9"/>
    <w:rPr>
      <w:rFonts w:ascii="微软雅黑" w:hAnsi="微软雅黑" w:eastAsia="微软雅黑"/>
      <w:b/>
      <w:bCs/>
      <w:kern w:val="2"/>
      <w:sz w:val="24"/>
      <w:szCs w:val="32"/>
    </w:rPr>
  </w:style>
  <w:style w:type="character" w:customStyle="1" w:styleId="52">
    <w:name w:val="标题 2 Char"/>
    <w:basedOn w:val="20"/>
    <w:link w:val="4"/>
    <w:qFormat/>
    <w:uiPriority w:val="9"/>
    <w:rPr>
      <w:rFonts w:ascii="Calibri Light" w:hAnsi="Calibri Light" w:eastAsia="微软雅黑"/>
      <w:b/>
      <w:bCs/>
      <w:kern w:val="2"/>
      <w:sz w:val="28"/>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2D472-4536-4892-99B8-D03874C209D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27</Pages>
  <Words>2724</Words>
  <Characters>15533</Characters>
  <Lines>129</Lines>
  <Paragraphs>36</Paragraphs>
  <TotalTime>4</TotalTime>
  <ScaleCrop>false</ScaleCrop>
  <LinksUpToDate>false</LinksUpToDate>
  <CharactersWithSpaces>18221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2020-07-15T12:41:00Z</dcterms:created>
  <dc:creator>微软用户</dc:creator>
  <cp:lastModifiedBy>nxdlu</cp:lastModifiedBy>
  <cp:lastPrinted>2019-11-22T01:53:00Z</cp:lastPrinted>
  <dcterms:modified xsi:type="dcterms:W3CDTF">2020-07-15T12:54:27Z</dcterms:modified>
  <dc:title>淮海工学院A8-10号楼学生宿舍家具招标书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